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5E0D" w14:textId="6102DB68" w:rsidR="00677DB8" w:rsidRPr="00853653" w:rsidRDefault="00853653" w:rsidP="00853653">
      <w:pPr>
        <w:jc w:val="center"/>
        <w:rPr>
          <w:rFonts w:ascii="Calibri" w:hAnsi="Calibri" w:cs="Calibri"/>
          <w:b/>
          <w:bCs/>
          <w:sz w:val="22"/>
          <w:szCs w:val="22"/>
        </w:rPr>
      </w:pPr>
      <w:r w:rsidRPr="00853653">
        <w:rPr>
          <w:rFonts w:ascii="Calibri" w:hAnsi="Calibri" w:cs="Calibri"/>
          <w:b/>
          <w:bCs/>
          <w:sz w:val="22"/>
          <w:szCs w:val="22"/>
        </w:rPr>
        <w:t xml:space="preserve">Consultation regarding </w:t>
      </w:r>
      <w:r w:rsidR="000D52D3" w:rsidRPr="00853653">
        <w:rPr>
          <w:rFonts w:ascii="Calibri" w:hAnsi="Calibri" w:cs="Calibri"/>
          <w:b/>
          <w:bCs/>
          <w:sz w:val="22"/>
          <w:szCs w:val="22"/>
        </w:rPr>
        <w:t>Statement of Gambling Policy 2026 – 2029</w:t>
      </w:r>
      <w:r w:rsidRPr="00853653">
        <w:rPr>
          <w:rFonts w:ascii="Calibri" w:hAnsi="Calibri" w:cs="Calibri"/>
          <w:b/>
          <w:bCs/>
          <w:sz w:val="22"/>
          <w:szCs w:val="22"/>
        </w:rPr>
        <w:t xml:space="preserve"> (April 2026)</w:t>
      </w:r>
    </w:p>
    <w:p w14:paraId="26748A1B" w14:textId="10AFF61C" w:rsidR="000D52D3" w:rsidRPr="00853653" w:rsidRDefault="0051275F" w:rsidP="00853653">
      <w:pPr>
        <w:jc w:val="center"/>
        <w:rPr>
          <w:rFonts w:ascii="Calibri" w:hAnsi="Calibri" w:cs="Calibri"/>
          <w:b/>
          <w:bCs/>
          <w:sz w:val="22"/>
          <w:szCs w:val="22"/>
        </w:rPr>
      </w:pPr>
      <w:r>
        <w:rPr>
          <w:rFonts w:ascii="Calibri" w:hAnsi="Calibri" w:cs="Calibri"/>
          <w:b/>
          <w:bCs/>
          <w:sz w:val="22"/>
          <w:szCs w:val="22"/>
        </w:rPr>
        <w:t>Summary of Amendments</w:t>
      </w:r>
      <w:r>
        <w:rPr>
          <w:rFonts w:ascii="Calibri" w:hAnsi="Calibri" w:cs="Calibri"/>
          <w:b/>
          <w:bCs/>
          <w:sz w:val="22"/>
          <w:szCs w:val="22"/>
        </w:rPr>
        <w:tab/>
      </w:r>
    </w:p>
    <w:tbl>
      <w:tblPr>
        <w:tblStyle w:val="TableGrid"/>
        <w:tblW w:w="0" w:type="auto"/>
        <w:tblLook w:val="04A0" w:firstRow="1" w:lastRow="0" w:firstColumn="1" w:lastColumn="0" w:noHBand="0" w:noVBand="1"/>
      </w:tblPr>
      <w:tblGrid>
        <w:gridCol w:w="988"/>
        <w:gridCol w:w="6378"/>
        <w:gridCol w:w="6379"/>
      </w:tblGrid>
      <w:tr w:rsidR="000D52D3" w:rsidRPr="00853653" w14:paraId="571B8003" w14:textId="77777777" w:rsidTr="00853653">
        <w:tc>
          <w:tcPr>
            <w:tcW w:w="988" w:type="dxa"/>
          </w:tcPr>
          <w:p w14:paraId="58CB0D4A" w14:textId="04F6E9EE" w:rsidR="000D52D3" w:rsidRPr="00853653" w:rsidRDefault="00853653">
            <w:pPr>
              <w:rPr>
                <w:rFonts w:ascii="Calibri" w:hAnsi="Calibri" w:cs="Calibri"/>
                <w:b/>
                <w:bCs/>
                <w:sz w:val="22"/>
                <w:szCs w:val="22"/>
              </w:rPr>
            </w:pPr>
            <w:r w:rsidRPr="00853653">
              <w:rPr>
                <w:rFonts w:ascii="Calibri" w:hAnsi="Calibri" w:cs="Calibri"/>
                <w:b/>
                <w:bCs/>
                <w:sz w:val="22"/>
                <w:szCs w:val="22"/>
              </w:rPr>
              <w:t>Para</w:t>
            </w:r>
          </w:p>
        </w:tc>
        <w:tc>
          <w:tcPr>
            <w:tcW w:w="6378" w:type="dxa"/>
          </w:tcPr>
          <w:p w14:paraId="00C9B783" w14:textId="3F4027AE" w:rsidR="000D52D3" w:rsidRPr="00853653" w:rsidRDefault="00853653" w:rsidP="00853653">
            <w:pPr>
              <w:jc w:val="center"/>
              <w:rPr>
                <w:rFonts w:ascii="Calibri" w:hAnsi="Calibri" w:cs="Calibri"/>
                <w:b/>
                <w:bCs/>
                <w:sz w:val="22"/>
                <w:szCs w:val="22"/>
              </w:rPr>
            </w:pPr>
            <w:r w:rsidRPr="00853653">
              <w:rPr>
                <w:rFonts w:ascii="Calibri" w:hAnsi="Calibri" w:cs="Calibri"/>
                <w:b/>
                <w:bCs/>
                <w:sz w:val="22"/>
                <w:szCs w:val="22"/>
              </w:rPr>
              <w:t>Original</w:t>
            </w:r>
          </w:p>
        </w:tc>
        <w:tc>
          <w:tcPr>
            <w:tcW w:w="6379" w:type="dxa"/>
          </w:tcPr>
          <w:p w14:paraId="5591D815" w14:textId="4978ED9B" w:rsidR="000D52D3" w:rsidRPr="00853653" w:rsidRDefault="00853653" w:rsidP="00853653">
            <w:pPr>
              <w:jc w:val="center"/>
              <w:rPr>
                <w:rFonts w:ascii="Calibri" w:hAnsi="Calibri" w:cs="Calibri"/>
                <w:b/>
                <w:bCs/>
                <w:sz w:val="22"/>
                <w:szCs w:val="22"/>
              </w:rPr>
            </w:pPr>
            <w:r w:rsidRPr="00853653">
              <w:rPr>
                <w:rFonts w:ascii="Calibri" w:hAnsi="Calibri" w:cs="Calibri"/>
                <w:b/>
                <w:bCs/>
                <w:sz w:val="22"/>
                <w:szCs w:val="22"/>
              </w:rPr>
              <w:t>Update</w:t>
            </w:r>
          </w:p>
        </w:tc>
      </w:tr>
      <w:tr w:rsidR="000D52D3" w:rsidRPr="00853653" w14:paraId="649B9FD9" w14:textId="77777777" w:rsidTr="00853653">
        <w:tc>
          <w:tcPr>
            <w:tcW w:w="988" w:type="dxa"/>
          </w:tcPr>
          <w:p w14:paraId="4FF7A70D" w14:textId="492D31DB" w:rsidR="000D52D3" w:rsidRPr="00853653" w:rsidRDefault="000D52D3">
            <w:pPr>
              <w:rPr>
                <w:rFonts w:ascii="Calibri" w:hAnsi="Calibri" w:cs="Calibri"/>
                <w:sz w:val="22"/>
                <w:szCs w:val="22"/>
              </w:rPr>
            </w:pPr>
            <w:r w:rsidRPr="00853653">
              <w:rPr>
                <w:rFonts w:ascii="Calibri" w:hAnsi="Calibri" w:cs="Calibri"/>
                <w:sz w:val="22"/>
                <w:szCs w:val="22"/>
              </w:rPr>
              <w:t>2.1</w:t>
            </w:r>
          </w:p>
        </w:tc>
        <w:tc>
          <w:tcPr>
            <w:tcW w:w="6378" w:type="dxa"/>
          </w:tcPr>
          <w:p w14:paraId="6AD08CEA" w14:textId="120B381F" w:rsidR="000D52D3" w:rsidRPr="00853653" w:rsidRDefault="000D52D3">
            <w:pPr>
              <w:rPr>
                <w:rFonts w:ascii="Calibri" w:hAnsi="Calibri" w:cs="Calibri"/>
                <w:sz w:val="22"/>
                <w:szCs w:val="22"/>
              </w:rPr>
            </w:pPr>
            <w:r w:rsidRPr="00853653">
              <w:rPr>
                <w:rFonts w:ascii="Calibri" w:hAnsi="Calibri" w:cs="Calibri"/>
                <w:color w:val="000000"/>
                <w:sz w:val="22"/>
                <w:szCs w:val="22"/>
              </w:rPr>
              <w:t>It should be noted that the Gambling Commission Guidance has stated: “The requirement in relation to children is explicitly to protect them from being harmed or exploited by gambling”</w:t>
            </w:r>
          </w:p>
        </w:tc>
        <w:tc>
          <w:tcPr>
            <w:tcW w:w="6379" w:type="dxa"/>
          </w:tcPr>
          <w:p w14:paraId="417E93DF" w14:textId="77777777" w:rsidR="000D52D3" w:rsidRPr="00853653" w:rsidRDefault="000D52D3">
            <w:pPr>
              <w:rPr>
                <w:rFonts w:ascii="Calibri" w:hAnsi="Calibri" w:cs="Calibri"/>
                <w:color w:val="000000"/>
                <w:sz w:val="22"/>
                <w:szCs w:val="22"/>
              </w:rPr>
            </w:pPr>
            <w:r w:rsidRPr="00853653">
              <w:rPr>
                <w:rFonts w:ascii="Calibri" w:hAnsi="Calibri" w:cs="Calibri"/>
                <w:color w:val="000000"/>
                <w:sz w:val="22"/>
                <w:szCs w:val="22"/>
              </w:rPr>
              <w:t>It is noted the Gambling Commission expects Licensing Authorities to frame decisions around prevention and mitigation of harm, not just the exclusion of children. Therefore, when considering the Licensing Objectives, the Licensing Authority will also take into consideration matters including preventing exposure to gambling or gambling environments where there is an increased risk of harm, exploitation or adverse impact on wellbeing.</w:t>
            </w:r>
          </w:p>
          <w:p w14:paraId="5DBADC20" w14:textId="2B74B57B" w:rsidR="000D52D3" w:rsidRPr="00853653" w:rsidRDefault="000D52D3">
            <w:pPr>
              <w:rPr>
                <w:rFonts w:ascii="Calibri" w:hAnsi="Calibri" w:cs="Calibri"/>
                <w:sz w:val="22"/>
                <w:szCs w:val="22"/>
              </w:rPr>
            </w:pPr>
          </w:p>
        </w:tc>
      </w:tr>
      <w:tr w:rsidR="000D52D3" w:rsidRPr="00853653" w14:paraId="1757B28C" w14:textId="77777777" w:rsidTr="00853653">
        <w:tc>
          <w:tcPr>
            <w:tcW w:w="988" w:type="dxa"/>
          </w:tcPr>
          <w:p w14:paraId="6BE7F97E" w14:textId="52A0DABC" w:rsidR="000D52D3" w:rsidRPr="00853653" w:rsidRDefault="000D52D3">
            <w:pPr>
              <w:rPr>
                <w:rFonts w:ascii="Calibri" w:hAnsi="Calibri" w:cs="Calibri"/>
                <w:sz w:val="22"/>
                <w:szCs w:val="22"/>
              </w:rPr>
            </w:pPr>
            <w:r w:rsidRPr="00853653">
              <w:rPr>
                <w:rFonts w:ascii="Calibri" w:hAnsi="Calibri" w:cs="Calibri"/>
                <w:sz w:val="22"/>
                <w:szCs w:val="22"/>
              </w:rPr>
              <w:t>3.12</w:t>
            </w:r>
          </w:p>
        </w:tc>
        <w:tc>
          <w:tcPr>
            <w:tcW w:w="6378" w:type="dxa"/>
          </w:tcPr>
          <w:p w14:paraId="10823E8F" w14:textId="77777777" w:rsidR="000D52D3" w:rsidRPr="00853653" w:rsidRDefault="000D52D3">
            <w:pPr>
              <w:rPr>
                <w:rFonts w:ascii="Calibri" w:hAnsi="Calibri" w:cs="Calibri"/>
                <w:color w:val="000000"/>
                <w:sz w:val="22"/>
                <w:szCs w:val="22"/>
              </w:rPr>
            </w:pPr>
            <w:r w:rsidRPr="00853653">
              <w:rPr>
                <w:rFonts w:ascii="Calibri" w:hAnsi="Calibri" w:cs="Calibri"/>
                <w:color w:val="000000"/>
                <w:sz w:val="22"/>
                <w:szCs w:val="22"/>
              </w:rPr>
              <w:t>The Council recognises that gambling is a legitimate pastime of many of the residents of Fylde but also understands the problems that it can cause by gambling, particularly to those who are young or especially vulnerable. This “Gambling Policy Statement” has been prepared having regard to the licensing objectives of the Gambling Act 2005 listed in paragraph 2.1 above and the Guidance issued by the Gambling Commission.</w:t>
            </w:r>
          </w:p>
          <w:p w14:paraId="3D5B4179" w14:textId="3495C288" w:rsidR="000D52D3" w:rsidRPr="00853653" w:rsidRDefault="000D52D3">
            <w:pPr>
              <w:rPr>
                <w:rFonts w:ascii="Calibri" w:hAnsi="Calibri" w:cs="Calibri"/>
                <w:color w:val="000000"/>
                <w:sz w:val="22"/>
                <w:szCs w:val="22"/>
              </w:rPr>
            </w:pPr>
          </w:p>
        </w:tc>
        <w:tc>
          <w:tcPr>
            <w:tcW w:w="6379" w:type="dxa"/>
          </w:tcPr>
          <w:p w14:paraId="70EB8B9B" w14:textId="4AD77347" w:rsidR="000D52D3" w:rsidRPr="00853653" w:rsidRDefault="000D52D3">
            <w:pPr>
              <w:rPr>
                <w:rFonts w:ascii="Calibri" w:hAnsi="Calibri" w:cs="Calibri"/>
                <w:color w:val="000000"/>
                <w:sz w:val="22"/>
                <w:szCs w:val="22"/>
              </w:rPr>
            </w:pPr>
            <w:r w:rsidRPr="00853653">
              <w:rPr>
                <w:rFonts w:ascii="Calibri" w:hAnsi="Calibri" w:cs="Calibri"/>
                <w:color w:val="000000"/>
                <w:sz w:val="22"/>
                <w:szCs w:val="22"/>
              </w:rPr>
              <w:t>The Council recognises gambling as a legitimate leisure activity, while also recognising that gambling-related harm can arise across a spectrum of risk, particularly for children, young people and others who may be vulnerable due to their circumstances. This policy is therefore intended to support early intervention, prevention and mitigation of gambling-related harm</w:t>
            </w:r>
          </w:p>
        </w:tc>
      </w:tr>
      <w:tr w:rsidR="000D52D3" w:rsidRPr="00853653" w14:paraId="04CF907A" w14:textId="77777777" w:rsidTr="00853653">
        <w:tc>
          <w:tcPr>
            <w:tcW w:w="988" w:type="dxa"/>
          </w:tcPr>
          <w:p w14:paraId="5F18B0E0" w14:textId="41AFC8ED" w:rsidR="000D52D3" w:rsidRPr="00853653" w:rsidRDefault="000D52D3">
            <w:pPr>
              <w:rPr>
                <w:rFonts w:ascii="Calibri" w:hAnsi="Calibri" w:cs="Calibri"/>
                <w:sz w:val="22"/>
                <w:szCs w:val="22"/>
              </w:rPr>
            </w:pPr>
            <w:r w:rsidRPr="00853653">
              <w:rPr>
                <w:rFonts w:ascii="Calibri" w:hAnsi="Calibri" w:cs="Calibri"/>
                <w:sz w:val="22"/>
                <w:szCs w:val="22"/>
              </w:rPr>
              <w:t>3.1.3</w:t>
            </w:r>
          </w:p>
        </w:tc>
        <w:tc>
          <w:tcPr>
            <w:tcW w:w="6378" w:type="dxa"/>
          </w:tcPr>
          <w:p w14:paraId="51466CBF" w14:textId="77777777" w:rsidR="000D52D3" w:rsidRPr="00853653" w:rsidRDefault="000D52D3">
            <w:pPr>
              <w:rPr>
                <w:rFonts w:ascii="Calibri" w:hAnsi="Calibri" w:cs="Calibri"/>
                <w:color w:val="000000"/>
                <w:sz w:val="22"/>
                <w:szCs w:val="22"/>
              </w:rPr>
            </w:pPr>
          </w:p>
        </w:tc>
        <w:tc>
          <w:tcPr>
            <w:tcW w:w="6379" w:type="dxa"/>
          </w:tcPr>
          <w:p w14:paraId="2ACC76A0" w14:textId="1972D98B" w:rsidR="000D52D3" w:rsidRPr="00853653" w:rsidRDefault="000D52D3">
            <w:pPr>
              <w:rPr>
                <w:rFonts w:ascii="Calibri" w:hAnsi="Calibri" w:cs="Calibri"/>
                <w:color w:val="000000"/>
                <w:sz w:val="22"/>
                <w:szCs w:val="22"/>
              </w:rPr>
            </w:pPr>
            <w:r w:rsidRPr="00853653">
              <w:rPr>
                <w:rFonts w:ascii="Calibri" w:hAnsi="Calibri" w:cs="Calibri"/>
                <w:color w:val="000000"/>
                <w:sz w:val="22"/>
                <w:szCs w:val="22"/>
              </w:rPr>
              <w:t>Add bullet point:</w:t>
            </w:r>
          </w:p>
          <w:p w14:paraId="4956EBC5" w14:textId="77777777" w:rsidR="000D52D3" w:rsidRDefault="000D52D3">
            <w:pPr>
              <w:rPr>
                <w:rFonts w:ascii="Calibri" w:hAnsi="Calibri" w:cs="Calibri"/>
                <w:color w:val="000000"/>
                <w:sz w:val="22"/>
                <w:szCs w:val="22"/>
              </w:rPr>
            </w:pPr>
            <w:r w:rsidRPr="00853653">
              <w:rPr>
                <w:rFonts w:ascii="Calibri" w:hAnsi="Calibri" w:cs="Calibri"/>
                <w:color w:val="000000"/>
                <w:sz w:val="22"/>
                <w:szCs w:val="22"/>
              </w:rPr>
              <w:t>demonstrably supported by appropriate measures to prevent and reduce gambling-related harm, proportionate to the nature and location of the premises</w:t>
            </w:r>
          </w:p>
          <w:p w14:paraId="15C6C065" w14:textId="7C95E6B2" w:rsidR="00853653" w:rsidRPr="00853653" w:rsidRDefault="00853653">
            <w:pPr>
              <w:rPr>
                <w:rFonts w:ascii="Calibri" w:hAnsi="Calibri" w:cs="Calibri"/>
                <w:color w:val="000000"/>
                <w:sz w:val="22"/>
                <w:szCs w:val="22"/>
              </w:rPr>
            </w:pPr>
          </w:p>
        </w:tc>
      </w:tr>
      <w:tr w:rsidR="000D52D3" w:rsidRPr="00853653" w14:paraId="291FAB39" w14:textId="77777777" w:rsidTr="00853653">
        <w:tc>
          <w:tcPr>
            <w:tcW w:w="988" w:type="dxa"/>
          </w:tcPr>
          <w:p w14:paraId="7C2D4E4F" w14:textId="2AAE5109" w:rsidR="000D52D3" w:rsidRPr="00853653" w:rsidRDefault="000D52D3">
            <w:pPr>
              <w:rPr>
                <w:rFonts w:ascii="Calibri" w:hAnsi="Calibri" w:cs="Calibri"/>
                <w:sz w:val="22"/>
                <w:szCs w:val="22"/>
              </w:rPr>
            </w:pPr>
            <w:r w:rsidRPr="00853653">
              <w:rPr>
                <w:rFonts w:ascii="Calibri" w:hAnsi="Calibri" w:cs="Calibri"/>
                <w:sz w:val="22"/>
                <w:szCs w:val="22"/>
              </w:rPr>
              <w:t>3.5.1</w:t>
            </w:r>
          </w:p>
        </w:tc>
        <w:tc>
          <w:tcPr>
            <w:tcW w:w="6378" w:type="dxa"/>
          </w:tcPr>
          <w:p w14:paraId="71222E3F" w14:textId="683D166F" w:rsidR="000D52D3" w:rsidRPr="00853653" w:rsidRDefault="000D52D3">
            <w:pPr>
              <w:rPr>
                <w:rFonts w:ascii="Calibri" w:hAnsi="Calibri" w:cs="Calibri"/>
                <w:color w:val="000000"/>
                <w:sz w:val="22"/>
                <w:szCs w:val="22"/>
              </w:rPr>
            </w:pPr>
            <w:r w:rsidRPr="00853653">
              <w:rPr>
                <w:rFonts w:ascii="Calibri" w:hAnsi="Calibri" w:cs="Calibri"/>
                <w:color w:val="000000"/>
                <w:sz w:val="22"/>
                <w:szCs w:val="22"/>
              </w:rPr>
              <w:t xml:space="preserve">Fylde Borough Council is a coastal borough situated in the County of Lancashire, which contains 14 Licensing Authorities in total. The Council area has a population of 81,375 (ONS 2021 Census) with an estimated 28% of the population over 65 (ONS 2021 Census). A large proportion of the area is rural in nature. The main towns within the borough are the resorts of Lytham and St Annes. Further inland the borough contains smaller urban areas at Wesham, Kirkham, </w:t>
            </w:r>
            <w:r w:rsidRPr="00853653">
              <w:rPr>
                <w:rFonts w:ascii="Calibri" w:hAnsi="Calibri" w:cs="Calibri"/>
                <w:color w:val="000000"/>
                <w:sz w:val="22"/>
                <w:szCs w:val="22"/>
              </w:rPr>
              <w:lastRenderedPageBreak/>
              <w:t>Freckleton and Warton. It has a geographical area of 166 square km. The 2019 Indices of Deprivation revealed that Fylde had a reasonably low overall deprivation ranking, being the 198th most deprived area out of 317 districts and unitary authorities in England.</w:t>
            </w:r>
          </w:p>
        </w:tc>
        <w:tc>
          <w:tcPr>
            <w:tcW w:w="6379" w:type="dxa"/>
          </w:tcPr>
          <w:p w14:paraId="0F987E97" w14:textId="77777777" w:rsidR="000D52D3" w:rsidRPr="00853653" w:rsidRDefault="000D52D3">
            <w:pPr>
              <w:rPr>
                <w:rFonts w:ascii="Calibri" w:hAnsi="Calibri" w:cs="Calibri"/>
                <w:color w:val="000000"/>
                <w:sz w:val="22"/>
                <w:szCs w:val="22"/>
              </w:rPr>
            </w:pPr>
            <w:r w:rsidRPr="00853653">
              <w:rPr>
                <w:rFonts w:ascii="Calibri" w:hAnsi="Calibri" w:cs="Calibri"/>
                <w:color w:val="000000"/>
                <w:sz w:val="22"/>
                <w:szCs w:val="22"/>
              </w:rPr>
              <w:lastRenderedPageBreak/>
              <w:t xml:space="preserve">Fylde Borough Council is a coastal borough situated in the County of Lancashire, which contains 14 Licensing Authorities in total. The Council area has a population of 81,375 (ONS 2021 Census) with an estimated 28% of the population over 65 (ONS 2021 Census). A large proportion of the area is rural in nature. The main towns within the borough are the resorts of Lytham and St Annes. Further inland the borough contains smaller urban areas at Wesham, Kirkham, </w:t>
            </w:r>
            <w:r w:rsidRPr="00853653">
              <w:rPr>
                <w:rFonts w:ascii="Calibri" w:hAnsi="Calibri" w:cs="Calibri"/>
                <w:color w:val="000000"/>
                <w:sz w:val="22"/>
                <w:szCs w:val="22"/>
              </w:rPr>
              <w:lastRenderedPageBreak/>
              <w:t>Freckleton and Warton. It has a geographical area of 166 square km. The 2025 Indices of Deprivation revealed that Fylde had a reasonably low overall deprivation ranking, being the 188th most deprived area out of 296 districts and unitary authorities in England.</w:t>
            </w:r>
          </w:p>
          <w:p w14:paraId="47552956" w14:textId="46FAF198" w:rsidR="000D52D3" w:rsidRPr="00853653" w:rsidRDefault="000D52D3">
            <w:pPr>
              <w:rPr>
                <w:rFonts w:ascii="Calibri" w:hAnsi="Calibri" w:cs="Calibri"/>
                <w:color w:val="000000"/>
                <w:sz w:val="22"/>
                <w:szCs w:val="22"/>
              </w:rPr>
            </w:pPr>
          </w:p>
        </w:tc>
      </w:tr>
      <w:tr w:rsidR="000D52D3" w:rsidRPr="00853653" w14:paraId="29B920C5" w14:textId="77777777" w:rsidTr="00853653">
        <w:tc>
          <w:tcPr>
            <w:tcW w:w="988" w:type="dxa"/>
          </w:tcPr>
          <w:p w14:paraId="451E7900" w14:textId="689B0B93" w:rsidR="000D52D3" w:rsidRPr="00853653" w:rsidRDefault="000D52D3">
            <w:pPr>
              <w:rPr>
                <w:rFonts w:ascii="Calibri" w:hAnsi="Calibri" w:cs="Calibri"/>
                <w:sz w:val="22"/>
                <w:szCs w:val="22"/>
              </w:rPr>
            </w:pPr>
            <w:r w:rsidRPr="00853653">
              <w:rPr>
                <w:rFonts w:ascii="Calibri" w:hAnsi="Calibri" w:cs="Calibri"/>
                <w:sz w:val="22"/>
                <w:szCs w:val="22"/>
              </w:rPr>
              <w:lastRenderedPageBreak/>
              <w:t>3.5.3</w:t>
            </w:r>
          </w:p>
        </w:tc>
        <w:tc>
          <w:tcPr>
            <w:tcW w:w="6378" w:type="dxa"/>
          </w:tcPr>
          <w:p w14:paraId="3D14BFB4" w14:textId="0A5E7567" w:rsidR="000D52D3" w:rsidRPr="00853653" w:rsidRDefault="000D52D3">
            <w:pPr>
              <w:rPr>
                <w:rFonts w:ascii="Calibri" w:hAnsi="Calibri" w:cs="Calibri"/>
                <w:color w:val="000000"/>
                <w:sz w:val="22"/>
                <w:szCs w:val="22"/>
              </w:rPr>
            </w:pPr>
            <w:r w:rsidRPr="00853653">
              <w:rPr>
                <w:rFonts w:ascii="Calibri" w:hAnsi="Calibri" w:cs="Calibri"/>
                <w:color w:val="000000"/>
                <w:sz w:val="22"/>
                <w:szCs w:val="22"/>
              </w:rPr>
              <w:t xml:space="preserve">The main concentrations of premises in the district providing any form of gambling and indeed the sale of alcohol, can be found in the town centres of St Annes, Lytham and the market town of Kirkham. As of March 2024, there is one casino in the Borough which is located within St Annes (not currently trading), seven betting shops in total </w:t>
            </w:r>
            <w:proofErr w:type="gramStart"/>
            <w:r w:rsidRPr="00853653">
              <w:rPr>
                <w:rFonts w:ascii="Calibri" w:hAnsi="Calibri" w:cs="Calibri"/>
                <w:color w:val="000000"/>
                <w:sz w:val="22"/>
                <w:szCs w:val="22"/>
              </w:rPr>
              <w:t>are located in</w:t>
            </w:r>
            <w:proofErr w:type="gramEnd"/>
            <w:r w:rsidRPr="00853653">
              <w:rPr>
                <w:rFonts w:ascii="Calibri" w:hAnsi="Calibri" w:cs="Calibri"/>
                <w:color w:val="000000"/>
                <w:sz w:val="22"/>
                <w:szCs w:val="22"/>
              </w:rPr>
              <w:t xml:space="preserve"> the area, with 3 in St Annes, 2 in Kirkham and 2 in Lytham. There are 6 amusement arcades associated with the holiday trade mostly located on holiday centres or complexes, caravan sites or on the pier at St. Annes. At present around 55 pubs and 10 clubs have permits for gaming machines. These numbers have remained relatively constant since 2018.</w:t>
            </w:r>
          </w:p>
        </w:tc>
        <w:tc>
          <w:tcPr>
            <w:tcW w:w="6379" w:type="dxa"/>
          </w:tcPr>
          <w:p w14:paraId="599A8A7A" w14:textId="77777777" w:rsidR="000D52D3" w:rsidRDefault="000D52D3">
            <w:pPr>
              <w:rPr>
                <w:rFonts w:ascii="Calibri" w:hAnsi="Calibri" w:cs="Calibri"/>
                <w:color w:val="000000"/>
                <w:sz w:val="22"/>
                <w:szCs w:val="22"/>
              </w:rPr>
            </w:pPr>
            <w:r w:rsidRPr="00853653">
              <w:rPr>
                <w:rFonts w:ascii="Calibri" w:hAnsi="Calibri" w:cs="Calibri"/>
                <w:color w:val="000000"/>
                <w:sz w:val="22"/>
                <w:szCs w:val="22"/>
              </w:rPr>
              <w:t xml:space="preserve">The main concentrations of premises in the district providing any form of gambling and indeed the sale of alcohol, can be found in the town centres of St Annes, Lytham and the market town of Kirkham. As of April 2026, there is one casino in the Borough which is located within St Annes (not currently trading), seven betting shops in total </w:t>
            </w:r>
            <w:proofErr w:type="gramStart"/>
            <w:r w:rsidRPr="00853653">
              <w:rPr>
                <w:rFonts w:ascii="Calibri" w:hAnsi="Calibri" w:cs="Calibri"/>
                <w:color w:val="000000"/>
                <w:sz w:val="22"/>
                <w:szCs w:val="22"/>
              </w:rPr>
              <w:t>are located in</w:t>
            </w:r>
            <w:proofErr w:type="gramEnd"/>
            <w:r w:rsidRPr="00853653">
              <w:rPr>
                <w:rFonts w:ascii="Calibri" w:hAnsi="Calibri" w:cs="Calibri"/>
                <w:color w:val="000000"/>
                <w:sz w:val="22"/>
                <w:szCs w:val="22"/>
              </w:rPr>
              <w:t xml:space="preserve"> the area, with 3 in St Annes, 2 in Kirkham and 2 in Lytham. There are 6 amusement arcades associated with the holiday trade mostly located on holiday centres or complexes, caravan sites or on the pier at St. Annes and one Adult Gaming Centre located in St Annes town centre. At present around 55 pubs and 10 clubs have permits for gaming machines. These numbers have remained relatively constant since 2018.</w:t>
            </w:r>
          </w:p>
          <w:p w14:paraId="600B39E6" w14:textId="4A647161" w:rsidR="00853653" w:rsidRPr="00853653" w:rsidRDefault="00853653">
            <w:pPr>
              <w:rPr>
                <w:rFonts w:ascii="Calibri" w:hAnsi="Calibri" w:cs="Calibri"/>
                <w:color w:val="000000"/>
                <w:sz w:val="22"/>
                <w:szCs w:val="22"/>
              </w:rPr>
            </w:pPr>
          </w:p>
        </w:tc>
      </w:tr>
      <w:tr w:rsidR="000D52D3" w:rsidRPr="00853653" w14:paraId="679E8096" w14:textId="77777777" w:rsidTr="00853653">
        <w:tc>
          <w:tcPr>
            <w:tcW w:w="988" w:type="dxa"/>
          </w:tcPr>
          <w:p w14:paraId="59A19639" w14:textId="78DFEE79" w:rsidR="000D52D3" w:rsidRPr="00853653" w:rsidRDefault="000D52D3">
            <w:pPr>
              <w:rPr>
                <w:rFonts w:ascii="Calibri" w:hAnsi="Calibri" w:cs="Calibri"/>
                <w:sz w:val="22"/>
                <w:szCs w:val="22"/>
              </w:rPr>
            </w:pPr>
            <w:r w:rsidRPr="00853653">
              <w:rPr>
                <w:rFonts w:ascii="Calibri" w:hAnsi="Calibri" w:cs="Calibri"/>
                <w:sz w:val="22"/>
                <w:szCs w:val="22"/>
              </w:rPr>
              <w:t>4.2</w:t>
            </w:r>
          </w:p>
        </w:tc>
        <w:tc>
          <w:tcPr>
            <w:tcW w:w="6378" w:type="dxa"/>
          </w:tcPr>
          <w:p w14:paraId="270CF5E1" w14:textId="77777777" w:rsidR="000D52D3" w:rsidRPr="00853653" w:rsidRDefault="000D52D3">
            <w:pPr>
              <w:rPr>
                <w:rFonts w:ascii="Calibri" w:hAnsi="Calibri" w:cs="Calibri"/>
                <w:color w:val="000000"/>
                <w:sz w:val="22"/>
                <w:szCs w:val="22"/>
              </w:rPr>
            </w:pPr>
          </w:p>
        </w:tc>
        <w:tc>
          <w:tcPr>
            <w:tcW w:w="6379" w:type="dxa"/>
          </w:tcPr>
          <w:p w14:paraId="2D375782" w14:textId="77777777" w:rsidR="000D52D3" w:rsidRPr="00853653" w:rsidRDefault="000D52D3">
            <w:pPr>
              <w:rPr>
                <w:rFonts w:ascii="Calibri" w:hAnsi="Calibri" w:cs="Calibri"/>
                <w:color w:val="000000"/>
                <w:sz w:val="22"/>
                <w:szCs w:val="22"/>
              </w:rPr>
            </w:pPr>
            <w:r w:rsidRPr="00853653">
              <w:rPr>
                <w:rFonts w:ascii="Calibri" w:hAnsi="Calibri" w:cs="Calibri"/>
                <w:color w:val="000000"/>
                <w:sz w:val="22"/>
                <w:szCs w:val="22"/>
              </w:rPr>
              <w:t>Include bullet point:</w:t>
            </w:r>
          </w:p>
          <w:p w14:paraId="5A9EB07B" w14:textId="77777777" w:rsidR="000D52D3" w:rsidRPr="00853653" w:rsidRDefault="000D52D3">
            <w:pPr>
              <w:rPr>
                <w:rFonts w:ascii="Calibri" w:hAnsi="Calibri" w:cs="Calibri"/>
                <w:color w:val="000000"/>
                <w:sz w:val="22"/>
                <w:szCs w:val="22"/>
              </w:rPr>
            </w:pPr>
            <w:r w:rsidRPr="00853653">
              <w:rPr>
                <w:rFonts w:ascii="Calibri" w:hAnsi="Calibri" w:cs="Calibri"/>
                <w:color w:val="000000"/>
                <w:sz w:val="22"/>
                <w:szCs w:val="22"/>
              </w:rPr>
              <w:t>• In line with current Gambling Commission guidance, local risk assessments should also consider the potential for gambling related harm, including indicators of excessive or problematic gambling, cumulative exposure to gambling environments, and any factors which may increase risk to individuals or communities</w:t>
            </w:r>
          </w:p>
          <w:p w14:paraId="3741852A" w14:textId="4DEF59E8" w:rsidR="000D52D3" w:rsidRPr="00853653" w:rsidRDefault="000D52D3">
            <w:pPr>
              <w:rPr>
                <w:rFonts w:ascii="Calibri" w:hAnsi="Calibri" w:cs="Calibri"/>
                <w:color w:val="000000"/>
                <w:sz w:val="22"/>
                <w:szCs w:val="22"/>
              </w:rPr>
            </w:pPr>
          </w:p>
        </w:tc>
      </w:tr>
      <w:tr w:rsidR="000D52D3" w:rsidRPr="00853653" w14:paraId="07CBAE35" w14:textId="77777777" w:rsidTr="00853653">
        <w:tc>
          <w:tcPr>
            <w:tcW w:w="988" w:type="dxa"/>
          </w:tcPr>
          <w:p w14:paraId="1A759B62" w14:textId="40F3FA0C" w:rsidR="000D52D3" w:rsidRPr="00853653" w:rsidRDefault="000D52D3">
            <w:pPr>
              <w:rPr>
                <w:rFonts w:ascii="Calibri" w:hAnsi="Calibri" w:cs="Calibri"/>
                <w:sz w:val="22"/>
                <w:szCs w:val="22"/>
              </w:rPr>
            </w:pPr>
            <w:r w:rsidRPr="00853653">
              <w:rPr>
                <w:rFonts w:ascii="Calibri" w:hAnsi="Calibri" w:cs="Calibri"/>
                <w:sz w:val="22"/>
                <w:szCs w:val="22"/>
              </w:rPr>
              <w:t>4.1.1</w:t>
            </w:r>
          </w:p>
        </w:tc>
        <w:tc>
          <w:tcPr>
            <w:tcW w:w="6378" w:type="dxa"/>
          </w:tcPr>
          <w:p w14:paraId="2CD6B513" w14:textId="4E7B21E9" w:rsidR="000D52D3" w:rsidRPr="00853653" w:rsidRDefault="000D52D3">
            <w:pPr>
              <w:rPr>
                <w:rFonts w:ascii="Calibri" w:hAnsi="Calibri" w:cs="Calibri"/>
                <w:color w:val="000000"/>
                <w:sz w:val="22"/>
                <w:szCs w:val="22"/>
              </w:rPr>
            </w:pPr>
            <w:r w:rsidRPr="00853653">
              <w:rPr>
                <w:rFonts w:ascii="Calibri" w:hAnsi="Calibri" w:cs="Calibri"/>
                <w:color w:val="000000"/>
                <w:sz w:val="22"/>
                <w:szCs w:val="22"/>
              </w:rPr>
              <w:t>Whilst this Authority does not currently have a Local Area Profile, as referenced in the Commission’s Guidance, nonetheless its clear priority is to ensure that children and vulnerable persons are not harmed by gambling. To this end the Authority will expect applicants to research and understand the local environment in which they wish to operate and to demonstrate that they have effective and robust measures in place to promote this licensing objective and mitigate any risks related to it.</w:t>
            </w:r>
          </w:p>
        </w:tc>
        <w:tc>
          <w:tcPr>
            <w:tcW w:w="6379" w:type="dxa"/>
          </w:tcPr>
          <w:p w14:paraId="43ED75C4" w14:textId="1C56F287" w:rsidR="000D52D3" w:rsidRPr="00853653" w:rsidRDefault="000D52D3">
            <w:pPr>
              <w:rPr>
                <w:rFonts w:ascii="Calibri" w:hAnsi="Calibri" w:cs="Calibri"/>
                <w:color w:val="000000"/>
                <w:sz w:val="22"/>
                <w:szCs w:val="22"/>
              </w:rPr>
            </w:pPr>
            <w:r w:rsidRPr="00853653">
              <w:rPr>
                <w:rFonts w:ascii="Calibri" w:hAnsi="Calibri" w:cs="Calibri"/>
                <w:color w:val="000000"/>
                <w:sz w:val="22"/>
                <w:szCs w:val="22"/>
              </w:rPr>
              <w:t>Whilst this Authority has not adopted a formal Local Area Profile, it nevertheless expects applicants to demonstrate a clear understanding of local characteristics, risks and vulnerabilities, including those associated with gambling related harm, and how these will be addressed through effective control measures</w:t>
            </w:r>
          </w:p>
        </w:tc>
      </w:tr>
      <w:tr w:rsidR="000D52D3" w:rsidRPr="00853653" w14:paraId="04CD50F8" w14:textId="77777777" w:rsidTr="00853653">
        <w:tc>
          <w:tcPr>
            <w:tcW w:w="988" w:type="dxa"/>
          </w:tcPr>
          <w:p w14:paraId="297A7CD0" w14:textId="310D8D0E" w:rsidR="000D52D3" w:rsidRPr="00853653" w:rsidRDefault="000D52D3">
            <w:pPr>
              <w:rPr>
                <w:rFonts w:ascii="Calibri" w:hAnsi="Calibri" w:cs="Calibri"/>
                <w:sz w:val="22"/>
                <w:szCs w:val="22"/>
              </w:rPr>
            </w:pPr>
            <w:r w:rsidRPr="00853653">
              <w:rPr>
                <w:rFonts w:ascii="Calibri" w:hAnsi="Calibri" w:cs="Calibri"/>
                <w:sz w:val="22"/>
                <w:szCs w:val="22"/>
              </w:rPr>
              <w:lastRenderedPageBreak/>
              <w:t>7.5.10</w:t>
            </w:r>
          </w:p>
        </w:tc>
        <w:tc>
          <w:tcPr>
            <w:tcW w:w="6378" w:type="dxa"/>
          </w:tcPr>
          <w:p w14:paraId="5B12F527" w14:textId="77777777" w:rsidR="000D52D3" w:rsidRPr="00853653" w:rsidRDefault="000D52D3">
            <w:pPr>
              <w:rPr>
                <w:rFonts w:ascii="Calibri" w:hAnsi="Calibri" w:cs="Calibri"/>
                <w:color w:val="000000"/>
                <w:sz w:val="22"/>
                <w:szCs w:val="22"/>
              </w:rPr>
            </w:pPr>
          </w:p>
        </w:tc>
        <w:tc>
          <w:tcPr>
            <w:tcW w:w="6379" w:type="dxa"/>
          </w:tcPr>
          <w:p w14:paraId="50509697" w14:textId="77777777" w:rsidR="000D52D3" w:rsidRPr="00853653" w:rsidRDefault="000D52D3">
            <w:pPr>
              <w:rPr>
                <w:rFonts w:ascii="Calibri" w:hAnsi="Calibri" w:cs="Calibri"/>
                <w:color w:val="000000"/>
                <w:sz w:val="22"/>
                <w:szCs w:val="22"/>
              </w:rPr>
            </w:pPr>
            <w:r w:rsidRPr="00853653">
              <w:rPr>
                <w:rFonts w:ascii="Calibri" w:hAnsi="Calibri" w:cs="Calibri"/>
                <w:color w:val="000000"/>
                <w:sz w:val="22"/>
                <w:szCs w:val="22"/>
              </w:rPr>
              <w:t>Add</w:t>
            </w:r>
          </w:p>
          <w:p w14:paraId="62CF768F" w14:textId="77777777" w:rsidR="000D52D3" w:rsidRPr="00853653" w:rsidRDefault="00853653">
            <w:pPr>
              <w:rPr>
                <w:rFonts w:ascii="Calibri" w:hAnsi="Calibri" w:cs="Calibri"/>
                <w:color w:val="000000"/>
                <w:sz w:val="22"/>
                <w:szCs w:val="22"/>
              </w:rPr>
            </w:pPr>
            <w:r w:rsidRPr="00853653">
              <w:rPr>
                <w:rFonts w:ascii="Calibri" w:hAnsi="Calibri" w:cs="Calibri"/>
                <w:color w:val="000000"/>
                <w:sz w:val="22"/>
                <w:szCs w:val="22"/>
              </w:rPr>
              <w:t>For the purposes of this policy, ‘vulnerable persons’ is interpreted broadly and may include individuals experiencing mental health difficulties, financial hardship, substance misuse, homelessness, domestic abuse, or other circumstances which may increase susceptibility to gambling-related harm</w:t>
            </w:r>
          </w:p>
          <w:p w14:paraId="0153BEDA" w14:textId="3F46B05D" w:rsidR="00853653" w:rsidRPr="00853653" w:rsidRDefault="00853653">
            <w:pPr>
              <w:rPr>
                <w:rFonts w:ascii="Calibri" w:hAnsi="Calibri" w:cs="Calibri"/>
                <w:color w:val="000000"/>
                <w:sz w:val="22"/>
                <w:szCs w:val="22"/>
              </w:rPr>
            </w:pPr>
          </w:p>
        </w:tc>
      </w:tr>
      <w:tr w:rsidR="00853653" w:rsidRPr="00853653" w14:paraId="1AB78E9E" w14:textId="77777777" w:rsidTr="00853653">
        <w:tc>
          <w:tcPr>
            <w:tcW w:w="988" w:type="dxa"/>
          </w:tcPr>
          <w:p w14:paraId="62F09941" w14:textId="5031326B" w:rsidR="00853653" w:rsidRPr="00853653" w:rsidRDefault="00853653">
            <w:pPr>
              <w:rPr>
                <w:rFonts w:ascii="Calibri" w:hAnsi="Calibri" w:cs="Calibri"/>
                <w:sz w:val="22"/>
                <w:szCs w:val="22"/>
              </w:rPr>
            </w:pPr>
            <w:r w:rsidRPr="00853653">
              <w:rPr>
                <w:rFonts w:ascii="Calibri" w:hAnsi="Calibri" w:cs="Calibri"/>
                <w:sz w:val="22"/>
                <w:szCs w:val="22"/>
              </w:rPr>
              <w:t>7.74</w:t>
            </w:r>
          </w:p>
        </w:tc>
        <w:tc>
          <w:tcPr>
            <w:tcW w:w="6378" w:type="dxa"/>
          </w:tcPr>
          <w:p w14:paraId="43343598" w14:textId="58F4F8FB" w:rsidR="00853653" w:rsidRPr="00853653" w:rsidRDefault="00853653">
            <w:pPr>
              <w:rPr>
                <w:rFonts w:ascii="Calibri" w:hAnsi="Calibri" w:cs="Calibri"/>
                <w:color w:val="000000"/>
                <w:sz w:val="22"/>
                <w:szCs w:val="22"/>
              </w:rPr>
            </w:pPr>
            <w:r w:rsidRPr="00853653">
              <w:rPr>
                <w:rFonts w:ascii="Calibri" w:hAnsi="Calibri" w:cs="Calibri"/>
                <w:color w:val="000000"/>
                <w:sz w:val="22"/>
                <w:szCs w:val="22"/>
              </w:rPr>
              <w:t>Replace “self-barring”</w:t>
            </w:r>
          </w:p>
        </w:tc>
        <w:tc>
          <w:tcPr>
            <w:tcW w:w="6379" w:type="dxa"/>
          </w:tcPr>
          <w:p w14:paraId="5966AD58" w14:textId="77777777" w:rsidR="00853653" w:rsidRPr="00853653" w:rsidRDefault="00853653">
            <w:pPr>
              <w:rPr>
                <w:rFonts w:ascii="Calibri" w:hAnsi="Calibri" w:cs="Calibri"/>
                <w:color w:val="000000"/>
                <w:sz w:val="22"/>
                <w:szCs w:val="22"/>
              </w:rPr>
            </w:pPr>
            <w:r w:rsidRPr="00853653">
              <w:rPr>
                <w:rFonts w:ascii="Calibri" w:hAnsi="Calibri" w:cs="Calibri"/>
                <w:color w:val="000000"/>
                <w:sz w:val="22"/>
                <w:szCs w:val="22"/>
              </w:rPr>
              <w:t>self-exclusion and support measures schemes</w:t>
            </w:r>
          </w:p>
          <w:p w14:paraId="44F8E009" w14:textId="0D5A4EFD" w:rsidR="00853653" w:rsidRPr="00853653" w:rsidRDefault="00853653">
            <w:pPr>
              <w:rPr>
                <w:rFonts w:ascii="Calibri" w:hAnsi="Calibri" w:cs="Calibri"/>
                <w:color w:val="000000"/>
                <w:sz w:val="22"/>
                <w:szCs w:val="22"/>
              </w:rPr>
            </w:pPr>
          </w:p>
        </w:tc>
      </w:tr>
      <w:tr w:rsidR="00853653" w:rsidRPr="00853653" w14:paraId="088B9182" w14:textId="77777777" w:rsidTr="00853653">
        <w:tc>
          <w:tcPr>
            <w:tcW w:w="988" w:type="dxa"/>
          </w:tcPr>
          <w:p w14:paraId="646072C2" w14:textId="7E05D38E" w:rsidR="00853653" w:rsidRPr="00853653" w:rsidRDefault="00853653">
            <w:pPr>
              <w:rPr>
                <w:rFonts w:ascii="Calibri" w:hAnsi="Calibri" w:cs="Calibri"/>
                <w:sz w:val="22"/>
                <w:szCs w:val="22"/>
              </w:rPr>
            </w:pPr>
            <w:r w:rsidRPr="00853653">
              <w:rPr>
                <w:rFonts w:ascii="Calibri" w:hAnsi="Calibri" w:cs="Calibri"/>
                <w:sz w:val="22"/>
                <w:szCs w:val="22"/>
              </w:rPr>
              <w:t>8.4.2</w:t>
            </w:r>
          </w:p>
        </w:tc>
        <w:tc>
          <w:tcPr>
            <w:tcW w:w="6378" w:type="dxa"/>
          </w:tcPr>
          <w:p w14:paraId="631F57AA" w14:textId="1F318B3C" w:rsidR="00853653" w:rsidRPr="00853653" w:rsidRDefault="00853653">
            <w:pPr>
              <w:rPr>
                <w:rFonts w:ascii="Calibri" w:hAnsi="Calibri" w:cs="Calibri"/>
                <w:color w:val="000000"/>
                <w:sz w:val="22"/>
                <w:szCs w:val="22"/>
              </w:rPr>
            </w:pPr>
            <w:r w:rsidRPr="00853653">
              <w:rPr>
                <w:rFonts w:ascii="Calibri" w:hAnsi="Calibri" w:cs="Calibri"/>
                <w:color w:val="000000"/>
                <w:sz w:val="22"/>
                <w:szCs w:val="22"/>
              </w:rPr>
              <w:t>Replace “Lancashire Safeguarding Children Board”</w:t>
            </w:r>
          </w:p>
        </w:tc>
        <w:tc>
          <w:tcPr>
            <w:tcW w:w="6379" w:type="dxa"/>
          </w:tcPr>
          <w:p w14:paraId="6FFE6FC3" w14:textId="77777777" w:rsidR="00853653" w:rsidRPr="00853653" w:rsidRDefault="00853653">
            <w:pPr>
              <w:rPr>
                <w:rFonts w:ascii="Calibri" w:hAnsi="Calibri" w:cs="Calibri"/>
                <w:color w:val="000000"/>
                <w:sz w:val="22"/>
                <w:szCs w:val="22"/>
              </w:rPr>
            </w:pPr>
            <w:r w:rsidRPr="00853653">
              <w:rPr>
                <w:rFonts w:ascii="Calibri" w:hAnsi="Calibri" w:cs="Calibri"/>
                <w:color w:val="000000"/>
                <w:sz w:val="22"/>
                <w:szCs w:val="22"/>
              </w:rPr>
              <w:t>Lancashire Children’s Safeguarding Partnership or its successor arrangements</w:t>
            </w:r>
          </w:p>
          <w:p w14:paraId="4472F0C5" w14:textId="309E227E" w:rsidR="00853653" w:rsidRPr="00853653" w:rsidRDefault="00853653">
            <w:pPr>
              <w:rPr>
                <w:rFonts w:ascii="Calibri" w:hAnsi="Calibri" w:cs="Calibri"/>
                <w:color w:val="000000"/>
                <w:sz w:val="22"/>
                <w:szCs w:val="22"/>
              </w:rPr>
            </w:pPr>
          </w:p>
        </w:tc>
      </w:tr>
      <w:tr w:rsidR="00853653" w:rsidRPr="00853653" w14:paraId="4633926C" w14:textId="77777777" w:rsidTr="00853653">
        <w:tc>
          <w:tcPr>
            <w:tcW w:w="988" w:type="dxa"/>
          </w:tcPr>
          <w:p w14:paraId="6D194A88" w14:textId="7EAF6EB7" w:rsidR="00853653" w:rsidRPr="00853653" w:rsidRDefault="00853653">
            <w:pPr>
              <w:rPr>
                <w:rFonts w:ascii="Calibri" w:hAnsi="Calibri" w:cs="Calibri"/>
                <w:sz w:val="22"/>
                <w:szCs w:val="22"/>
              </w:rPr>
            </w:pPr>
            <w:r w:rsidRPr="00853653">
              <w:rPr>
                <w:rFonts w:ascii="Calibri" w:hAnsi="Calibri" w:cs="Calibri"/>
                <w:sz w:val="22"/>
                <w:szCs w:val="22"/>
              </w:rPr>
              <w:t>11.3.3</w:t>
            </w:r>
          </w:p>
        </w:tc>
        <w:tc>
          <w:tcPr>
            <w:tcW w:w="6378" w:type="dxa"/>
          </w:tcPr>
          <w:p w14:paraId="7E4D35D1" w14:textId="42D8926B" w:rsidR="00853653" w:rsidRPr="00853653" w:rsidRDefault="00853653">
            <w:pPr>
              <w:rPr>
                <w:rFonts w:ascii="Calibri" w:hAnsi="Calibri" w:cs="Calibri"/>
                <w:color w:val="000000"/>
                <w:sz w:val="22"/>
                <w:szCs w:val="22"/>
              </w:rPr>
            </w:pPr>
            <w:r w:rsidRPr="00853653">
              <w:rPr>
                <w:rFonts w:ascii="Calibri" w:hAnsi="Calibri" w:cs="Calibri"/>
                <w:color w:val="000000"/>
                <w:sz w:val="22"/>
                <w:szCs w:val="22"/>
              </w:rPr>
              <w:t>Replace “CRB”</w:t>
            </w:r>
          </w:p>
        </w:tc>
        <w:tc>
          <w:tcPr>
            <w:tcW w:w="6379" w:type="dxa"/>
          </w:tcPr>
          <w:p w14:paraId="7FA0684B" w14:textId="77777777" w:rsidR="00853653" w:rsidRDefault="00853653">
            <w:pPr>
              <w:rPr>
                <w:rFonts w:ascii="Calibri" w:hAnsi="Calibri" w:cs="Calibri"/>
                <w:color w:val="00B050"/>
                <w:sz w:val="22"/>
                <w:szCs w:val="22"/>
              </w:rPr>
            </w:pPr>
            <w:r w:rsidRPr="00853653">
              <w:rPr>
                <w:rFonts w:ascii="Calibri" w:hAnsi="Calibri" w:cs="Calibri"/>
                <w:color w:val="000000"/>
                <w:sz w:val="22"/>
                <w:szCs w:val="22"/>
              </w:rPr>
              <w:t>Update to “</w:t>
            </w:r>
            <w:r w:rsidRPr="00853653">
              <w:rPr>
                <w:rFonts w:ascii="Calibri" w:hAnsi="Calibri" w:cs="Calibri"/>
                <w:color w:val="00B050"/>
                <w:sz w:val="22"/>
                <w:szCs w:val="22"/>
              </w:rPr>
              <w:t>Disclosure and Barring Service (DBS)”</w:t>
            </w:r>
          </w:p>
          <w:p w14:paraId="7316A136" w14:textId="04D6C54C" w:rsidR="00853653" w:rsidRPr="00853653" w:rsidRDefault="00853653">
            <w:pPr>
              <w:rPr>
                <w:rFonts w:ascii="Calibri" w:hAnsi="Calibri" w:cs="Calibri"/>
                <w:color w:val="000000"/>
                <w:sz w:val="22"/>
                <w:szCs w:val="22"/>
              </w:rPr>
            </w:pPr>
          </w:p>
        </w:tc>
      </w:tr>
      <w:tr w:rsidR="00853653" w:rsidRPr="00853653" w14:paraId="06454979" w14:textId="77777777" w:rsidTr="00853653">
        <w:tc>
          <w:tcPr>
            <w:tcW w:w="988" w:type="dxa"/>
          </w:tcPr>
          <w:p w14:paraId="45986E5A" w14:textId="356A40A3" w:rsidR="00853653" w:rsidRPr="00853653" w:rsidRDefault="00853653">
            <w:pPr>
              <w:rPr>
                <w:rFonts w:ascii="Calibri" w:hAnsi="Calibri" w:cs="Calibri"/>
                <w:sz w:val="22"/>
                <w:szCs w:val="22"/>
              </w:rPr>
            </w:pPr>
            <w:r w:rsidRPr="00853653">
              <w:rPr>
                <w:rFonts w:ascii="Calibri" w:hAnsi="Calibri" w:cs="Calibri"/>
                <w:sz w:val="22"/>
                <w:szCs w:val="22"/>
              </w:rPr>
              <w:t>12.2</w:t>
            </w:r>
          </w:p>
        </w:tc>
        <w:tc>
          <w:tcPr>
            <w:tcW w:w="6378" w:type="dxa"/>
          </w:tcPr>
          <w:p w14:paraId="03CE444C" w14:textId="77777777" w:rsidR="00853653" w:rsidRPr="00853653" w:rsidRDefault="00853653">
            <w:pPr>
              <w:rPr>
                <w:rFonts w:ascii="Calibri" w:hAnsi="Calibri" w:cs="Calibri"/>
                <w:color w:val="000000"/>
                <w:sz w:val="22"/>
                <w:szCs w:val="22"/>
              </w:rPr>
            </w:pPr>
          </w:p>
        </w:tc>
        <w:tc>
          <w:tcPr>
            <w:tcW w:w="6379" w:type="dxa"/>
          </w:tcPr>
          <w:p w14:paraId="26079C34" w14:textId="77777777" w:rsidR="00853653" w:rsidRPr="00853653" w:rsidRDefault="00853653">
            <w:pPr>
              <w:rPr>
                <w:rFonts w:ascii="Calibri" w:hAnsi="Calibri" w:cs="Calibri"/>
                <w:color w:val="000000"/>
                <w:sz w:val="22"/>
                <w:szCs w:val="22"/>
              </w:rPr>
            </w:pPr>
            <w:r w:rsidRPr="00853653">
              <w:rPr>
                <w:rFonts w:ascii="Calibri" w:hAnsi="Calibri" w:cs="Calibri"/>
                <w:color w:val="000000"/>
                <w:sz w:val="22"/>
                <w:szCs w:val="22"/>
              </w:rPr>
              <w:t>Add:</w:t>
            </w:r>
          </w:p>
          <w:p w14:paraId="0C29A95A" w14:textId="77777777" w:rsidR="00853653" w:rsidRPr="00853653" w:rsidRDefault="00853653">
            <w:pPr>
              <w:rPr>
                <w:rFonts w:ascii="Calibri" w:hAnsi="Calibri" w:cs="Calibri"/>
                <w:color w:val="000000"/>
                <w:sz w:val="22"/>
                <w:szCs w:val="22"/>
              </w:rPr>
            </w:pPr>
            <w:r w:rsidRPr="00853653">
              <w:rPr>
                <w:rFonts w:ascii="Calibri" w:hAnsi="Calibri" w:cs="Calibri"/>
                <w:color w:val="000000"/>
                <w:sz w:val="22"/>
                <w:szCs w:val="22"/>
              </w:rPr>
              <w:t>In determining risk, the Authority will have regard to current Gambling Commission compliance priorities, including the prevention of illegal gambling, non-compliant gaming machines and unlawful lotteries.</w:t>
            </w:r>
          </w:p>
          <w:p w14:paraId="1B1EC3AB" w14:textId="79A76C6F" w:rsidR="00853653" w:rsidRPr="00853653" w:rsidRDefault="00853653">
            <w:pPr>
              <w:rPr>
                <w:rFonts w:ascii="Calibri" w:hAnsi="Calibri" w:cs="Calibri"/>
                <w:color w:val="000000"/>
                <w:sz w:val="22"/>
                <w:szCs w:val="22"/>
              </w:rPr>
            </w:pPr>
          </w:p>
        </w:tc>
      </w:tr>
      <w:tr w:rsidR="00853653" w:rsidRPr="00853653" w14:paraId="221D9453" w14:textId="77777777" w:rsidTr="00853653">
        <w:tc>
          <w:tcPr>
            <w:tcW w:w="988" w:type="dxa"/>
          </w:tcPr>
          <w:p w14:paraId="011A5F5D" w14:textId="6AD39FD4" w:rsidR="00853653" w:rsidRPr="00853653" w:rsidRDefault="00853653">
            <w:pPr>
              <w:rPr>
                <w:rFonts w:ascii="Calibri" w:hAnsi="Calibri" w:cs="Calibri"/>
                <w:sz w:val="22"/>
                <w:szCs w:val="22"/>
              </w:rPr>
            </w:pPr>
            <w:r w:rsidRPr="00853653">
              <w:rPr>
                <w:rFonts w:ascii="Calibri" w:hAnsi="Calibri" w:cs="Calibri"/>
                <w:sz w:val="22"/>
                <w:szCs w:val="22"/>
              </w:rPr>
              <w:t>Page 30</w:t>
            </w:r>
          </w:p>
        </w:tc>
        <w:tc>
          <w:tcPr>
            <w:tcW w:w="6378" w:type="dxa"/>
          </w:tcPr>
          <w:p w14:paraId="6BC91866" w14:textId="77777777" w:rsidR="00853653" w:rsidRPr="00853653" w:rsidRDefault="00853653">
            <w:pPr>
              <w:rPr>
                <w:rFonts w:ascii="Calibri" w:hAnsi="Calibri" w:cs="Calibri"/>
                <w:color w:val="000000"/>
                <w:sz w:val="22"/>
                <w:szCs w:val="22"/>
              </w:rPr>
            </w:pPr>
          </w:p>
        </w:tc>
        <w:tc>
          <w:tcPr>
            <w:tcW w:w="6379" w:type="dxa"/>
          </w:tcPr>
          <w:p w14:paraId="61AD4C61" w14:textId="77777777" w:rsidR="00853653" w:rsidRPr="00853653" w:rsidRDefault="00853653">
            <w:pPr>
              <w:rPr>
                <w:rFonts w:ascii="Calibri" w:hAnsi="Calibri" w:cs="Calibri"/>
                <w:color w:val="000000"/>
                <w:sz w:val="22"/>
                <w:szCs w:val="22"/>
              </w:rPr>
            </w:pPr>
            <w:r w:rsidRPr="00853653">
              <w:rPr>
                <w:rFonts w:ascii="Calibri" w:hAnsi="Calibri" w:cs="Calibri"/>
                <w:color w:val="000000"/>
                <w:sz w:val="22"/>
                <w:szCs w:val="22"/>
              </w:rPr>
              <w:t>Update contact details for Protection of Children to:</w:t>
            </w:r>
          </w:p>
          <w:p w14:paraId="1ECBA17F" w14:textId="77777777" w:rsidR="00853653" w:rsidRPr="00853653" w:rsidRDefault="00853653" w:rsidP="00853653">
            <w:pPr>
              <w:rPr>
                <w:rFonts w:ascii="Calibri" w:eastAsia="Times New Roman" w:hAnsi="Calibri" w:cs="Calibri"/>
                <w:kern w:val="0"/>
                <w:sz w:val="22"/>
                <w:szCs w:val="22"/>
                <w:lang w:eastAsia="en-GB"/>
                <w14:ligatures w14:val="none"/>
              </w:rPr>
            </w:pPr>
          </w:p>
          <w:p w14:paraId="58CAE64D" w14:textId="0161C4E8" w:rsidR="00853653" w:rsidRPr="00853653" w:rsidRDefault="00853653" w:rsidP="00853653">
            <w:pPr>
              <w:rPr>
                <w:rFonts w:ascii="Calibri" w:eastAsia="Times New Roman" w:hAnsi="Calibri" w:cs="Calibri"/>
                <w:kern w:val="0"/>
                <w:sz w:val="22"/>
                <w:szCs w:val="22"/>
                <w:lang w:eastAsia="en-GB"/>
                <w14:ligatures w14:val="none"/>
              </w:rPr>
            </w:pPr>
            <w:r w:rsidRPr="00853653">
              <w:rPr>
                <w:rFonts w:ascii="Calibri" w:eastAsia="Times New Roman" w:hAnsi="Calibri" w:cs="Calibri"/>
                <w:kern w:val="0"/>
                <w:sz w:val="22"/>
                <w:szCs w:val="22"/>
                <w:lang w:eastAsia="en-GB"/>
                <w14:ligatures w14:val="none"/>
              </w:rPr>
              <w:t>Children’s Safeguarding Assurance Partnership</w:t>
            </w:r>
          </w:p>
          <w:p w14:paraId="5C31C4CE" w14:textId="77777777" w:rsidR="00853653" w:rsidRPr="00853653" w:rsidRDefault="00853653">
            <w:pPr>
              <w:rPr>
                <w:rFonts w:ascii="Calibri" w:hAnsi="Calibri" w:cs="Calibri"/>
                <w:color w:val="000000"/>
                <w:sz w:val="22"/>
                <w:szCs w:val="22"/>
              </w:rPr>
            </w:pPr>
          </w:p>
          <w:p w14:paraId="42F39E49" w14:textId="0294B5FD" w:rsidR="00853653" w:rsidRDefault="00853653">
            <w:pPr>
              <w:rPr>
                <w:rFonts w:ascii="Calibri" w:hAnsi="Calibri" w:cs="Calibri"/>
                <w:color w:val="000000"/>
                <w:sz w:val="22"/>
                <w:szCs w:val="22"/>
              </w:rPr>
            </w:pPr>
            <w:hyperlink r:id="rId7" w:history="1">
              <w:r w:rsidRPr="000B47C1">
                <w:rPr>
                  <w:rStyle w:val="Hyperlink"/>
                  <w:rFonts w:ascii="Calibri" w:hAnsi="Calibri" w:cs="Calibri"/>
                  <w:sz w:val="22"/>
                  <w:szCs w:val="22"/>
                </w:rPr>
                <w:t>JPBU@lancashire.gov.uk</w:t>
              </w:r>
            </w:hyperlink>
          </w:p>
          <w:p w14:paraId="1CB9E1F1" w14:textId="1D093793" w:rsidR="00853653" w:rsidRPr="00853653" w:rsidRDefault="00853653">
            <w:pPr>
              <w:rPr>
                <w:rFonts w:ascii="Calibri" w:hAnsi="Calibri" w:cs="Calibri"/>
                <w:color w:val="000000"/>
                <w:sz w:val="22"/>
                <w:szCs w:val="22"/>
              </w:rPr>
            </w:pPr>
          </w:p>
        </w:tc>
      </w:tr>
    </w:tbl>
    <w:p w14:paraId="3DD0D1B6" w14:textId="77777777" w:rsidR="000D52D3" w:rsidRPr="00853653" w:rsidRDefault="000D52D3">
      <w:pPr>
        <w:rPr>
          <w:rFonts w:ascii="Calibri" w:hAnsi="Calibri" w:cs="Calibri"/>
          <w:sz w:val="22"/>
          <w:szCs w:val="22"/>
        </w:rPr>
      </w:pPr>
    </w:p>
    <w:sectPr w:rsidR="000D52D3" w:rsidRPr="00853653" w:rsidSect="0085365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D3"/>
    <w:rsid w:val="000D52D3"/>
    <w:rsid w:val="00211E35"/>
    <w:rsid w:val="002D5D74"/>
    <w:rsid w:val="0051275F"/>
    <w:rsid w:val="00677DB8"/>
    <w:rsid w:val="00853653"/>
    <w:rsid w:val="00E06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675C"/>
  <w15:chartTrackingRefBased/>
  <w15:docId w15:val="{CECCD108-0477-4770-A9AE-BAA21B50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2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2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2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2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2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2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2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2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2D3"/>
    <w:rPr>
      <w:rFonts w:eastAsiaTheme="majorEastAsia" w:cstheme="majorBidi"/>
      <w:color w:val="272727" w:themeColor="text1" w:themeTint="D8"/>
    </w:rPr>
  </w:style>
  <w:style w:type="paragraph" w:styleId="Title">
    <w:name w:val="Title"/>
    <w:basedOn w:val="Normal"/>
    <w:next w:val="Normal"/>
    <w:link w:val="TitleChar"/>
    <w:uiPriority w:val="10"/>
    <w:qFormat/>
    <w:rsid w:val="000D5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2D3"/>
    <w:pPr>
      <w:spacing w:before="160"/>
      <w:jc w:val="center"/>
    </w:pPr>
    <w:rPr>
      <w:i/>
      <w:iCs/>
      <w:color w:val="404040" w:themeColor="text1" w:themeTint="BF"/>
    </w:rPr>
  </w:style>
  <w:style w:type="character" w:customStyle="1" w:styleId="QuoteChar">
    <w:name w:val="Quote Char"/>
    <w:basedOn w:val="DefaultParagraphFont"/>
    <w:link w:val="Quote"/>
    <w:uiPriority w:val="29"/>
    <w:rsid w:val="000D52D3"/>
    <w:rPr>
      <w:i/>
      <w:iCs/>
      <w:color w:val="404040" w:themeColor="text1" w:themeTint="BF"/>
    </w:rPr>
  </w:style>
  <w:style w:type="paragraph" w:styleId="ListParagraph">
    <w:name w:val="List Paragraph"/>
    <w:basedOn w:val="Normal"/>
    <w:uiPriority w:val="34"/>
    <w:qFormat/>
    <w:rsid w:val="000D52D3"/>
    <w:pPr>
      <w:ind w:left="720"/>
      <w:contextualSpacing/>
    </w:pPr>
  </w:style>
  <w:style w:type="character" w:styleId="IntenseEmphasis">
    <w:name w:val="Intense Emphasis"/>
    <w:basedOn w:val="DefaultParagraphFont"/>
    <w:uiPriority w:val="21"/>
    <w:qFormat/>
    <w:rsid w:val="000D52D3"/>
    <w:rPr>
      <w:i/>
      <w:iCs/>
      <w:color w:val="0F4761" w:themeColor="accent1" w:themeShade="BF"/>
    </w:rPr>
  </w:style>
  <w:style w:type="paragraph" w:styleId="IntenseQuote">
    <w:name w:val="Intense Quote"/>
    <w:basedOn w:val="Normal"/>
    <w:next w:val="Normal"/>
    <w:link w:val="IntenseQuoteChar"/>
    <w:uiPriority w:val="30"/>
    <w:qFormat/>
    <w:rsid w:val="000D5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2D3"/>
    <w:rPr>
      <w:i/>
      <w:iCs/>
      <w:color w:val="0F4761" w:themeColor="accent1" w:themeShade="BF"/>
    </w:rPr>
  </w:style>
  <w:style w:type="character" w:styleId="IntenseReference">
    <w:name w:val="Intense Reference"/>
    <w:basedOn w:val="DefaultParagraphFont"/>
    <w:uiPriority w:val="32"/>
    <w:qFormat/>
    <w:rsid w:val="000D52D3"/>
    <w:rPr>
      <w:b/>
      <w:bCs/>
      <w:smallCaps/>
      <w:color w:val="0F4761" w:themeColor="accent1" w:themeShade="BF"/>
      <w:spacing w:val="5"/>
    </w:rPr>
  </w:style>
  <w:style w:type="table" w:styleId="TableGrid">
    <w:name w:val="Table Grid"/>
    <w:basedOn w:val="TableNormal"/>
    <w:uiPriority w:val="39"/>
    <w:rsid w:val="000D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653"/>
    <w:rPr>
      <w:color w:val="467886" w:themeColor="hyperlink"/>
      <w:u w:val="single"/>
    </w:rPr>
  </w:style>
  <w:style w:type="character" w:styleId="UnresolvedMention">
    <w:name w:val="Unresolved Mention"/>
    <w:basedOn w:val="DefaultParagraphFont"/>
    <w:uiPriority w:val="99"/>
    <w:semiHidden/>
    <w:unhideWhenUsed/>
    <w:rsid w:val="00853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JPBU@lanca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A4A24CC772748ABA8867CD8F863F3" ma:contentTypeVersion="16" ma:contentTypeDescription="Create a new document." ma:contentTypeScope="" ma:versionID="ba4d0dce0bb95b963ddfcbed8eb5a635">
  <xsd:schema xmlns:xsd="http://www.w3.org/2001/XMLSchema" xmlns:xs="http://www.w3.org/2001/XMLSchema" xmlns:p="http://schemas.microsoft.com/office/2006/metadata/properties" xmlns:ns2="20a6253f-41bb-4d26-a358-f9c5dbe5ecf9" xmlns:ns3="8adb9af3-c7ca-4ab7-9087-5274080f32ab" targetNamespace="http://schemas.microsoft.com/office/2006/metadata/properties" ma:root="true" ma:fieldsID="ae93b457ce3cb12ada8c64a01348b293" ns2:_="" ns3:_="">
    <xsd:import namespace="20a6253f-41bb-4d26-a358-f9c5dbe5ecf9"/>
    <xsd:import namespace="8adb9af3-c7ca-4ab7-9087-5274080f32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253f-41bb-4d26-a358-f9c5dbe5e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b9af3-c7ca-4ab7-9087-5274080f32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ac144c-94d9-4032-9122-950d0b78884b}" ma:internalName="TaxCatchAll" ma:showField="CatchAllData" ma:web="8adb9af3-c7ca-4ab7-9087-5274080f32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a6253f-41bb-4d26-a358-f9c5dbe5ecf9">
      <Terms xmlns="http://schemas.microsoft.com/office/infopath/2007/PartnerControls"/>
    </lcf76f155ced4ddcb4097134ff3c332f>
    <TaxCatchAll xmlns="8adb9af3-c7ca-4ab7-9087-5274080f3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7D030-DC28-49F1-81A9-B96B4FB46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253f-41bb-4d26-a358-f9c5dbe5ecf9"/>
    <ds:schemaRef ds:uri="8adb9af3-c7ca-4ab7-9087-5274080f3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440B4-B374-48AA-B485-54E452A4D7EA}">
  <ds:schemaRefs>
    <ds:schemaRef ds:uri="http://schemas.microsoft.com/office/2006/metadata/properties"/>
    <ds:schemaRef ds:uri="http://schemas.microsoft.com/office/infopath/2007/PartnerControls"/>
    <ds:schemaRef ds:uri="20a6253f-41bb-4d26-a358-f9c5dbe5ecf9"/>
    <ds:schemaRef ds:uri="8adb9af3-c7ca-4ab7-9087-5274080f32ab"/>
  </ds:schemaRefs>
</ds:datastoreItem>
</file>

<file path=customXml/itemProps3.xml><?xml version="1.0" encoding="utf-8"?>
<ds:datastoreItem xmlns:ds="http://schemas.openxmlformats.org/officeDocument/2006/customXml" ds:itemID="{959B6759-29C2-43CA-84FA-C417ED3C4258}">
  <ds:schemaRefs>
    <ds:schemaRef ds:uri="http://schemas.microsoft.com/sharepoint/v3/contenttype/forms"/>
  </ds:schemaRefs>
</ds:datastoreItem>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Normal</Template>
  <TotalTime>24</TotalTime>
  <Pages>3</Pages>
  <Words>1036</Words>
  <Characters>5684</Characters>
  <Application>Microsoft Office Word</Application>
  <DocSecurity>0</DocSecurity>
  <Lines>149</Lines>
  <Paragraphs>45</Paragraphs>
  <ScaleCrop>false</ScaleCrop>
  <HeadingPairs>
    <vt:vector size="2" baseType="variant">
      <vt:variant>
        <vt:lpstr>Title</vt:lpstr>
      </vt:variant>
      <vt:variant>
        <vt:i4>1</vt:i4>
      </vt:variant>
    </vt:vector>
  </HeadingPairs>
  <TitlesOfParts>
    <vt:vector size="1" baseType="lpstr">
      <vt:lpstr/>
    </vt:vector>
  </TitlesOfParts>
  <Company>Fylde Council</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Hambly</dc:creator>
  <cp:keywords/>
  <dc:description/>
  <cp:lastModifiedBy>Chris Hambly</cp:lastModifiedBy>
  <cp:revision>3</cp:revision>
  <dcterms:created xsi:type="dcterms:W3CDTF">2026-04-17T12:03:00Z</dcterms:created>
  <dcterms:modified xsi:type="dcterms:W3CDTF">2026-04-17T12:35:00Z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0x0101005C2A4A24CC772748ABA8867CD8F863F3</vt:lpwstr>
  </property>
</Properties>
</file>