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760AF" w14:textId="77777777" w:rsidR="00916794" w:rsidRPr="00D2686F" w:rsidRDefault="00916794" w:rsidP="00916794">
      <w:pPr>
        <w:spacing w:before="240" w:after="1" w:line="400" w:lineRule="auto"/>
        <w:ind w:left="0" w:right="0" w:firstLine="0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D2686F">
        <w:rPr>
          <w:rFonts w:asciiTheme="minorHAnsi" w:hAnsiTheme="minorHAnsi" w:cstheme="minorHAnsi"/>
          <w:b/>
          <w:bCs/>
          <w:i w:val="0"/>
          <w:sz w:val="24"/>
          <w:szCs w:val="24"/>
        </w:rPr>
        <w:t>Business plan criteria</w:t>
      </w:r>
    </w:p>
    <w:p w14:paraId="7D64FB81" w14:textId="77777777" w:rsidR="00916794" w:rsidRPr="00644BA9" w:rsidRDefault="00916794" w:rsidP="00916794">
      <w:pPr>
        <w:ind w:left="0" w:firstLine="0"/>
        <w:rPr>
          <w:rFonts w:asciiTheme="minorHAnsi" w:hAnsiTheme="minorHAnsi" w:cstheme="minorHAnsi"/>
          <w:i w:val="0"/>
          <w:iCs/>
          <w:sz w:val="22"/>
          <w:szCs w:val="24"/>
        </w:rPr>
      </w:pP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A dedicated webpage entitled </w:t>
      </w:r>
      <w:hyperlink r:id="rId7" w:history="1">
        <w:r w:rsidRPr="00644BA9">
          <w:rPr>
            <w:rStyle w:val="Hyperlink"/>
            <w:rFonts w:asciiTheme="minorHAnsi" w:hAnsiTheme="minorHAnsi" w:cstheme="minorHAnsi"/>
            <w:i w:val="0"/>
            <w:iCs/>
            <w:sz w:val="22"/>
            <w:szCs w:val="24"/>
          </w:rPr>
          <w:t>Swimming in Fylde</w:t>
        </w:r>
      </w:hyperlink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 has been launched to provide information on the steps being taken to support the council resolution on swimming.</w:t>
      </w:r>
    </w:p>
    <w:p w14:paraId="1EDF2524" w14:textId="552E015B" w:rsidR="00760CD3" w:rsidRDefault="00760CD3" w:rsidP="00DE05B0">
      <w:pPr>
        <w:ind w:left="0" w:firstLine="0"/>
        <w:rPr>
          <w:rFonts w:asciiTheme="minorHAnsi" w:hAnsiTheme="minorHAnsi" w:cstheme="minorHAnsi"/>
          <w:i w:val="0"/>
          <w:iCs/>
          <w:sz w:val="22"/>
          <w:szCs w:val="24"/>
        </w:rPr>
      </w:pPr>
      <w:r>
        <w:rPr>
          <w:rFonts w:asciiTheme="minorHAnsi" w:hAnsiTheme="minorHAnsi" w:cstheme="minorHAnsi"/>
          <w:i w:val="0"/>
          <w:iCs/>
          <w:sz w:val="22"/>
          <w:szCs w:val="24"/>
        </w:rPr>
        <w:t xml:space="preserve">From 12 April to 24 May a voluntary or community body can express an interest in being considered to own and operate Kirkham Pool. For the purposes of this process a voluntary or community body is as defined in </w:t>
      </w:r>
      <w:hyperlink r:id="rId8" w:history="1">
        <w:r w:rsidR="00D2686F" w:rsidRPr="00D2686F">
          <w:rPr>
            <w:rStyle w:val="Hyperlink"/>
            <w:rFonts w:asciiTheme="minorHAnsi" w:hAnsiTheme="minorHAnsi" w:cstheme="minorHAnsi"/>
            <w:i w:val="0"/>
            <w:iCs/>
            <w:sz w:val="22"/>
            <w:szCs w:val="24"/>
          </w:rPr>
          <w:t>regulation 5 of t</w:t>
        </w:r>
        <w:r w:rsidRPr="00D2686F">
          <w:rPr>
            <w:rStyle w:val="Hyperlink"/>
            <w:rFonts w:asciiTheme="minorHAnsi" w:hAnsiTheme="minorHAnsi" w:cstheme="minorHAnsi"/>
            <w:i w:val="0"/>
            <w:iCs/>
            <w:sz w:val="22"/>
            <w:szCs w:val="24"/>
          </w:rPr>
          <w:t>he Assets of Community Value (England) Regulations 2012</w:t>
        </w:r>
      </w:hyperlink>
      <w:r>
        <w:rPr>
          <w:rFonts w:asciiTheme="minorHAnsi" w:hAnsiTheme="minorHAnsi" w:cstheme="minorHAnsi"/>
          <w:i w:val="0"/>
          <w:iCs/>
          <w:sz w:val="22"/>
          <w:szCs w:val="24"/>
        </w:rPr>
        <w:t xml:space="preserve">. 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Please refer to the definition in the Regulations and note that if the </w:t>
      </w:r>
      <w:r w:rsidR="00DE05B0" w:rsidRP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voluntary or community 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body is </w:t>
      </w:r>
      <w:r w:rsidR="00DE05B0" w:rsidRPr="00DE05B0">
        <w:rPr>
          <w:rFonts w:asciiTheme="minorHAnsi" w:hAnsiTheme="minorHAnsi" w:cstheme="minorHAnsi"/>
          <w:i w:val="0"/>
          <w:iCs/>
          <w:sz w:val="22"/>
          <w:szCs w:val="24"/>
        </w:rPr>
        <w:t>an unincorporated body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 it needs to </w:t>
      </w:r>
      <w:r w:rsidR="00DE05B0" w:rsidRPr="00DE05B0">
        <w:rPr>
          <w:rFonts w:asciiTheme="minorHAnsi" w:hAnsiTheme="minorHAnsi" w:cstheme="minorHAnsi"/>
          <w:i w:val="0"/>
          <w:iCs/>
          <w:sz w:val="22"/>
          <w:szCs w:val="24"/>
        </w:rPr>
        <w:t>include at least 21 individuals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. </w:t>
      </w:r>
    </w:p>
    <w:p w14:paraId="05979972" w14:textId="5274D284" w:rsidR="00916794" w:rsidRPr="00644BA9" w:rsidRDefault="00916794" w:rsidP="00916794">
      <w:pPr>
        <w:ind w:left="0" w:firstLine="0"/>
        <w:rPr>
          <w:rFonts w:asciiTheme="minorHAnsi" w:hAnsiTheme="minorHAnsi" w:cstheme="minorHAnsi"/>
          <w:i w:val="0"/>
          <w:iCs/>
          <w:sz w:val="22"/>
          <w:szCs w:val="24"/>
        </w:rPr>
      </w:pP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>Applicants from any voluntary or community body that have made an Expression of Interest will be contacted by email when the Expression of Interest period closes (24 May)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>, asked for confirmation of the status of their group in accordance with the above regulations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 and 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be 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>invited to prepare and submit business plans for their proposals to own and operate Kirkham Pool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>. The submission of a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 business plan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 xml:space="preserve"> is important as it will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 allow </w:t>
      </w:r>
      <w:r w:rsidR="00DE05B0">
        <w:rPr>
          <w:rFonts w:asciiTheme="minorHAnsi" w:hAnsiTheme="minorHAnsi" w:cstheme="minorHAnsi"/>
          <w:i w:val="0"/>
          <w:iCs/>
          <w:sz w:val="22"/>
          <w:szCs w:val="24"/>
        </w:rPr>
        <w:t>Fylde C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ouncil to properly assess the viability of any proposals to ensure insofar as </w:t>
      </w:r>
      <w:r w:rsidR="00D2686F" w:rsidRPr="00644BA9">
        <w:rPr>
          <w:rFonts w:asciiTheme="minorHAnsi" w:hAnsiTheme="minorHAnsi" w:cstheme="minorHAnsi"/>
          <w:i w:val="0"/>
          <w:iCs/>
          <w:sz w:val="22"/>
          <w:szCs w:val="24"/>
        </w:rPr>
        <w:t>possible,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 they are credible and deliverable. </w:t>
      </w:r>
    </w:p>
    <w:p w14:paraId="23E66250" w14:textId="387B452B" w:rsidR="00916794" w:rsidRPr="00644BA9" w:rsidRDefault="00916794" w:rsidP="00916794">
      <w:pPr>
        <w:ind w:left="0" w:firstLine="0"/>
        <w:rPr>
          <w:rFonts w:asciiTheme="minorHAnsi" w:hAnsiTheme="minorHAnsi" w:cstheme="minorHAnsi"/>
          <w:i w:val="0"/>
          <w:iCs/>
          <w:sz w:val="22"/>
          <w:szCs w:val="24"/>
        </w:rPr>
      </w:pP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 xml:space="preserve">Any voluntary or community body that does submit proposals that are acceptable to the council will be required to form a Community Interest Group prior to transfer of the asset. A CIC means a parish council or a body which is (or would at the time of the Relevant Disposal be) a Community Interest Group in relation to the land comprising the Facility within the meaning of </w:t>
      </w:r>
      <w:hyperlink r:id="rId9" w:history="1">
        <w:r w:rsidRPr="00D2686F">
          <w:rPr>
            <w:rStyle w:val="Hyperlink"/>
            <w:rFonts w:asciiTheme="minorHAnsi" w:hAnsiTheme="minorHAnsi" w:cstheme="minorHAnsi"/>
            <w:i w:val="0"/>
            <w:iCs/>
            <w:sz w:val="22"/>
            <w:szCs w:val="24"/>
          </w:rPr>
          <w:t>regulation 12(b) of the Assets of Community Value (England) Regulations 2012.</w:t>
        </w:r>
      </w:hyperlink>
    </w:p>
    <w:p w14:paraId="58565DDE" w14:textId="2E13BCF1" w:rsidR="00916794" w:rsidRPr="00644BA9" w:rsidRDefault="00916794" w:rsidP="00916794">
      <w:pPr>
        <w:ind w:left="0" w:firstLine="0"/>
        <w:rPr>
          <w:rFonts w:asciiTheme="minorHAnsi" w:hAnsiTheme="minorHAnsi" w:cstheme="minorHAnsi"/>
          <w:i w:val="0"/>
          <w:iCs/>
          <w:sz w:val="22"/>
          <w:szCs w:val="24"/>
        </w:rPr>
      </w:pP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>Creating a business plan for refurbishing and operating a community leisure swimming pool such as Kirkham Pool involves several key components. The following is a suggested list of what to include</w:t>
      </w:r>
      <w:r w:rsidR="00D2686F">
        <w:rPr>
          <w:rFonts w:asciiTheme="minorHAnsi" w:hAnsiTheme="minorHAnsi" w:cstheme="minorHAnsi"/>
          <w:i w:val="0"/>
          <w:iCs/>
          <w:sz w:val="22"/>
          <w:szCs w:val="24"/>
        </w:rPr>
        <w:t xml:space="preserve"> in your business plan</w:t>
      </w:r>
      <w:r w:rsidRPr="00644BA9">
        <w:rPr>
          <w:rFonts w:asciiTheme="minorHAnsi" w:hAnsiTheme="minorHAnsi" w:cstheme="minorHAnsi"/>
          <w:i w:val="0"/>
          <w:iCs/>
          <w:sz w:val="22"/>
          <w:szCs w:val="24"/>
        </w:rPr>
        <w:t>:</w:t>
      </w:r>
    </w:p>
    <w:p w14:paraId="045C0071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5889AD04" w14:textId="77777777" w:rsidR="00916794" w:rsidRPr="00644BA9" w:rsidRDefault="00916794" w:rsidP="00916794">
      <w:pPr>
        <w:spacing w:after="160" w:line="259" w:lineRule="auto"/>
        <w:ind w:left="0" w:right="0" w:firstLine="284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1. Executive Summary:</w:t>
      </w:r>
    </w:p>
    <w:p w14:paraId="34BF549C" w14:textId="77777777" w:rsidR="00916794" w:rsidRPr="00644BA9" w:rsidRDefault="00916794" w:rsidP="00916794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A brief overview of the business plan, including the purpose, objectives, target market, and financial highlights.</w:t>
      </w:r>
    </w:p>
    <w:p w14:paraId="2B1DBC90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2ED7BCA0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2. Introduction:</w:t>
      </w:r>
    </w:p>
    <w:p w14:paraId="256C1793" w14:textId="77777777" w:rsidR="00916794" w:rsidRPr="00644BA9" w:rsidRDefault="00916794" w:rsidP="00916794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Background information on the voluntary or community body and its mission.</w:t>
      </w:r>
    </w:p>
    <w:p w14:paraId="3ED126E3" w14:textId="77777777" w:rsidR="00916794" w:rsidRPr="00644BA9" w:rsidRDefault="00916794" w:rsidP="00916794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Proposals for forming a Community Interest Group </w:t>
      </w:r>
      <w:r w:rsidRPr="00644BA9">
        <w:rPr>
          <w:rFonts w:cs="Times New Roman"/>
          <w:i w:val="0"/>
          <w:color w:val="auto"/>
          <w:kern w:val="2"/>
          <w:sz w:val="22"/>
          <w:vertAlign w:val="superscript"/>
          <w:lang w:eastAsia="en-US"/>
          <w14:ligatures w14:val="standardContextual"/>
        </w:rPr>
        <w:footnoteReference w:id="1"/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 to take on ownership and operation of the asset.</w:t>
      </w:r>
    </w:p>
    <w:p w14:paraId="78CDAD0D" w14:textId="77777777" w:rsidR="00916794" w:rsidRPr="00644BA9" w:rsidRDefault="00916794" w:rsidP="00916794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Explanation of how refurbishing and operating the swimming pool aligns with the group’s goals.</w:t>
      </w:r>
    </w:p>
    <w:p w14:paraId="0574BCB8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7CC0F3CE" w14:textId="77777777" w:rsidR="00D2686F" w:rsidRDefault="00D2686F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br w:type="page"/>
      </w:r>
    </w:p>
    <w:p w14:paraId="6A788F05" w14:textId="60F6F279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lastRenderedPageBreak/>
        <w:t>3. Business Description:</w:t>
      </w:r>
    </w:p>
    <w:p w14:paraId="2E13AB27" w14:textId="77777777" w:rsidR="00916794" w:rsidRPr="00644BA9" w:rsidRDefault="00916794" w:rsidP="00916794">
      <w:pPr>
        <w:numPr>
          <w:ilvl w:val="0"/>
          <w:numId w:val="3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Detailed description of the swimming pool facility, its current condition, and </w:t>
      </w: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details of </w:t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proposed refurbishments</w:t>
      </w: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/costs</w:t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. </w:t>
      </w: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You may wish to refer to the surveys which have been commissioned and are available on the swim webpage. </w:t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What options have </w:t>
      </w: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you </w:t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rejected and why?</w:t>
      </w:r>
    </w:p>
    <w:p w14:paraId="4399C611" w14:textId="77777777" w:rsidR="00916794" w:rsidRPr="00644BA9" w:rsidRDefault="00916794" w:rsidP="00916794">
      <w:pPr>
        <w:numPr>
          <w:ilvl w:val="0"/>
          <w:numId w:val="3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Overview of the services to be offered, such as swimming lessons, recreational swimming, schools use, events, gym/fitness classes, etc.</w:t>
      </w:r>
    </w:p>
    <w:p w14:paraId="7D505E47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0F3DBD69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4. Market Analysis:</w:t>
      </w:r>
    </w:p>
    <w:p w14:paraId="4E98231C" w14:textId="77777777" w:rsidR="00916794" w:rsidRPr="00644BA9" w:rsidRDefault="00916794" w:rsidP="00916794">
      <w:pPr>
        <w:numPr>
          <w:ilvl w:val="0"/>
          <w:numId w:val="4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Analysis of the local market demand for swimming and leisure facilities.</w:t>
      </w:r>
    </w:p>
    <w:p w14:paraId="3D87CB54" w14:textId="77777777" w:rsidR="00916794" w:rsidRPr="00644BA9" w:rsidRDefault="00916794" w:rsidP="00916794">
      <w:pPr>
        <w:numPr>
          <w:ilvl w:val="0"/>
          <w:numId w:val="4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Identification of target demographics, including families, seniors, schools, and community groups.</w:t>
      </w:r>
    </w:p>
    <w:p w14:paraId="1D902D69" w14:textId="77777777" w:rsidR="00916794" w:rsidRPr="00644BA9" w:rsidRDefault="00916794" w:rsidP="00916794">
      <w:pPr>
        <w:numPr>
          <w:ilvl w:val="0"/>
          <w:numId w:val="4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Assessment of competitor facilities and their strengths and weaknesses.</w:t>
      </w:r>
    </w:p>
    <w:p w14:paraId="3F2ACB18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67BE292A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5. Organisation and Management:</w:t>
      </w:r>
    </w:p>
    <w:p w14:paraId="053E1B1C" w14:textId="77777777" w:rsidR="00916794" w:rsidRPr="00644BA9" w:rsidRDefault="00916794" w:rsidP="00916794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Structure of the proposed Community Interest Group that will be responsible for managing the swimming pool.</w:t>
      </w:r>
    </w:p>
    <w:p w14:paraId="3AA2B566" w14:textId="77777777" w:rsidR="00916794" w:rsidRDefault="00916794" w:rsidP="00916794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Roles and responsibilities of key personnel involved in the project.</w:t>
      </w:r>
    </w:p>
    <w:p w14:paraId="0F15D4B0" w14:textId="77777777" w:rsidR="00916794" w:rsidRPr="00644BA9" w:rsidRDefault="00916794" w:rsidP="00916794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Training and development proposals for staff.</w:t>
      </w:r>
    </w:p>
    <w:p w14:paraId="538D141E" w14:textId="77777777" w:rsidR="00916794" w:rsidRPr="00644BA9" w:rsidRDefault="00916794" w:rsidP="00916794">
      <w:pPr>
        <w:numPr>
          <w:ilvl w:val="0"/>
          <w:numId w:val="5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Organisational chart demonstrating the proposed management and operational hierarchy.</w:t>
      </w:r>
    </w:p>
    <w:p w14:paraId="664994DE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2FE0FDEA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6. Marketing and Sales Strategy:</w:t>
      </w:r>
    </w:p>
    <w:p w14:paraId="6579B7BF" w14:textId="77777777" w:rsidR="00916794" w:rsidRPr="00644BA9" w:rsidRDefault="00916794" w:rsidP="00916794">
      <w:pPr>
        <w:numPr>
          <w:ilvl w:val="0"/>
          <w:numId w:val="6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Marketing plan outlining how the swimming pool will be promoted to attract customers.</w:t>
      </w:r>
    </w:p>
    <w:p w14:paraId="098B0E01" w14:textId="77777777" w:rsidR="00916794" w:rsidRPr="00644BA9" w:rsidRDefault="00916794" w:rsidP="00916794">
      <w:pPr>
        <w:numPr>
          <w:ilvl w:val="0"/>
          <w:numId w:val="6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Pricing strategy for admission fees, memberships, and other services.</w:t>
      </w:r>
    </w:p>
    <w:p w14:paraId="36A4FA41" w14:textId="77777777" w:rsidR="00916794" w:rsidRPr="00644BA9" w:rsidRDefault="00916794" w:rsidP="00916794">
      <w:pPr>
        <w:numPr>
          <w:ilvl w:val="0"/>
          <w:numId w:val="6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Plans for community engagement and outreach to build awareness and loyalty.</w:t>
      </w:r>
    </w:p>
    <w:p w14:paraId="72216ACC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070B167D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7. Operations Plan:</w:t>
      </w:r>
    </w:p>
    <w:p w14:paraId="4F6A6EFC" w14:textId="77777777" w:rsidR="00916794" w:rsidRPr="00644BA9" w:rsidRDefault="00916794" w:rsidP="00916794">
      <w:pPr>
        <w:numPr>
          <w:ilvl w:val="0"/>
          <w:numId w:val="7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Proposals for day-to-day operations, including hours of operation, staffing requirements, and safety protocols.</w:t>
      </w:r>
    </w:p>
    <w:p w14:paraId="41308E84" w14:textId="77777777" w:rsidR="00916794" w:rsidRPr="00644BA9" w:rsidRDefault="00916794" w:rsidP="00916794">
      <w:pPr>
        <w:numPr>
          <w:ilvl w:val="0"/>
          <w:numId w:val="7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Maintenance schedule for the swimming pool and equipment.</w:t>
      </w:r>
    </w:p>
    <w:p w14:paraId="7ED8370A" w14:textId="77777777" w:rsidR="00916794" w:rsidRPr="00644BA9" w:rsidRDefault="00916794" w:rsidP="00916794">
      <w:pPr>
        <w:numPr>
          <w:ilvl w:val="0"/>
          <w:numId w:val="7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Partnerships with suppliers for pool chemicals, equipment, and other necessities.</w:t>
      </w:r>
    </w:p>
    <w:p w14:paraId="47C479B6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577E175A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8. Financial Plan:</w:t>
      </w:r>
    </w:p>
    <w:p w14:paraId="1B52C88A" w14:textId="77777777" w:rsidR="00916794" w:rsidRPr="00644BA9" w:rsidRDefault="00916794" w:rsidP="00916794">
      <w:pPr>
        <w:numPr>
          <w:ilvl w:val="0"/>
          <w:numId w:val="8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Capital costs and timescales for refurbishing the swimming pool and any necessary infrastructure improvements, including how capital funding will be secured.</w:t>
      </w:r>
    </w:p>
    <w:p w14:paraId="51E41EBD" w14:textId="77777777" w:rsidR="00916794" w:rsidRPr="00644BA9" w:rsidRDefault="00916794" w:rsidP="00916794">
      <w:pPr>
        <w:numPr>
          <w:ilvl w:val="0"/>
          <w:numId w:val="8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Revenue projections based on expected attendance, membership sales, and other income streams (over a minimum of 5 years).</w:t>
      </w:r>
    </w:p>
    <w:p w14:paraId="377C12E0" w14:textId="77777777" w:rsidR="00916794" w:rsidRPr="00644BA9" w:rsidRDefault="00916794" w:rsidP="00916794">
      <w:pPr>
        <w:numPr>
          <w:ilvl w:val="0"/>
          <w:numId w:val="8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Operating expenses, including staffing, utilities, maintenance, and marketing (over a minimum of 5 years).</w:t>
      </w:r>
    </w:p>
    <w:p w14:paraId="2DECE987" w14:textId="77777777" w:rsidR="00916794" w:rsidRPr="00644BA9" w:rsidRDefault="00916794" w:rsidP="00916794">
      <w:pPr>
        <w:numPr>
          <w:ilvl w:val="0"/>
          <w:numId w:val="8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Break-even analysis and projected profitability.</w:t>
      </w:r>
    </w:p>
    <w:p w14:paraId="74C7A4D3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2A0B291E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lastRenderedPageBreak/>
        <w:t>9. Risk Management:</w:t>
      </w:r>
    </w:p>
    <w:p w14:paraId="09351E1F" w14:textId="77777777" w:rsidR="00916794" w:rsidRPr="00644BA9" w:rsidRDefault="00916794" w:rsidP="00916794">
      <w:pPr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Identification of potential risks and challenges, such as unexpected maintenance costs, competition, or changes in regulations.</w:t>
      </w:r>
    </w:p>
    <w:p w14:paraId="55D143E8" w14:textId="77777777" w:rsidR="00916794" w:rsidRPr="00644BA9" w:rsidRDefault="00916794" w:rsidP="00916794">
      <w:pPr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Strategies for mitigating risks, such as </w:t>
      </w: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obtaining </w:t>
      </w: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insurance coverage and contingency plans.</w:t>
      </w:r>
    </w:p>
    <w:p w14:paraId="58270168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6B6DE2B9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10. Sustainability and Community Impact:</w:t>
      </w:r>
    </w:p>
    <w:p w14:paraId="719FBB48" w14:textId="77777777" w:rsidR="00916794" w:rsidRPr="00644BA9" w:rsidRDefault="00916794" w:rsidP="00916794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Strategies for making the swimming pool operation more environmentally sustainable.</w:t>
      </w:r>
    </w:p>
    <w:p w14:paraId="17E09E89" w14:textId="77777777" w:rsidR="00916794" w:rsidRDefault="00916794" w:rsidP="00916794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Discussion of the social and economic benefits to the community, such as improved health and recreation opportunities.</w:t>
      </w:r>
    </w:p>
    <w:p w14:paraId="1F2EBE78" w14:textId="77777777" w:rsidR="00916794" w:rsidRPr="00644BA9" w:rsidRDefault="00916794" w:rsidP="00916794">
      <w:pPr>
        <w:numPr>
          <w:ilvl w:val="0"/>
          <w:numId w:val="10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 xml:space="preserve">Understanding and recognition of the heritage value of the pool to the community and how this can be protected and enhanced. </w:t>
      </w:r>
    </w:p>
    <w:p w14:paraId="5F4DCD1F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46C2FBB2" w14:textId="77777777" w:rsidR="00916794" w:rsidRPr="00644BA9" w:rsidRDefault="00916794" w:rsidP="00916794">
      <w:pPr>
        <w:spacing w:after="160" w:line="259" w:lineRule="auto"/>
        <w:ind w:left="0" w:right="0" w:firstLine="36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11. Appendices:</w:t>
      </w:r>
    </w:p>
    <w:p w14:paraId="413EC8E9" w14:textId="77777777" w:rsidR="00916794" w:rsidRPr="00644BA9" w:rsidRDefault="00916794" w:rsidP="00916794">
      <w:pPr>
        <w:numPr>
          <w:ilvl w:val="0"/>
          <w:numId w:val="11"/>
        </w:numPr>
        <w:spacing w:after="160" w:line="259" w:lineRule="auto"/>
        <w:ind w:right="0"/>
        <w:contextualSpacing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Additional supporting documents, such as market research data, resumes of key personnel, and architectural plans for refurbishments.</w:t>
      </w:r>
    </w:p>
    <w:p w14:paraId="20AE660B" w14:textId="77777777" w:rsidR="00916794" w:rsidRPr="00644BA9" w:rsidRDefault="00916794" w:rsidP="00916794">
      <w:pPr>
        <w:spacing w:after="160" w:line="259" w:lineRule="auto"/>
        <w:ind w:left="0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</w:p>
    <w:p w14:paraId="5D8D6DD7" w14:textId="77777777" w:rsidR="00916794" w:rsidRPr="00644BA9" w:rsidRDefault="00916794" w:rsidP="00916794">
      <w:pPr>
        <w:spacing w:after="160" w:line="259" w:lineRule="auto"/>
        <w:ind w:left="345" w:right="0" w:firstLine="0"/>
        <w:jc w:val="left"/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</w:pPr>
      <w:r w:rsidRPr="00644BA9">
        <w:rPr>
          <w:rFonts w:cs="Times New Roman"/>
          <w:i w:val="0"/>
          <w:color w:val="auto"/>
          <w:kern w:val="2"/>
          <w:sz w:val="22"/>
          <w:lang w:eastAsia="en-US"/>
          <w14:ligatures w14:val="standardContextual"/>
        </w:rPr>
        <w:t>Remember to tailor each section to the specific needs and goals of your voluntary or community body/proposed Community Interest Group and be sure to gather input and feedback from stakeholders throughout the planning process.</w:t>
      </w:r>
    </w:p>
    <w:sectPr w:rsidR="00916794" w:rsidRPr="00644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3307B" w14:textId="77777777" w:rsidR="00834C67" w:rsidRDefault="00834C67" w:rsidP="00916794">
      <w:pPr>
        <w:spacing w:after="0" w:line="240" w:lineRule="auto"/>
      </w:pPr>
      <w:r>
        <w:separator/>
      </w:r>
    </w:p>
  </w:endnote>
  <w:endnote w:type="continuationSeparator" w:id="0">
    <w:p w14:paraId="0604DF85" w14:textId="77777777" w:rsidR="00834C67" w:rsidRDefault="00834C67" w:rsidP="0091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933B0" w14:textId="77777777" w:rsidR="00834C67" w:rsidRDefault="00834C67" w:rsidP="00916794">
      <w:pPr>
        <w:spacing w:after="0" w:line="240" w:lineRule="auto"/>
      </w:pPr>
      <w:r>
        <w:separator/>
      </w:r>
    </w:p>
  </w:footnote>
  <w:footnote w:type="continuationSeparator" w:id="0">
    <w:p w14:paraId="5616F71B" w14:textId="77777777" w:rsidR="00834C67" w:rsidRDefault="00834C67" w:rsidP="00916794">
      <w:pPr>
        <w:spacing w:after="0" w:line="240" w:lineRule="auto"/>
      </w:pPr>
      <w:r>
        <w:continuationSeparator/>
      </w:r>
    </w:p>
  </w:footnote>
  <w:footnote w:id="1">
    <w:p w14:paraId="1C6EF9DA" w14:textId="77777777" w:rsidR="00916794" w:rsidRDefault="00916794" w:rsidP="00916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FF4">
        <w:t>•</w:t>
      </w:r>
      <w:r w:rsidRPr="00B54FF4">
        <w:tab/>
      </w:r>
      <w:r>
        <w:t>A</w:t>
      </w:r>
      <w:r w:rsidRPr="00B54FF4">
        <w:t xml:space="preserve"> parish council or a body which is (or would at the time of the Relevant Disposal be) a Community Interest Group in relation to the land comprising the Facility within the meaning of regulation 12(b) of the Assets of Community Value (England) Regulations 2012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3452"/>
    <w:multiLevelType w:val="hybridMultilevel"/>
    <w:tmpl w:val="C1A4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9B1"/>
    <w:multiLevelType w:val="hybridMultilevel"/>
    <w:tmpl w:val="C18C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DCA"/>
    <w:multiLevelType w:val="hybridMultilevel"/>
    <w:tmpl w:val="48CC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4D8D"/>
    <w:multiLevelType w:val="hybridMultilevel"/>
    <w:tmpl w:val="9BB2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705"/>
    <w:multiLevelType w:val="hybridMultilevel"/>
    <w:tmpl w:val="0954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7A4"/>
    <w:multiLevelType w:val="hybridMultilevel"/>
    <w:tmpl w:val="C254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C5C"/>
    <w:multiLevelType w:val="hybridMultilevel"/>
    <w:tmpl w:val="1BCC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3D3B"/>
    <w:multiLevelType w:val="hybridMultilevel"/>
    <w:tmpl w:val="71BC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2A22"/>
    <w:multiLevelType w:val="hybridMultilevel"/>
    <w:tmpl w:val="07CE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65"/>
    <w:multiLevelType w:val="hybridMultilevel"/>
    <w:tmpl w:val="A628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6630"/>
    <w:multiLevelType w:val="hybridMultilevel"/>
    <w:tmpl w:val="F26A7B92"/>
    <w:lvl w:ilvl="0" w:tplc="1DF83E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A3C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A80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CD0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050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3D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89D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22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422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0796055">
    <w:abstractNumId w:val="10"/>
  </w:num>
  <w:num w:numId="2" w16cid:durableId="422724103">
    <w:abstractNumId w:val="4"/>
  </w:num>
  <w:num w:numId="3" w16cid:durableId="722682096">
    <w:abstractNumId w:val="9"/>
  </w:num>
  <w:num w:numId="4" w16cid:durableId="735932144">
    <w:abstractNumId w:val="5"/>
  </w:num>
  <w:num w:numId="5" w16cid:durableId="1702824195">
    <w:abstractNumId w:val="7"/>
  </w:num>
  <w:num w:numId="6" w16cid:durableId="7105930">
    <w:abstractNumId w:val="2"/>
  </w:num>
  <w:num w:numId="7" w16cid:durableId="1187865171">
    <w:abstractNumId w:val="6"/>
  </w:num>
  <w:num w:numId="8" w16cid:durableId="399715817">
    <w:abstractNumId w:val="1"/>
  </w:num>
  <w:num w:numId="9" w16cid:durableId="424152854">
    <w:abstractNumId w:val="8"/>
  </w:num>
  <w:num w:numId="10" w16cid:durableId="1836146191">
    <w:abstractNumId w:val="3"/>
  </w:num>
  <w:num w:numId="11" w16cid:durableId="181170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4"/>
    <w:rsid w:val="006D33EC"/>
    <w:rsid w:val="00760CD3"/>
    <w:rsid w:val="00834C67"/>
    <w:rsid w:val="00916794"/>
    <w:rsid w:val="00A22995"/>
    <w:rsid w:val="00C635F2"/>
    <w:rsid w:val="00D2686F"/>
    <w:rsid w:val="00D46CEA"/>
    <w:rsid w:val="00D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437F"/>
  <w15:chartTrackingRefBased/>
  <w15:docId w15:val="{0203DC4D-5780-486D-9FD8-2683EC99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94"/>
    <w:pPr>
      <w:spacing w:after="159" w:line="260" w:lineRule="auto"/>
      <w:ind w:left="730" w:right="2" w:hanging="10"/>
      <w:jc w:val="both"/>
    </w:pPr>
    <w:rPr>
      <w:rFonts w:ascii="Calibri" w:eastAsia="Calibri" w:hAnsi="Calibri" w:cs="Calibri"/>
      <w:i/>
      <w:color w:val="000000"/>
      <w:kern w:val="0"/>
      <w:sz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9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7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794"/>
    <w:rPr>
      <w:rFonts w:ascii="Calibri" w:eastAsia="Calibri" w:hAnsi="Calibri" w:cs="Calibri"/>
      <w:i/>
      <w:color w:val="000000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1679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C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2/2421/regulation/5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fylde.gov.uk/swimming-in-fyl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12/2421/regulation/12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Walker</dc:creator>
  <cp:keywords/>
  <dc:description/>
  <cp:lastModifiedBy>Paul Walker</cp:lastModifiedBy>
  <cp:revision>2</cp:revision>
  <dcterms:created xsi:type="dcterms:W3CDTF">2024-05-01T16:37:00Z</dcterms:created>
  <dcterms:modified xsi:type="dcterms:W3CDTF">2024-05-01T17:09:00Z</dcterms:modified>
</cp:coreProperties>
</file>