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90C2" w14:textId="45198D5B" w:rsidR="00EC0FCF" w:rsidRPr="00CD034B" w:rsidRDefault="00FD0049" w:rsidP="00172F56">
      <w:pPr>
        <w:widowControl w:val="0"/>
        <w:spacing w:line="300" w:lineRule="auto"/>
        <w:jc w:val="both"/>
        <w:rPr>
          <w:rFonts w:ascii="Arial" w:hAnsi="Arial" w:cs="Arial"/>
          <w:b/>
          <w:sz w:val="56"/>
          <w:szCs w:val="56"/>
        </w:rPr>
      </w:pPr>
      <w:bookmarkStart w:id="0" w:name="_Hlk483387630"/>
      <w:bookmarkStart w:id="1" w:name="_Toc265142392"/>
      <w:bookmarkStart w:id="2" w:name="_Toc307328865"/>
      <w:bookmarkEnd w:id="0"/>
      <w:r w:rsidRPr="00CD034B">
        <w:rPr>
          <w:rFonts w:ascii="Arial" w:hAnsi="Arial" w:cs="Arial"/>
          <w:b/>
          <w:sz w:val="56"/>
          <w:szCs w:val="56"/>
        </w:rPr>
        <w:t>Report</w:t>
      </w:r>
      <w:r w:rsidR="00EC0FCF" w:rsidRPr="00CD034B">
        <w:rPr>
          <w:rFonts w:ascii="Arial" w:hAnsi="Arial" w:cs="Arial"/>
          <w:b/>
          <w:sz w:val="56"/>
          <w:szCs w:val="56"/>
        </w:rPr>
        <w:t xml:space="preserve"> </w:t>
      </w:r>
      <w:r w:rsidR="00B35255" w:rsidRPr="00CD034B">
        <w:rPr>
          <w:rFonts w:ascii="Arial" w:hAnsi="Arial" w:cs="Arial"/>
          <w:b/>
          <w:sz w:val="56"/>
          <w:szCs w:val="56"/>
        </w:rPr>
        <w:t>to</w:t>
      </w:r>
      <w:r w:rsidR="00EC0FCF" w:rsidRPr="00CD034B">
        <w:rPr>
          <w:rFonts w:ascii="Arial" w:hAnsi="Arial" w:cs="Arial"/>
          <w:b/>
          <w:sz w:val="56"/>
          <w:szCs w:val="56"/>
        </w:rPr>
        <w:t>:</w:t>
      </w:r>
    </w:p>
    <w:p w14:paraId="0B190D1E" w14:textId="77777777" w:rsidR="00EC0FCF" w:rsidRPr="0002058D" w:rsidRDefault="00EC0FCF" w:rsidP="00172F56">
      <w:pPr>
        <w:widowControl w:val="0"/>
        <w:spacing w:line="300" w:lineRule="auto"/>
        <w:jc w:val="both"/>
        <w:rPr>
          <w:rFonts w:ascii="Arial" w:hAnsi="Arial" w:cs="Arial"/>
          <w:sz w:val="64"/>
          <w:szCs w:val="64"/>
        </w:rPr>
      </w:pPr>
    </w:p>
    <w:p w14:paraId="48F94721" w14:textId="69382B9E" w:rsidR="00DA0AE1" w:rsidRPr="00CD034B" w:rsidRDefault="00B21374" w:rsidP="00172F56">
      <w:pPr>
        <w:widowControl w:val="0"/>
        <w:spacing w:line="300" w:lineRule="auto"/>
        <w:jc w:val="both"/>
        <w:rPr>
          <w:rFonts w:ascii="Arial Bold" w:hAnsi="Arial Bold" w:cs="Arial"/>
          <w:b/>
          <w:color w:val="0093D5"/>
          <w:sz w:val="68"/>
          <w:szCs w:val="68"/>
        </w:rPr>
      </w:pPr>
      <w:r>
        <w:rPr>
          <w:rFonts w:ascii="Arial Bold" w:hAnsi="Arial Bold" w:cs="Arial"/>
          <w:b/>
          <w:color w:val="0093D5"/>
          <w:sz w:val="68"/>
          <w:szCs w:val="68"/>
        </w:rPr>
        <w:t>Fylde</w:t>
      </w:r>
    </w:p>
    <w:p w14:paraId="647AA98A" w14:textId="69B6B42A" w:rsidR="00EC0FCF" w:rsidRPr="00CD034B" w:rsidRDefault="00A80F5D" w:rsidP="00172F56">
      <w:pPr>
        <w:widowControl w:val="0"/>
        <w:spacing w:line="300" w:lineRule="auto"/>
        <w:jc w:val="both"/>
        <w:rPr>
          <w:rFonts w:ascii="Arial Bold" w:hAnsi="Arial Bold" w:cs="Arial"/>
          <w:b/>
          <w:color w:val="0093D5"/>
          <w:sz w:val="68"/>
          <w:szCs w:val="68"/>
        </w:rPr>
      </w:pPr>
      <w:r w:rsidRPr="00CD034B">
        <w:rPr>
          <w:rFonts w:ascii="Arial Bold" w:hAnsi="Arial Bold" w:cs="Arial"/>
          <w:b/>
          <w:color w:val="0093D5"/>
          <w:sz w:val="68"/>
          <w:szCs w:val="68"/>
        </w:rPr>
        <w:t>Council</w:t>
      </w:r>
    </w:p>
    <w:p w14:paraId="50C6EF38" w14:textId="77777777" w:rsidR="00EC0FCF" w:rsidRPr="0002058D" w:rsidRDefault="00EC0FCF" w:rsidP="00172F56">
      <w:pPr>
        <w:widowControl w:val="0"/>
        <w:spacing w:line="300" w:lineRule="auto"/>
        <w:jc w:val="both"/>
        <w:rPr>
          <w:rFonts w:ascii="Arial" w:hAnsi="Arial" w:cs="Arial"/>
          <w:sz w:val="64"/>
          <w:szCs w:val="64"/>
        </w:rPr>
      </w:pPr>
    </w:p>
    <w:p w14:paraId="15CCF74C" w14:textId="77777777" w:rsidR="001227C6" w:rsidRPr="00CD034B" w:rsidRDefault="000F0E15" w:rsidP="00172F56">
      <w:pPr>
        <w:widowControl w:val="0"/>
        <w:spacing w:line="300" w:lineRule="auto"/>
        <w:jc w:val="both"/>
        <w:rPr>
          <w:rFonts w:ascii="Arial" w:hAnsi="Arial" w:cs="Arial"/>
          <w:b/>
          <w:sz w:val="56"/>
          <w:szCs w:val="56"/>
        </w:rPr>
      </w:pPr>
      <w:r w:rsidRPr="00CD034B">
        <w:rPr>
          <w:rFonts w:ascii="Arial" w:hAnsi="Arial" w:cs="Arial"/>
          <w:b/>
          <w:sz w:val="56"/>
          <w:szCs w:val="56"/>
        </w:rPr>
        <w:t>Housing</w:t>
      </w:r>
      <w:r w:rsidR="001227C6" w:rsidRPr="00CD034B">
        <w:rPr>
          <w:rFonts w:ascii="Arial" w:hAnsi="Arial" w:cs="Arial"/>
          <w:b/>
          <w:sz w:val="56"/>
          <w:szCs w:val="56"/>
        </w:rPr>
        <w:t xml:space="preserve"> </w:t>
      </w:r>
      <w:r w:rsidR="004E28EF" w:rsidRPr="00CD034B">
        <w:rPr>
          <w:rFonts w:ascii="Arial" w:hAnsi="Arial" w:cs="Arial"/>
          <w:b/>
          <w:sz w:val="56"/>
          <w:szCs w:val="56"/>
        </w:rPr>
        <w:t>Needs</w:t>
      </w:r>
    </w:p>
    <w:p w14:paraId="35FFDA19" w14:textId="76A12163" w:rsidR="00EC0FCF" w:rsidRPr="00CD034B" w:rsidRDefault="00B21374" w:rsidP="00172F56">
      <w:pPr>
        <w:widowControl w:val="0"/>
        <w:spacing w:line="300" w:lineRule="auto"/>
        <w:jc w:val="both"/>
        <w:rPr>
          <w:rFonts w:ascii="Arial" w:hAnsi="Arial" w:cs="Arial"/>
          <w:b/>
          <w:sz w:val="56"/>
          <w:szCs w:val="56"/>
        </w:rPr>
      </w:pPr>
      <w:r>
        <w:rPr>
          <w:rFonts w:ascii="Arial" w:hAnsi="Arial" w:cs="Arial"/>
          <w:b/>
          <w:sz w:val="56"/>
          <w:szCs w:val="56"/>
        </w:rPr>
        <w:t>Survey</w:t>
      </w:r>
    </w:p>
    <w:p w14:paraId="335ECA9F" w14:textId="77777777" w:rsidR="00EC0FCF" w:rsidRPr="0002058D" w:rsidRDefault="00EC0FCF" w:rsidP="00172F56">
      <w:pPr>
        <w:widowControl w:val="0"/>
        <w:spacing w:line="300" w:lineRule="auto"/>
        <w:jc w:val="both"/>
        <w:rPr>
          <w:rFonts w:ascii="Arial" w:hAnsi="Arial" w:cs="Arial"/>
          <w:sz w:val="64"/>
          <w:szCs w:val="64"/>
        </w:rPr>
      </w:pPr>
    </w:p>
    <w:p w14:paraId="5382AE0C" w14:textId="08EAF166" w:rsidR="00900651" w:rsidRPr="00CD034B" w:rsidRDefault="008A2C3E" w:rsidP="00172F56">
      <w:pPr>
        <w:widowControl w:val="0"/>
        <w:spacing w:line="300" w:lineRule="auto"/>
        <w:jc w:val="both"/>
        <w:rPr>
          <w:rFonts w:ascii="Arial" w:hAnsi="Arial" w:cs="Arial"/>
          <w:sz w:val="52"/>
          <w:szCs w:val="52"/>
        </w:rPr>
      </w:pPr>
      <w:r>
        <w:rPr>
          <w:rFonts w:ascii="Arial" w:hAnsi="Arial" w:cs="Arial"/>
          <w:sz w:val="52"/>
          <w:szCs w:val="52"/>
        </w:rPr>
        <w:t xml:space="preserve">Final </w:t>
      </w:r>
      <w:r w:rsidR="003E0093">
        <w:rPr>
          <w:rFonts w:ascii="Arial" w:hAnsi="Arial" w:cs="Arial"/>
          <w:sz w:val="52"/>
          <w:szCs w:val="52"/>
        </w:rPr>
        <w:t>Report</w:t>
      </w:r>
    </w:p>
    <w:p w14:paraId="0FCEA8BE" w14:textId="380DA518" w:rsidR="00900651" w:rsidRPr="0002058D" w:rsidRDefault="00900651" w:rsidP="00172F56">
      <w:pPr>
        <w:widowControl w:val="0"/>
        <w:spacing w:line="300" w:lineRule="auto"/>
        <w:jc w:val="both"/>
        <w:rPr>
          <w:rFonts w:ascii="Arial" w:hAnsi="Arial" w:cs="Arial"/>
          <w:sz w:val="64"/>
          <w:szCs w:val="64"/>
        </w:rPr>
      </w:pPr>
    </w:p>
    <w:p w14:paraId="569011EC" w14:textId="487FA8A8" w:rsidR="00EC0FCF" w:rsidRDefault="008A2C3E" w:rsidP="00172F56">
      <w:pPr>
        <w:widowControl w:val="0"/>
        <w:spacing w:line="300" w:lineRule="auto"/>
        <w:jc w:val="both"/>
        <w:rPr>
          <w:rFonts w:ascii="Arial" w:hAnsi="Arial" w:cs="Arial"/>
          <w:sz w:val="52"/>
          <w:szCs w:val="52"/>
        </w:rPr>
      </w:pPr>
      <w:r>
        <w:rPr>
          <w:rFonts w:ascii="Arial" w:hAnsi="Arial" w:cs="Arial"/>
          <w:sz w:val="52"/>
          <w:szCs w:val="52"/>
        </w:rPr>
        <w:t xml:space="preserve">September </w:t>
      </w:r>
      <w:r w:rsidR="00B21374">
        <w:rPr>
          <w:rFonts w:ascii="Arial" w:hAnsi="Arial" w:cs="Arial"/>
          <w:sz w:val="52"/>
          <w:szCs w:val="52"/>
        </w:rPr>
        <w:t>2022</w:t>
      </w:r>
    </w:p>
    <w:p w14:paraId="7AD76FFE" w14:textId="77777777" w:rsidR="0002058D" w:rsidRPr="0002058D" w:rsidRDefault="0002058D" w:rsidP="00172F56">
      <w:pPr>
        <w:widowControl w:val="0"/>
        <w:spacing w:line="300" w:lineRule="auto"/>
        <w:jc w:val="both"/>
        <w:rPr>
          <w:rFonts w:ascii="Arial" w:hAnsi="Arial" w:cs="Arial"/>
          <w:sz w:val="64"/>
          <w:szCs w:val="64"/>
        </w:rPr>
      </w:pPr>
    </w:p>
    <w:p w14:paraId="054C0D80" w14:textId="717D4540" w:rsidR="0002058D" w:rsidRDefault="0002058D" w:rsidP="00172F56">
      <w:pPr>
        <w:widowControl w:val="0"/>
        <w:spacing w:line="300" w:lineRule="auto"/>
        <w:jc w:val="both"/>
        <w:rPr>
          <w:rFonts w:ascii="Arial" w:hAnsi="Arial" w:cs="Arial"/>
          <w:sz w:val="20"/>
          <w:szCs w:val="20"/>
        </w:rPr>
      </w:pPr>
      <w:r w:rsidRPr="007236BD">
        <w:rPr>
          <w:rFonts w:ascii="Arial" w:hAnsi="Arial" w:cs="Arial"/>
          <w:noProof/>
          <w:sz w:val="22"/>
        </w:rPr>
        <w:drawing>
          <wp:inline distT="0" distB="0" distL="0" distR="0" wp14:anchorId="3C686AF7" wp14:editId="0CDC5156">
            <wp:extent cx="18288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800100"/>
                    </a:xfrm>
                    <a:prstGeom prst="rect">
                      <a:avLst/>
                    </a:prstGeom>
                    <a:noFill/>
                    <a:ln>
                      <a:noFill/>
                    </a:ln>
                  </pic:spPr>
                </pic:pic>
              </a:graphicData>
            </a:graphic>
          </wp:inline>
        </w:drawing>
      </w:r>
    </w:p>
    <w:p w14:paraId="27310AE3" w14:textId="77777777" w:rsidR="0002058D" w:rsidRPr="0002058D" w:rsidRDefault="0002058D" w:rsidP="00172F56">
      <w:pPr>
        <w:widowControl w:val="0"/>
        <w:spacing w:line="300" w:lineRule="auto"/>
        <w:jc w:val="both"/>
        <w:rPr>
          <w:rFonts w:ascii="Arial" w:hAnsi="Arial" w:cs="Arial"/>
          <w:sz w:val="32"/>
          <w:szCs w:val="32"/>
        </w:rPr>
      </w:pPr>
    </w:p>
    <w:p w14:paraId="28E25166" w14:textId="4865D292" w:rsidR="00EC0FCF" w:rsidRPr="005F364D" w:rsidRDefault="006C65BB" w:rsidP="00172F56">
      <w:pPr>
        <w:widowControl w:val="0"/>
        <w:spacing w:line="300" w:lineRule="auto"/>
        <w:jc w:val="both"/>
        <w:rPr>
          <w:rFonts w:ascii="Arial" w:hAnsi="Arial" w:cs="Arial"/>
          <w:sz w:val="20"/>
          <w:szCs w:val="20"/>
        </w:rPr>
      </w:pPr>
      <w:r>
        <w:rPr>
          <w:rFonts w:eastAsiaTheme="minorEastAsia"/>
          <w:noProof/>
          <w:color w:val="000000"/>
        </w:rPr>
        <w:drawing>
          <wp:inline distT="0" distB="0" distL="0" distR="0" wp14:anchorId="5FAA1D96" wp14:editId="06A17B73">
            <wp:extent cx="1769110" cy="1042035"/>
            <wp:effectExtent l="0" t="0" r="2540" b="5715"/>
            <wp:docPr id="41" name="Picture 4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69110" cy="1042035"/>
                    </a:xfrm>
                    <a:prstGeom prst="rect">
                      <a:avLst/>
                    </a:prstGeom>
                    <a:noFill/>
                    <a:ln>
                      <a:noFill/>
                    </a:ln>
                  </pic:spPr>
                </pic:pic>
              </a:graphicData>
            </a:graphic>
          </wp:inline>
        </w:drawing>
      </w:r>
    </w:p>
    <w:p w14:paraId="0D598FE6" w14:textId="77777777" w:rsidR="00A7217C" w:rsidRPr="007236BD" w:rsidRDefault="00A7217C" w:rsidP="00172F56">
      <w:pPr>
        <w:pStyle w:val="ReportHeading1"/>
        <w:pageBreakBefore w:val="0"/>
        <w:widowControl w:val="0"/>
        <w:spacing w:before="0" w:after="0" w:line="300" w:lineRule="auto"/>
        <w:jc w:val="both"/>
        <w:rPr>
          <w:rFonts w:ascii="Arial" w:hAnsi="Arial" w:cs="Arial"/>
          <w:sz w:val="20"/>
        </w:rPr>
        <w:sectPr w:rsidR="00A7217C" w:rsidRPr="007236BD" w:rsidSect="00FD0FB7">
          <w:headerReference w:type="even" r:id="rId15"/>
          <w:footerReference w:type="even" r:id="rId16"/>
          <w:pgSz w:w="11906" w:h="16838"/>
          <w:pgMar w:top="1418" w:right="964" w:bottom="1418" w:left="964" w:header="709" w:footer="709" w:gutter="340"/>
          <w:cols w:space="708"/>
          <w:docGrid w:linePitch="360"/>
        </w:sectPr>
      </w:pPr>
    </w:p>
    <w:p w14:paraId="01CE53FE" w14:textId="335FE52C" w:rsidR="00D033B4" w:rsidRPr="007236BD" w:rsidRDefault="00D033B4" w:rsidP="00172F56">
      <w:pPr>
        <w:pStyle w:val="ReportHeading1"/>
        <w:pageBreakBefore w:val="0"/>
        <w:widowControl w:val="0"/>
        <w:spacing w:before="0" w:after="0"/>
        <w:jc w:val="both"/>
        <w:rPr>
          <w:rFonts w:ascii="Arial Bold" w:hAnsi="Arial Bold" w:cs="Arial"/>
          <w:color w:val="0093D5"/>
          <w:sz w:val="32"/>
          <w:szCs w:val="32"/>
        </w:rPr>
      </w:pPr>
      <w:bookmarkStart w:id="3" w:name="_Toc446949509"/>
      <w:bookmarkStart w:id="4" w:name="_Toc447011347"/>
      <w:bookmarkStart w:id="5" w:name="_Toc461634356"/>
      <w:bookmarkStart w:id="6" w:name="_Toc464118021"/>
      <w:bookmarkStart w:id="7" w:name="_Toc464118487"/>
      <w:bookmarkStart w:id="8" w:name="_Toc466986763"/>
      <w:bookmarkStart w:id="9" w:name="_Toc470102410"/>
      <w:bookmarkStart w:id="10" w:name="_Toc470160695"/>
      <w:bookmarkStart w:id="11" w:name="_Toc473624499"/>
      <w:bookmarkStart w:id="12" w:name="_Toc483303140"/>
      <w:bookmarkStart w:id="13" w:name="_Toc483378482"/>
      <w:bookmarkStart w:id="14" w:name="_Toc490052187"/>
      <w:bookmarkStart w:id="15" w:name="_Toc500508511"/>
      <w:bookmarkStart w:id="16" w:name="_Toc505070059"/>
      <w:bookmarkStart w:id="17" w:name="_Toc511199905"/>
      <w:bookmarkStart w:id="18" w:name="_Toc281701"/>
      <w:bookmarkStart w:id="19" w:name="_Toc336754"/>
      <w:bookmarkStart w:id="20" w:name="_Toc791882"/>
      <w:bookmarkStart w:id="21" w:name="_Toc793614"/>
      <w:bookmarkStart w:id="22" w:name="_Toc12459456"/>
      <w:bookmarkStart w:id="23" w:name="_Toc21943866"/>
      <w:bookmarkStart w:id="24" w:name="_Toc38467288"/>
      <w:bookmarkStart w:id="25" w:name="_Toc39493553"/>
      <w:bookmarkStart w:id="26" w:name="_Toc106895171"/>
      <w:bookmarkStart w:id="27" w:name="_Toc112937728"/>
      <w:bookmarkStart w:id="28" w:name="_Toc265142391"/>
      <w:bookmarkStart w:id="29" w:name="_Toc307328864"/>
      <w:r w:rsidRPr="005F364D">
        <w:rPr>
          <w:rFonts w:ascii="Arial Bold" w:hAnsi="Arial Bold" w:cs="Arial"/>
          <w:color w:val="0093D5"/>
          <w:sz w:val="32"/>
          <w:szCs w:val="32"/>
        </w:rPr>
        <w:lastRenderedPageBreak/>
        <w:t>Contents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bl>
      <w:tblPr>
        <w:tblW w:w="9639" w:type="dxa"/>
        <w:jc w:val="center"/>
        <w:tblBorders>
          <w:bottom w:val="single" w:sz="12" w:space="0" w:color="0093D5"/>
        </w:tblBorders>
        <w:tblLook w:val="01E0" w:firstRow="1" w:lastRow="1" w:firstColumn="1" w:lastColumn="1" w:noHBand="0" w:noVBand="0"/>
      </w:tblPr>
      <w:tblGrid>
        <w:gridCol w:w="9639"/>
      </w:tblGrid>
      <w:tr w:rsidR="00D033B4" w:rsidRPr="007236BD" w14:paraId="2DF87A46" w14:textId="77777777" w:rsidTr="00C42BD8">
        <w:trPr>
          <w:jc w:val="center"/>
        </w:trPr>
        <w:tc>
          <w:tcPr>
            <w:tcW w:w="9639" w:type="dxa"/>
            <w:shd w:val="clear" w:color="auto" w:fill="auto"/>
            <w:vAlign w:val="center"/>
          </w:tcPr>
          <w:p w14:paraId="6378D7B7" w14:textId="77777777" w:rsidR="00D033B4" w:rsidRPr="007236BD" w:rsidRDefault="00D033B4" w:rsidP="00172F56">
            <w:pPr>
              <w:keepNext/>
              <w:keepLines/>
              <w:jc w:val="both"/>
              <w:rPr>
                <w:rFonts w:ascii="Arial" w:hAnsi="Arial"/>
                <w:sz w:val="2"/>
                <w:szCs w:val="2"/>
              </w:rPr>
            </w:pPr>
          </w:p>
        </w:tc>
      </w:tr>
    </w:tbl>
    <w:p w14:paraId="79E0F7DD" w14:textId="4C999DB7" w:rsidR="00DB55FA" w:rsidRPr="00172F56" w:rsidRDefault="0071691D" w:rsidP="0075729B">
      <w:pPr>
        <w:pStyle w:val="TOC1"/>
        <w:rPr>
          <w:rFonts w:ascii="Arial" w:eastAsiaTheme="minorEastAsia" w:hAnsi="Arial" w:cs="Arial"/>
          <w:szCs w:val="24"/>
        </w:rPr>
      </w:pPr>
      <w:r w:rsidRPr="0075729B">
        <w:rPr>
          <w:rFonts w:ascii="Arial" w:hAnsi="Arial" w:cs="Arial"/>
          <w:noProof w:val="0"/>
          <w:szCs w:val="24"/>
        </w:rPr>
        <w:fldChar w:fldCharType="begin"/>
      </w:r>
      <w:r w:rsidR="003D21A1" w:rsidRPr="0075729B">
        <w:rPr>
          <w:rFonts w:ascii="Arial" w:hAnsi="Arial" w:cs="Arial"/>
          <w:noProof w:val="0"/>
          <w:szCs w:val="24"/>
        </w:rPr>
        <w:instrText xml:space="preserve"> TOC \o "1-1" \h \z \u </w:instrText>
      </w:r>
      <w:r w:rsidRPr="0075729B">
        <w:rPr>
          <w:rFonts w:ascii="Arial" w:hAnsi="Arial" w:cs="Arial"/>
          <w:noProof w:val="0"/>
          <w:szCs w:val="24"/>
        </w:rPr>
        <w:fldChar w:fldCharType="separate"/>
      </w:r>
    </w:p>
    <w:p w14:paraId="4691E061" w14:textId="67285771" w:rsidR="00DB55FA" w:rsidRPr="00172F56" w:rsidRDefault="00F6066A" w:rsidP="0075729B">
      <w:pPr>
        <w:pStyle w:val="TOC1"/>
        <w:rPr>
          <w:rFonts w:ascii="Arial" w:eastAsiaTheme="minorEastAsia" w:hAnsi="Arial" w:cs="Arial"/>
          <w:szCs w:val="24"/>
        </w:rPr>
      </w:pPr>
      <w:hyperlink w:anchor="_Toc112937729" w:history="1">
        <w:r w:rsidR="00DB55FA" w:rsidRPr="00172F56">
          <w:rPr>
            <w:rStyle w:val="Hyperlink"/>
            <w:rFonts w:ascii="Arial" w:hAnsi="Arial" w:cs="Arial"/>
          </w:rPr>
          <w:t>Summary</w:t>
        </w:r>
        <w:r w:rsidR="00DB55FA" w:rsidRPr="00172F56">
          <w:rPr>
            <w:rFonts w:ascii="Arial" w:hAnsi="Arial" w:cs="Arial"/>
            <w:webHidden/>
          </w:rPr>
          <w:tab/>
        </w:r>
        <w:r w:rsidR="00DB55FA" w:rsidRPr="00172F56">
          <w:rPr>
            <w:rFonts w:ascii="Arial" w:hAnsi="Arial" w:cs="Arial"/>
            <w:webHidden/>
          </w:rPr>
          <w:fldChar w:fldCharType="begin"/>
        </w:r>
        <w:r w:rsidR="00DB55FA" w:rsidRPr="00172F56">
          <w:rPr>
            <w:rFonts w:ascii="Arial" w:hAnsi="Arial" w:cs="Arial"/>
            <w:webHidden/>
          </w:rPr>
          <w:instrText xml:space="preserve"> PAGEREF _Toc112937729 \h </w:instrText>
        </w:r>
        <w:r w:rsidR="00DB55FA" w:rsidRPr="00172F56">
          <w:rPr>
            <w:rFonts w:ascii="Arial" w:hAnsi="Arial" w:cs="Arial"/>
            <w:webHidden/>
          </w:rPr>
        </w:r>
        <w:r w:rsidR="00DB55FA" w:rsidRPr="00172F56">
          <w:rPr>
            <w:rFonts w:ascii="Arial" w:hAnsi="Arial" w:cs="Arial"/>
            <w:webHidden/>
          </w:rPr>
          <w:fldChar w:fldCharType="separate"/>
        </w:r>
        <w:r w:rsidR="00172F56">
          <w:rPr>
            <w:rFonts w:ascii="Arial" w:hAnsi="Arial" w:cs="Arial"/>
            <w:webHidden/>
          </w:rPr>
          <w:t>1</w:t>
        </w:r>
        <w:r w:rsidR="00DB55FA" w:rsidRPr="00172F56">
          <w:rPr>
            <w:rFonts w:ascii="Arial" w:hAnsi="Arial" w:cs="Arial"/>
            <w:webHidden/>
          </w:rPr>
          <w:fldChar w:fldCharType="end"/>
        </w:r>
      </w:hyperlink>
    </w:p>
    <w:p w14:paraId="6559D642" w14:textId="14C26386" w:rsidR="00DB55FA" w:rsidRPr="00172F56" w:rsidRDefault="00F6066A" w:rsidP="0075729B">
      <w:pPr>
        <w:pStyle w:val="TOC1"/>
        <w:rPr>
          <w:rFonts w:ascii="Arial" w:eastAsiaTheme="minorEastAsia" w:hAnsi="Arial" w:cs="Arial"/>
          <w:szCs w:val="24"/>
        </w:rPr>
      </w:pPr>
      <w:hyperlink w:anchor="_Toc112937730" w:history="1">
        <w:r w:rsidR="00DB55FA" w:rsidRPr="00172F56">
          <w:rPr>
            <w:rStyle w:val="Hyperlink"/>
            <w:rFonts w:ascii="Arial" w:hAnsi="Arial" w:cs="Arial"/>
          </w:rPr>
          <w:t>1.</w:t>
        </w:r>
        <w:r w:rsidR="00DB55FA" w:rsidRPr="00172F56">
          <w:rPr>
            <w:rFonts w:ascii="Arial" w:eastAsiaTheme="minorEastAsia" w:hAnsi="Arial" w:cs="Arial"/>
            <w:szCs w:val="24"/>
          </w:rPr>
          <w:tab/>
        </w:r>
        <w:r w:rsidR="00DB55FA" w:rsidRPr="00172F56">
          <w:rPr>
            <w:rStyle w:val="Hyperlink"/>
            <w:rFonts w:ascii="Arial" w:hAnsi="Arial" w:cs="Arial"/>
          </w:rPr>
          <w:t>Introduction</w:t>
        </w:r>
        <w:r w:rsidR="00DB55FA" w:rsidRPr="00172F56">
          <w:rPr>
            <w:rFonts w:ascii="Arial" w:hAnsi="Arial" w:cs="Arial"/>
            <w:webHidden/>
          </w:rPr>
          <w:tab/>
        </w:r>
        <w:r w:rsidR="00DB55FA" w:rsidRPr="00172F56">
          <w:rPr>
            <w:rFonts w:ascii="Arial" w:hAnsi="Arial" w:cs="Arial"/>
            <w:webHidden/>
          </w:rPr>
          <w:fldChar w:fldCharType="begin"/>
        </w:r>
        <w:r w:rsidR="00DB55FA" w:rsidRPr="00172F56">
          <w:rPr>
            <w:rFonts w:ascii="Arial" w:hAnsi="Arial" w:cs="Arial"/>
            <w:webHidden/>
          </w:rPr>
          <w:instrText xml:space="preserve"> PAGEREF _Toc112937730 \h </w:instrText>
        </w:r>
        <w:r w:rsidR="00DB55FA" w:rsidRPr="00172F56">
          <w:rPr>
            <w:rFonts w:ascii="Arial" w:hAnsi="Arial" w:cs="Arial"/>
            <w:webHidden/>
          </w:rPr>
        </w:r>
        <w:r w:rsidR="00DB55FA" w:rsidRPr="00172F56">
          <w:rPr>
            <w:rFonts w:ascii="Arial" w:hAnsi="Arial" w:cs="Arial"/>
            <w:webHidden/>
          </w:rPr>
          <w:fldChar w:fldCharType="separate"/>
        </w:r>
        <w:r w:rsidR="00172F56">
          <w:rPr>
            <w:rFonts w:ascii="Arial" w:hAnsi="Arial" w:cs="Arial"/>
            <w:webHidden/>
          </w:rPr>
          <w:t>11</w:t>
        </w:r>
        <w:r w:rsidR="00DB55FA" w:rsidRPr="00172F56">
          <w:rPr>
            <w:rFonts w:ascii="Arial" w:hAnsi="Arial" w:cs="Arial"/>
            <w:webHidden/>
          </w:rPr>
          <w:fldChar w:fldCharType="end"/>
        </w:r>
      </w:hyperlink>
    </w:p>
    <w:p w14:paraId="427D86D5" w14:textId="01288A49" w:rsidR="00DB55FA" w:rsidRPr="00172F56" w:rsidRDefault="00F6066A" w:rsidP="0075729B">
      <w:pPr>
        <w:pStyle w:val="TOC1"/>
        <w:rPr>
          <w:rFonts w:ascii="Arial" w:eastAsiaTheme="minorEastAsia" w:hAnsi="Arial" w:cs="Arial"/>
          <w:szCs w:val="24"/>
        </w:rPr>
      </w:pPr>
      <w:hyperlink w:anchor="_Toc112937731" w:history="1">
        <w:r w:rsidR="00DB55FA" w:rsidRPr="00172F56">
          <w:rPr>
            <w:rStyle w:val="Hyperlink"/>
            <w:rFonts w:ascii="Arial" w:hAnsi="Arial" w:cs="Arial"/>
          </w:rPr>
          <w:t>2.</w:t>
        </w:r>
        <w:r w:rsidR="00DB55FA" w:rsidRPr="00172F56">
          <w:rPr>
            <w:rFonts w:ascii="Arial" w:eastAsiaTheme="minorEastAsia" w:hAnsi="Arial" w:cs="Arial"/>
            <w:szCs w:val="24"/>
          </w:rPr>
          <w:tab/>
        </w:r>
        <w:r w:rsidR="00DB55FA" w:rsidRPr="00172F56">
          <w:rPr>
            <w:rStyle w:val="Hyperlink"/>
            <w:rFonts w:ascii="Arial" w:hAnsi="Arial" w:cs="Arial"/>
          </w:rPr>
          <w:t>Incomes and Affordability</w:t>
        </w:r>
        <w:r w:rsidR="00DB55FA" w:rsidRPr="00172F56">
          <w:rPr>
            <w:rFonts w:ascii="Arial" w:hAnsi="Arial" w:cs="Arial"/>
            <w:webHidden/>
          </w:rPr>
          <w:tab/>
        </w:r>
        <w:r w:rsidR="00DB55FA" w:rsidRPr="00172F56">
          <w:rPr>
            <w:rFonts w:ascii="Arial" w:hAnsi="Arial" w:cs="Arial"/>
            <w:webHidden/>
          </w:rPr>
          <w:fldChar w:fldCharType="begin"/>
        </w:r>
        <w:r w:rsidR="00DB55FA" w:rsidRPr="00172F56">
          <w:rPr>
            <w:rFonts w:ascii="Arial" w:hAnsi="Arial" w:cs="Arial"/>
            <w:webHidden/>
          </w:rPr>
          <w:instrText xml:space="preserve"> PAGEREF _Toc112937731 \h </w:instrText>
        </w:r>
        <w:r w:rsidR="00DB55FA" w:rsidRPr="00172F56">
          <w:rPr>
            <w:rFonts w:ascii="Arial" w:hAnsi="Arial" w:cs="Arial"/>
            <w:webHidden/>
          </w:rPr>
        </w:r>
        <w:r w:rsidR="00DB55FA" w:rsidRPr="00172F56">
          <w:rPr>
            <w:rFonts w:ascii="Arial" w:hAnsi="Arial" w:cs="Arial"/>
            <w:webHidden/>
          </w:rPr>
          <w:fldChar w:fldCharType="separate"/>
        </w:r>
        <w:r w:rsidR="00172F56">
          <w:rPr>
            <w:rFonts w:ascii="Arial" w:hAnsi="Arial" w:cs="Arial"/>
            <w:webHidden/>
          </w:rPr>
          <w:t>23</w:t>
        </w:r>
        <w:r w:rsidR="00DB55FA" w:rsidRPr="00172F56">
          <w:rPr>
            <w:rFonts w:ascii="Arial" w:hAnsi="Arial" w:cs="Arial"/>
            <w:webHidden/>
          </w:rPr>
          <w:fldChar w:fldCharType="end"/>
        </w:r>
      </w:hyperlink>
    </w:p>
    <w:p w14:paraId="64AA5F96" w14:textId="3F41E0DF" w:rsidR="00DB55FA" w:rsidRPr="00172F56" w:rsidRDefault="00F6066A" w:rsidP="0075729B">
      <w:pPr>
        <w:pStyle w:val="TOC1"/>
        <w:rPr>
          <w:rFonts w:ascii="Arial" w:eastAsiaTheme="minorEastAsia" w:hAnsi="Arial" w:cs="Arial"/>
          <w:szCs w:val="24"/>
        </w:rPr>
      </w:pPr>
      <w:hyperlink w:anchor="_Toc112937732" w:history="1">
        <w:r w:rsidR="00DB55FA" w:rsidRPr="00172F56">
          <w:rPr>
            <w:rStyle w:val="Hyperlink"/>
            <w:rFonts w:ascii="Arial" w:hAnsi="Arial" w:cs="Arial"/>
          </w:rPr>
          <w:t>3.</w:t>
        </w:r>
        <w:r w:rsidR="00DB55FA" w:rsidRPr="00172F56">
          <w:rPr>
            <w:rFonts w:ascii="Arial" w:eastAsiaTheme="minorEastAsia" w:hAnsi="Arial" w:cs="Arial"/>
            <w:szCs w:val="24"/>
          </w:rPr>
          <w:tab/>
        </w:r>
        <w:r w:rsidR="00DB55FA" w:rsidRPr="00172F56">
          <w:rPr>
            <w:rStyle w:val="Hyperlink"/>
            <w:rFonts w:ascii="Arial" w:hAnsi="Arial" w:cs="Arial"/>
          </w:rPr>
          <w:t>Affordable Housing Need</w:t>
        </w:r>
        <w:r w:rsidR="00DB55FA" w:rsidRPr="00172F56">
          <w:rPr>
            <w:rFonts w:ascii="Arial" w:hAnsi="Arial" w:cs="Arial"/>
            <w:webHidden/>
          </w:rPr>
          <w:tab/>
        </w:r>
        <w:r w:rsidR="00DB55FA" w:rsidRPr="00172F56">
          <w:rPr>
            <w:rFonts w:ascii="Arial" w:hAnsi="Arial" w:cs="Arial"/>
            <w:webHidden/>
          </w:rPr>
          <w:fldChar w:fldCharType="begin"/>
        </w:r>
        <w:r w:rsidR="00DB55FA" w:rsidRPr="00172F56">
          <w:rPr>
            <w:rFonts w:ascii="Arial" w:hAnsi="Arial" w:cs="Arial"/>
            <w:webHidden/>
          </w:rPr>
          <w:instrText xml:space="preserve"> PAGEREF _Toc112937732 \h </w:instrText>
        </w:r>
        <w:r w:rsidR="00DB55FA" w:rsidRPr="00172F56">
          <w:rPr>
            <w:rFonts w:ascii="Arial" w:hAnsi="Arial" w:cs="Arial"/>
            <w:webHidden/>
          </w:rPr>
        </w:r>
        <w:r w:rsidR="00DB55FA" w:rsidRPr="00172F56">
          <w:rPr>
            <w:rFonts w:ascii="Arial" w:hAnsi="Arial" w:cs="Arial"/>
            <w:webHidden/>
          </w:rPr>
          <w:fldChar w:fldCharType="separate"/>
        </w:r>
        <w:r w:rsidR="00172F56">
          <w:rPr>
            <w:rFonts w:ascii="Arial" w:hAnsi="Arial" w:cs="Arial"/>
            <w:webHidden/>
          </w:rPr>
          <w:t>41</w:t>
        </w:r>
        <w:r w:rsidR="00DB55FA" w:rsidRPr="00172F56">
          <w:rPr>
            <w:rFonts w:ascii="Arial" w:hAnsi="Arial" w:cs="Arial"/>
            <w:webHidden/>
          </w:rPr>
          <w:fldChar w:fldCharType="end"/>
        </w:r>
      </w:hyperlink>
    </w:p>
    <w:p w14:paraId="7721DEE5" w14:textId="46A4B779" w:rsidR="00DB55FA" w:rsidRPr="00172F56" w:rsidRDefault="00F6066A" w:rsidP="0075729B">
      <w:pPr>
        <w:pStyle w:val="TOC1"/>
        <w:rPr>
          <w:rFonts w:ascii="Arial" w:eastAsiaTheme="minorEastAsia" w:hAnsi="Arial" w:cs="Arial"/>
          <w:szCs w:val="24"/>
        </w:rPr>
      </w:pPr>
      <w:hyperlink w:anchor="_Toc112937733" w:history="1">
        <w:r w:rsidR="00DB55FA" w:rsidRPr="00172F56">
          <w:rPr>
            <w:rStyle w:val="Hyperlink"/>
            <w:rFonts w:ascii="Arial" w:hAnsi="Arial" w:cs="Arial"/>
          </w:rPr>
          <w:t>4.</w:t>
        </w:r>
        <w:r w:rsidR="00DB55FA" w:rsidRPr="00172F56">
          <w:rPr>
            <w:rFonts w:ascii="Arial" w:eastAsiaTheme="minorEastAsia" w:hAnsi="Arial" w:cs="Arial"/>
            <w:szCs w:val="24"/>
          </w:rPr>
          <w:tab/>
        </w:r>
        <w:r w:rsidR="00DB55FA" w:rsidRPr="00172F56">
          <w:rPr>
            <w:rStyle w:val="Hyperlink"/>
            <w:rFonts w:ascii="Arial" w:hAnsi="Arial" w:cs="Arial"/>
          </w:rPr>
          <w:t>Types of Affordable Housing</w:t>
        </w:r>
        <w:r w:rsidR="00DB55FA" w:rsidRPr="00172F56">
          <w:rPr>
            <w:rFonts w:ascii="Arial" w:hAnsi="Arial" w:cs="Arial"/>
            <w:webHidden/>
          </w:rPr>
          <w:tab/>
        </w:r>
        <w:r w:rsidR="00DB55FA" w:rsidRPr="00172F56">
          <w:rPr>
            <w:rFonts w:ascii="Arial" w:hAnsi="Arial" w:cs="Arial"/>
            <w:webHidden/>
          </w:rPr>
          <w:fldChar w:fldCharType="begin"/>
        </w:r>
        <w:r w:rsidR="00DB55FA" w:rsidRPr="00172F56">
          <w:rPr>
            <w:rFonts w:ascii="Arial" w:hAnsi="Arial" w:cs="Arial"/>
            <w:webHidden/>
          </w:rPr>
          <w:instrText xml:space="preserve"> PAGEREF _Toc112937733 \h </w:instrText>
        </w:r>
        <w:r w:rsidR="00DB55FA" w:rsidRPr="00172F56">
          <w:rPr>
            <w:rFonts w:ascii="Arial" w:hAnsi="Arial" w:cs="Arial"/>
            <w:webHidden/>
          </w:rPr>
        </w:r>
        <w:r w:rsidR="00DB55FA" w:rsidRPr="00172F56">
          <w:rPr>
            <w:rFonts w:ascii="Arial" w:hAnsi="Arial" w:cs="Arial"/>
            <w:webHidden/>
          </w:rPr>
          <w:fldChar w:fldCharType="separate"/>
        </w:r>
        <w:r w:rsidR="00172F56">
          <w:rPr>
            <w:rFonts w:ascii="Arial" w:hAnsi="Arial" w:cs="Arial"/>
            <w:webHidden/>
          </w:rPr>
          <w:t>59</w:t>
        </w:r>
        <w:r w:rsidR="00DB55FA" w:rsidRPr="00172F56">
          <w:rPr>
            <w:rFonts w:ascii="Arial" w:hAnsi="Arial" w:cs="Arial"/>
            <w:webHidden/>
          </w:rPr>
          <w:fldChar w:fldCharType="end"/>
        </w:r>
      </w:hyperlink>
    </w:p>
    <w:p w14:paraId="6970FC7D" w14:textId="2CF48110" w:rsidR="00DB55FA" w:rsidRPr="00172F56" w:rsidRDefault="00F6066A" w:rsidP="0075729B">
      <w:pPr>
        <w:pStyle w:val="TOC1"/>
        <w:rPr>
          <w:rFonts w:ascii="Arial" w:eastAsiaTheme="minorEastAsia" w:hAnsi="Arial" w:cs="Arial"/>
          <w:szCs w:val="24"/>
        </w:rPr>
      </w:pPr>
      <w:hyperlink w:anchor="_Toc112937734" w:history="1">
        <w:r w:rsidR="00DB55FA" w:rsidRPr="00172F56">
          <w:rPr>
            <w:rStyle w:val="Hyperlink"/>
            <w:rFonts w:ascii="Arial" w:hAnsi="Arial" w:cs="Arial"/>
          </w:rPr>
          <w:t>5.</w:t>
        </w:r>
        <w:r w:rsidR="00DB55FA" w:rsidRPr="00172F56">
          <w:rPr>
            <w:rFonts w:ascii="Arial" w:eastAsiaTheme="minorEastAsia" w:hAnsi="Arial" w:cs="Arial"/>
            <w:szCs w:val="24"/>
          </w:rPr>
          <w:tab/>
        </w:r>
        <w:r w:rsidR="00DB55FA" w:rsidRPr="00172F56">
          <w:rPr>
            <w:rStyle w:val="Hyperlink"/>
            <w:rFonts w:ascii="Arial" w:hAnsi="Arial" w:cs="Arial"/>
          </w:rPr>
          <w:t>Housing History and Future Aspirations</w:t>
        </w:r>
        <w:r w:rsidR="00DB55FA" w:rsidRPr="00172F56">
          <w:rPr>
            <w:rFonts w:ascii="Arial" w:hAnsi="Arial" w:cs="Arial"/>
            <w:webHidden/>
          </w:rPr>
          <w:tab/>
        </w:r>
        <w:r w:rsidR="00DB55FA" w:rsidRPr="00172F56">
          <w:rPr>
            <w:rFonts w:ascii="Arial" w:hAnsi="Arial" w:cs="Arial"/>
            <w:webHidden/>
          </w:rPr>
          <w:fldChar w:fldCharType="begin"/>
        </w:r>
        <w:r w:rsidR="00DB55FA" w:rsidRPr="00172F56">
          <w:rPr>
            <w:rFonts w:ascii="Arial" w:hAnsi="Arial" w:cs="Arial"/>
            <w:webHidden/>
          </w:rPr>
          <w:instrText xml:space="preserve"> PAGEREF _Toc112937734 \h </w:instrText>
        </w:r>
        <w:r w:rsidR="00DB55FA" w:rsidRPr="00172F56">
          <w:rPr>
            <w:rFonts w:ascii="Arial" w:hAnsi="Arial" w:cs="Arial"/>
            <w:webHidden/>
          </w:rPr>
        </w:r>
        <w:r w:rsidR="00DB55FA" w:rsidRPr="00172F56">
          <w:rPr>
            <w:rFonts w:ascii="Arial" w:hAnsi="Arial" w:cs="Arial"/>
            <w:webHidden/>
          </w:rPr>
          <w:fldChar w:fldCharType="separate"/>
        </w:r>
        <w:r w:rsidR="00172F56">
          <w:rPr>
            <w:rFonts w:ascii="Arial" w:hAnsi="Arial" w:cs="Arial"/>
            <w:webHidden/>
          </w:rPr>
          <w:t>73</w:t>
        </w:r>
        <w:r w:rsidR="00DB55FA" w:rsidRPr="00172F56">
          <w:rPr>
            <w:rFonts w:ascii="Arial" w:hAnsi="Arial" w:cs="Arial"/>
            <w:webHidden/>
          </w:rPr>
          <w:fldChar w:fldCharType="end"/>
        </w:r>
      </w:hyperlink>
    </w:p>
    <w:p w14:paraId="2E9326A5" w14:textId="402930E2" w:rsidR="00DB55FA" w:rsidRPr="00172F56" w:rsidRDefault="00F6066A" w:rsidP="0075729B">
      <w:pPr>
        <w:pStyle w:val="TOC1"/>
        <w:rPr>
          <w:rFonts w:ascii="Arial" w:eastAsiaTheme="minorEastAsia" w:hAnsi="Arial" w:cs="Arial"/>
          <w:szCs w:val="24"/>
        </w:rPr>
      </w:pPr>
      <w:hyperlink w:anchor="_Toc112937735" w:history="1">
        <w:r w:rsidR="00DB55FA" w:rsidRPr="00172F56">
          <w:rPr>
            <w:rStyle w:val="Hyperlink"/>
            <w:rFonts w:ascii="Arial" w:hAnsi="Arial" w:cs="Arial"/>
          </w:rPr>
          <w:t>6.</w:t>
        </w:r>
        <w:r w:rsidR="00DB55FA" w:rsidRPr="00172F56">
          <w:rPr>
            <w:rFonts w:ascii="Arial" w:eastAsiaTheme="minorEastAsia" w:hAnsi="Arial" w:cs="Arial"/>
            <w:szCs w:val="24"/>
          </w:rPr>
          <w:tab/>
        </w:r>
        <w:r w:rsidR="00DB55FA" w:rsidRPr="00172F56">
          <w:rPr>
            <w:rStyle w:val="Hyperlink"/>
            <w:rFonts w:ascii="Arial" w:hAnsi="Arial" w:cs="Arial"/>
          </w:rPr>
          <w:t>Needs of Specific Groups</w:t>
        </w:r>
        <w:r w:rsidR="00DB55FA" w:rsidRPr="00172F56">
          <w:rPr>
            <w:rFonts w:ascii="Arial" w:hAnsi="Arial" w:cs="Arial"/>
            <w:webHidden/>
          </w:rPr>
          <w:tab/>
        </w:r>
        <w:r w:rsidR="00DB55FA" w:rsidRPr="00172F56">
          <w:rPr>
            <w:rFonts w:ascii="Arial" w:hAnsi="Arial" w:cs="Arial"/>
            <w:webHidden/>
          </w:rPr>
          <w:fldChar w:fldCharType="begin"/>
        </w:r>
        <w:r w:rsidR="00DB55FA" w:rsidRPr="00172F56">
          <w:rPr>
            <w:rFonts w:ascii="Arial" w:hAnsi="Arial" w:cs="Arial"/>
            <w:webHidden/>
          </w:rPr>
          <w:instrText xml:space="preserve"> PAGEREF _Toc112937735 \h </w:instrText>
        </w:r>
        <w:r w:rsidR="00DB55FA" w:rsidRPr="00172F56">
          <w:rPr>
            <w:rFonts w:ascii="Arial" w:hAnsi="Arial" w:cs="Arial"/>
            <w:webHidden/>
          </w:rPr>
        </w:r>
        <w:r w:rsidR="00DB55FA" w:rsidRPr="00172F56">
          <w:rPr>
            <w:rFonts w:ascii="Arial" w:hAnsi="Arial" w:cs="Arial"/>
            <w:webHidden/>
          </w:rPr>
          <w:fldChar w:fldCharType="separate"/>
        </w:r>
        <w:r w:rsidR="00172F56">
          <w:rPr>
            <w:rFonts w:ascii="Arial" w:hAnsi="Arial" w:cs="Arial"/>
            <w:webHidden/>
          </w:rPr>
          <w:t>85</w:t>
        </w:r>
        <w:r w:rsidR="00DB55FA" w:rsidRPr="00172F56">
          <w:rPr>
            <w:rFonts w:ascii="Arial" w:hAnsi="Arial" w:cs="Arial"/>
            <w:webHidden/>
          </w:rPr>
          <w:fldChar w:fldCharType="end"/>
        </w:r>
      </w:hyperlink>
    </w:p>
    <w:p w14:paraId="5E3E5C9C" w14:textId="0572DF33" w:rsidR="00DB55FA" w:rsidRPr="00172F56" w:rsidRDefault="00F6066A" w:rsidP="0075729B">
      <w:pPr>
        <w:pStyle w:val="TOC1"/>
        <w:rPr>
          <w:rFonts w:ascii="Arial" w:eastAsiaTheme="minorEastAsia" w:hAnsi="Arial" w:cs="Arial"/>
          <w:szCs w:val="24"/>
        </w:rPr>
      </w:pPr>
      <w:hyperlink w:anchor="_Toc112937736" w:history="1">
        <w:r w:rsidR="00DB55FA" w:rsidRPr="00172F56">
          <w:rPr>
            <w:rStyle w:val="Hyperlink"/>
            <w:rFonts w:ascii="Arial" w:hAnsi="Arial" w:cs="Arial"/>
          </w:rPr>
          <w:t>7.</w:t>
        </w:r>
        <w:r w:rsidR="00DB55FA" w:rsidRPr="00172F56">
          <w:rPr>
            <w:rFonts w:ascii="Arial" w:eastAsiaTheme="minorEastAsia" w:hAnsi="Arial" w:cs="Arial"/>
            <w:szCs w:val="24"/>
          </w:rPr>
          <w:tab/>
        </w:r>
        <w:r w:rsidR="00DB55FA" w:rsidRPr="00172F56">
          <w:rPr>
            <w:rStyle w:val="Hyperlink"/>
            <w:rFonts w:ascii="Arial" w:hAnsi="Arial" w:cs="Arial"/>
          </w:rPr>
          <w:t>Stakeholder Input</w:t>
        </w:r>
        <w:r w:rsidR="00DB55FA" w:rsidRPr="00172F56">
          <w:rPr>
            <w:rFonts w:ascii="Arial" w:hAnsi="Arial" w:cs="Arial"/>
            <w:webHidden/>
          </w:rPr>
          <w:tab/>
        </w:r>
        <w:r w:rsidR="00DB55FA" w:rsidRPr="00172F56">
          <w:rPr>
            <w:rFonts w:ascii="Arial" w:hAnsi="Arial" w:cs="Arial"/>
            <w:webHidden/>
          </w:rPr>
          <w:fldChar w:fldCharType="begin"/>
        </w:r>
        <w:r w:rsidR="00DB55FA" w:rsidRPr="00172F56">
          <w:rPr>
            <w:rFonts w:ascii="Arial" w:hAnsi="Arial" w:cs="Arial"/>
            <w:webHidden/>
          </w:rPr>
          <w:instrText xml:space="preserve"> PAGEREF _Toc112937736 \h </w:instrText>
        </w:r>
        <w:r w:rsidR="00DB55FA" w:rsidRPr="00172F56">
          <w:rPr>
            <w:rFonts w:ascii="Arial" w:hAnsi="Arial" w:cs="Arial"/>
            <w:webHidden/>
          </w:rPr>
        </w:r>
        <w:r w:rsidR="00DB55FA" w:rsidRPr="00172F56">
          <w:rPr>
            <w:rFonts w:ascii="Arial" w:hAnsi="Arial" w:cs="Arial"/>
            <w:webHidden/>
          </w:rPr>
          <w:fldChar w:fldCharType="separate"/>
        </w:r>
        <w:r w:rsidR="00172F56">
          <w:rPr>
            <w:rFonts w:ascii="Arial" w:hAnsi="Arial" w:cs="Arial"/>
            <w:webHidden/>
          </w:rPr>
          <w:t>101</w:t>
        </w:r>
        <w:r w:rsidR="00DB55FA" w:rsidRPr="00172F56">
          <w:rPr>
            <w:rFonts w:ascii="Arial" w:hAnsi="Arial" w:cs="Arial"/>
            <w:webHidden/>
          </w:rPr>
          <w:fldChar w:fldCharType="end"/>
        </w:r>
      </w:hyperlink>
    </w:p>
    <w:p w14:paraId="00AB876E" w14:textId="1D6E0414" w:rsidR="002F108D" w:rsidRPr="005F364D" w:rsidRDefault="0071691D" w:rsidP="00172F56">
      <w:pPr>
        <w:widowControl w:val="0"/>
        <w:spacing w:before="120" w:after="120" w:line="360" w:lineRule="auto"/>
        <w:jc w:val="both"/>
        <w:rPr>
          <w:rFonts w:ascii="Arial" w:hAnsi="Arial" w:cs="Arial"/>
        </w:rPr>
      </w:pPr>
      <w:r w:rsidRPr="0075729B">
        <w:rPr>
          <w:rFonts w:ascii="Arial" w:hAnsi="Arial" w:cs="Arial"/>
        </w:rPr>
        <w:fldChar w:fldCharType="end"/>
      </w:r>
    </w:p>
    <w:p w14:paraId="4F773052" w14:textId="77777777" w:rsidR="003D21A1" w:rsidRPr="007236BD" w:rsidRDefault="003D21A1" w:rsidP="00172F56">
      <w:pPr>
        <w:widowControl w:val="0"/>
        <w:spacing w:before="120" w:after="120" w:line="300" w:lineRule="auto"/>
        <w:jc w:val="both"/>
        <w:rPr>
          <w:rFonts w:ascii="Arial" w:hAnsi="Arial" w:cs="Arial"/>
          <w:sz w:val="20"/>
          <w:szCs w:val="20"/>
          <w:highlight w:val="yellow"/>
        </w:rPr>
        <w:sectPr w:rsidR="003D21A1" w:rsidRPr="007236BD" w:rsidSect="00FD0FB7">
          <w:headerReference w:type="default" r:id="rId17"/>
          <w:pgSz w:w="11906" w:h="16838" w:code="9"/>
          <w:pgMar w:top="1418" w:right="964" w:bottom="1418" w:left="964" w:header="709" w:footer="709" w:gutter="340"/>
          <w:pgNumType w:fmt="lowerRoman" w:start="1"/>
          <w:cols w:space="708"/>
          <w:docGrid w:linePitch="360"/>
        </w:sectPr>
      </w:pPr>
    </w:p>
    <w:p w14:paraId="2432F8BA" w14:textId="3A60B6BF" w:rsidR="00015E28" w:rsidRPr="007236BD" w:rsidRDefault="00015E28" w:rsidP="00172F56">
      <w:pPr>
        <w:pStyle w:val="ReportHeading1"/>
        <w:pageBreakBefore w:val="0"/>
        <w:widowControl w:val="0"/>
        <w:spacing w:before="0" w:after="0"/>
        <w:jc w:val="both"/>
        <w:rPr>
          <w:rFonts w:ascii="Arial Bold" w:hAnsi="Arial Bold" w:cs="Arial"/>
          <w:color w:val="0093D5"/>
          <w:sz w:val="32"/>
          <w:szCs w:val="32"/>
        </w:rPr>
      </w:pPr>
      <w:bookmarkStart w:id="30" w:name="_Toc112937729"/>
      <w:bookmarkEnd w:id="1"/>
      <w:bookmarkEnd w:id="2"/>
      <w:bookmarkEnd w:id="28"/>
      <w:bookmarkEnd w:id="29"/>
      <w:r w:rsidRPr="005F364D">
        <w:rPr>
          <w:rFonts w:ascii="Arial Bold" w:hAnsi="Arial Bold" w:cs="Arial"/>
          <w:color w:val="0093D5"/>
          <w:sz w:val="32"/>
          <w:szCs w:val="32"/>
        </w:rPr>
        <w:lastRenderedPageBreak/>
        <w:t>Summary</w:t>
      </w:r>
      <w:bookmarkEnd w:id="30"/>
    </w:p>
    <w:tbl>
      <w:tblPr>
        <w:tblW w:w="9639" w:type="dxa"/>
        <w:jc w:val="center"/>
        <w:tblBorders>
          <w:bottom w:val="single" w:sz="12" w:space="0" w:color="0093D5"/>
        </w:tblBorders>
        <w:tblLook w:val="01E0" w:firstRow="1" w:lastRow="1" w:firstColumn="1" w:lastColumn="1" w:noHBand="0" w:noVBand="0"/>
      </w:tblPr>
      <w:tblGrid>
        <w:gridCol w:w="9639"/>
      </w:tblGrid>
      <w:tr w:rsidR="00015E28" w:rsidRPr="007236BD" w14:paraId="150B0DE7" w14:textId="77777777" w:rsidTr="002454B4">
        <w:trPr>
          <w:jc w:val="center"/>
        </w:trPr>
        <w:tc>
          <w:tcPr>
            <w:tcW w:w="9639" w:type="dxa"/>
            <w:shd w:val="clear" w:color="auto" w:fill="auto"/>
            <w:vAlign w:val="center"/>
          </w:tcPr>
          <w:p w14:paraId="527CB3D0" w14:textId="77777777" w:rsidR="00015E28" w:rsidRPr="007236BD" w:rsidRDefault="00015E28" w:rsidP="00172F56">
            <w:pPr>
              <w:keepNext/>
              <w:keepLines/>
              <w:jc w:val="both"/>
              <w:rPr>
                <w:rFonts w:ascii="Arial" w:hAnsi="Arial"/>
                <w:sz w:val="2"/>
                <w:szCs w:val="2"/>
              </w:rPr>
            </w:pPr>
          </w:p>
        </w:tc>
      </w:tr>
    </w:tbl>
    <w:p w14:paraId="64211A80" w14:textId="77777777" w:rsidR="00015E28" w:rsidRPr="007236BD" w:rsidRDefault="00015E28" w:rsidP="00172F56">
      <w:pPr>
        <w:widowControl w:val="0"/>
        <w:spacing w:line="300" w:lineRule="auto"/>
        <w:jc w:val="both"/>
        <w:rPr>
          <w:rFonts w:ascii="Arial" w:hAnsi="Arial" w:cs="Arial"/>
          <w:sz w:val="20"/>
          <w:szCs w:val="20"/>
        </w:rPr>
      </w:pPr>
    </w:p>
    <w:p w14:paraId="6E7CBF0C" w14:textId="77777777" w:rsidR="00637C27" w:rsidRPr="007236BD" w:rsidRDefault="00637C27" w:rsidP="00172F56">
      <w:pPr>
        <w:spacing w:line="300" w:lineRule="auto"/>
        <w:jc w:val="both"/>
        <w:rPr>
          <w:rFonts w:ascii="Arial" w:hAnsi="Arial" w:cs="Arial"/>
          <w:b/>
          <w:lang w:eastAsia="ja-JP"/>
        </w:rPr>
      </w:pPr>
      <w:r w:rsidRPr="007236BD">
        <w:rPr>
          <w:rFonts w:ascii="Arial" w:hAnsi="Arial" w:cs="Arial"/>
          <w:b/>
          <w:lang w:eastAsia="ja-JP"/>
        </w:rPr>
        <w:t>Introduction</w:t>
      </w:r>
    </w:p>
    <w:p w14:paraId="270763FC" w14:textId="77777777" w:rsidR="00730356" w:rsidRPr="007236BD" w:rsidRDefault="00730356" w:rsidP="00172F56">
      <w:pPr>
        <w:spacing w:line="300" w:lineRule="auto"/>
        <w:ind w:left="720" w:hanging="720"/>
        <w:jc w:val="both"/>
        <w:rPr>
          <w:rFonts w:ascii="Arial" w:hAnsi="Arial" w:cs="Arial"/>
          <w:sz w:val="20"/>
          <w:szCs w:val="20"/>
        </w:rPr>
      </w:pPr>
    </w:p>
    <w:p w14:paraId="3630B856" w14:textId="6978B8AB" w:rsidR="00B139D2" w:rsidRDefault="00B139D2">
      <w:pPr>
        <w:pStyle w:val="ListParagraph"/>
        <w:numPr>
          <w:ilvl w:val="0"/>
          <w:numId w:val="26"/>
        </w:numPr>
        <w:spacing w:line="300" w:lineRule="auto"/>
        <w:ind w:hanging="720"/>
        <w:jc w:val="both"/>
        <w:rPr>
          <w:rFonts w:ascii="Arial" w:hAnsi="Arial" w:cs="Arial"/>
          <w:sz w:val="20"/>
          <w:szCs w:val="20"/>
          <w:lang w:eastAsia="ja-JP"/>
        </w:rPr>
      </w:pPr>
      <w:r w:rsidRPr="00B139D2">
        <w:rPr>
          <w:rFonts w:ascii="Arial" w:hAnsi="Arial" w:cs="Arial"/>
          <w:sz w:val="20"/>
          <w:szCs w:val="20"/>
        </w:rPr>
        <w:t xml:space="preserve">Justin Gardner Consulting (JGC) working in association with CNB Housing Insights </w:t>
      </w:r>
      <w:r w:rsidR="00330A48">
        <w:rPr>
          <w:rFonts w:ascii="Arial" w:hAnsi="Arial" w:cs="Arial"/>
          <w:sz w:val="20"/>
          <w:szCs w:val="20"/>
        </w:rPr>
        <w:t>were</w:t>
      </w:r>
      <w:r w:rsidRPr="00B139D2">
        <w:rPr>
          <w:rFonts w:ascii="Arial" w:hAnsi="Arial" w:cs="Arial"/>
          <w:sz w:val="20"/>
          <w:szCs w:val="20"/>
        </w:rPr>
        <w:t xml:space="preserve"> commissioned by Fylde Council to undertake a Housing Needs Survey for the Borough. The Housing Needs Survey provides a key piece of the evidence base to support the Council in driving the delivery of affordable housing of appropriate types in different parts of the Borough</w:t>
      </w:r>
      <w:r w:rsidR="00330A48">
        <w:rPr>
          <w:rFonts w:ascii="Arial" w:hAnsi="Arial" w:cs="Arial"/>
          <w:sz w:val="20"/>
          <w:szCs w:val="20"/>
        </w:rPr>
        <w:t xml:space="preserve"> </w:t>
      </w:r>
      <w:r w:rsidRPr="00B139D2">
        <w:rPr>
          <w:rFonts w:ascii="Arial" w:hAnsi="Arial" w:cs="Arial"/>
          <w:sz w:val="20"/>
          <w:szCs w:val="20"/>
        </w:rPr>
        <w:t>and ensuring that needs of particular groups are met.</w:t>
      </w:r>
    </w:p>
    <w:p w14:paraId="2F4907B9" w14:textId="77777777" w:rsidR="00B139D2" w:rsidRPr="00B139D2" w:rsidRDefault="00B139D2" w:rsidP="00172F56">
      <w:pPr>
        <w:spacing w:line="300" w:lineRule="auto"/>
        <w:jc w:val="both"/>
        <w:rPr>
          <w:rFonts w:ascii="Arial" w:hAnsi="Arial" w:cs="Arial"/>
          <w:sz w:val="20"/>
          <w:szCs w:val="20"/>
          <w:lang w:eastAsia="ja-JP"/>
        </w:rPr>
      </w:pPr>
    </w:p>
    <w:p w14:paraId="0ED2B7DC" w14:textId="09EF838F" w:rsidR="00B139D2" w:rsidRDefault="00B139D2">
      <w:pPr>
        <w:pStyle w:val="ListParagraph"/>
        <w:numPr>
          <w:ilvl w:val="0"/>
          <w:numId w:val="26"/>
        </w:numPr>
        <w:spacing w:line="300" w:lineRule="auto"/>
        <w:ind w:hanging="720"/>
        <w:jc w:val="both"/>
        <w:rPr>
          <w:rFonts w:ascii="Arial" w:hAnsi="Arial" w:cs="Arial"/>
          <w:sz w:val="20"/>
          <w:szCs w:val="20"/>
          <w:lang w:eastAsia="ja-JP"/>
        </w:rPr>
      </w:pPr>
      <w:r w:rsidRPr="00B139D2">
        <w:rPr>
          <w:rFonts w:ascii="Arial" w:hAnsi="Arial" w:cs="Arial"/>
          <w:sz w:val="20"/>
          <w:szCs w:val="20"/>
        </w:rPr>
        <w:t>The survey has been carried out across the whole of the Fylde Council area, along with smaller-area analysis for 10 sub-areas of the Borough. Overall, the survey achieved 2,973 responses from an initially targeted sample of 12,193 households (a response rate of 24%) with survey data being weighted for any measurable non-response bias by looking at key groups within the population (notably considering the tenure split).</w:t>
      </w:r>
    </w:p>
    <w:p w14:paraId="4496CB3B" w14:textId="77777777" w:rsidR="00B139D2" w:rsidRPr="00B139D2" w:rsidRDefault="00B139D2" w:rsidP="00172F56">
      <w:pPr>
        <w:spacing w:line="300" w:lineRule="auto"/>
        <w:jc w:val="both"/>
        <w:rPr>
          <w:rFonts w:ascii="Arial" w:hAnsi="Arial" w:cs="Arial"/>
          <w:sz w:val="20"/>
          <w:szCs w:val="20"/>
          <w:lang w:eastAsia="ja-JP"/>
        </w:rPr>
      </w:pPr>
    </w:p>
    <w:p w14:paraId="00C71B8A" w14:textId="77777777" w:rsidR="00B139D2" w:rsidRPr="00B139D2" w:rsidRDefault="00B139D2">
      <w:pPr>
        <w:pStyle w:val="ListParagraph"/>
        <w:numPr>
          <w:ilvl w:val="0"/>
          <w:numId w:val="26"/>
        </w:numPr>
        <w:spacing w:line="300" w:lineRule="auto"/>
        <w:ind w:hanging="720"/>
        <w:jc w:val="both"/>
        <w:rPr>
          <w:rFonts w:ascii="Arial" w:hAnsi="Arial" w:cs="Arial"/>
          <w:sz w:val="20"/>
          <w:szCs w:val="20"/>
          <w:lang w:eastAsia="ja-JP"/>
        </w:rPr>
      </w:pPr>
      <w:r w:rsidRPr="00B139D2">
        <w:rPr>
          <w:rFonts w:ascii="Arial" w:hAnsi="Arial" w:cs="Arial"/>
          <w:sz w:val="20"/>
          <w:szCs w:val="20"/>
        </w:rPr>
        <w:t>A range of background analysis was undertaken to provide some context for the results of the survey and to understand key differences between sub-areas. Key findings include:</w:t>
      </w:r>
    </w:p>
    <w:p w14:paraId="717831CE" w14:textId="77777777" w:rsidR="00B139D2" w:rsidRPr="00251085" w:rsidRDefault="00B139D2" w:rsidP="00172F56">
      <w:pPr>
        <w:spacing w:line="300" w:lineRule="auto"/>
        <w:jc w:val="both"/>
        <w:rPr>
          <w:rFonts w:ascii="Arial" w:hAnsi="Arial" w:cs="Arial"/>
          <w:sz w:val="20"/>
          <w:szCs w:val="20"/>
        </w:rPr>
      </w:pPr>
    </w:p>
    <w:p w14:paraId="2B1BA047" w14:textId="57517480" w:rsidR="00B139D2" w:rsidRPr="00251085" w:rsidRDefault="00B139D2">
      <w:pPr>
        <w:pStyle w:val="ListParagraph"/>
        <w:numPr>
          <w:ilvl w:val="0"/>
          <w:numId w:val="72"/>
        </w:numPr>
        <w:spacing w:line="300" w:lineRule="auto"/>
        <w:contextualSpacing/>
        <w:jc w:val="both"/>
        <w:rPr>
          <w:rFonts w:ascii="Arial" w:hAnsi="Arial" w:cs="Arial"/>
          <w:sz w:val="20"/>
          <w:szCs w:val="20"/>
        </w:rPr>
      </w:pPr>
      <w:r w:rsidRPr="00251085">
        <w:rPr>
          <w:rFonts w:ascii="Arial" w:hAnsi="Arial" w:cs="Arial"/>
          <w:sz w:val="20"/>
          <w:szCs w:val="20"/>
        </w:rPr>
        <w:t xml:space="preserve">The Borough has a small social rented sector (at about 8% of households, around half the level seen nationally). Private renting is about average and there </w:t>
      </w:r>
      <w:r w:rsidR="003D6524">
        <w:rPr>
          <w:rFonts w:ascii="Arial" w:hAnsi="Arial" w:cs="Arial"/>
          <w:sz w:val="20"/>
          <w:szCs w:val="20"/>
        </w:rPr>
        <w:t>is</w:t>
      </w:r>
      <w:r w:rsidR="003D6524" w:rsidRPr="00251085">
        <w:rPr>
          <w:rFonts w:ascii="Arial" w:hAnsi="Arial" w:cs="Arial"/>
          <w:sz w:val="20"/>
          <w:szCs w:val="20"/>
        </w:rPr>
        <w:t xml:space="preserve"> </w:t>
      </w:r>
      <w:r w:rsidRPr="00251085">
        <w:rPr>
          <w:rFonts w:ascii="Arial" w:hAnsi="Arial" w:cs="Arial"/>
          <w:sz w:val="20"/>
          <w:szCs w:val="20"/>
        </w:rPr>
        <w:t>a high proportion of outright owners (linked to a relatively old population structure);</w:t>
      </w:r>
    </w:p>
    <w:p w14:paraId="5DE08D25" w14:textId="77777777" w:rsidR="00B139D2" w:rsidRPr="00251085" w:rsidRDefault="00B139D2">
      <w:pPr>
        <w:pStyle w:val="ListParagraph"/>
        <w:numPr>
          <w:ilvl w:val="0"/>
          <w:numId w:val="72"/>
        </w:numPr>
        <w:spacing w:line="300" w:lineRule="auto"/>
        <w:contextualSpacing/>
        <w:jc w:val="both"/>
        <w:rPr>
          <w:rFonts w:ascii="Arial" w:hAnsi="Arial" w:cs="Arial"/>
          <w:sz w:val="20"/>
          <w:szCs w:val="20"/>
        </w:rPr>
      </w:pPr>
      <w:r w:rsidRPr="00251085">
        <w:rPr>
          <w:rFonts w:ascii="Arial" w:hAnsi="Arial" w:cs="Arial"/>
          <w:sz w:val="20"/>
          <w:szCs w:val="20"/>
        </w:rPr>
        <w:t>St. Annes sees particularly high levels of private renting, with rural areas seeing low levels of rented housing generally (in both the private and social rented sectors);</w:t>
      </w:r>
    </w:p>
    <w:p w14:paraId="0A93BDFB" w14:textId="77777777" w:rsidR="00B139D2" w:rsidRPr="00251085" w:rsidRDefault="00B139D2">
      <w:pPr>
        <w:pStyle w:val="ListParagraph"/>
        <w:numPr>
          <w:ilvl w:val="0"/>
          <w:numId w:val="72"/>
        </w:numPr>
        <w:spacing w:line="300" w:lineRule="auto"/>
        <w:contextualSpacing/>
        <w:jc w:val="both"/>
        <w:rPr>
          <w:rFonts w:ascii="Arial" w:hAnsi="Arial" w:cs="Arial"/>
          <w:sz w:val="20"/>
          <w:szCs w:val="20"/>
        </w:rPr>
      </w:pPr>
      <w:r w:rsidRPr="00251085">
        <w:rPr>
          <w:rFonts w:ascii="Arial" w:hAnsi="Arial" w:cs="Arial"/>
          <w:sz w:val="20"/>
          <w:szCs w:val="20"/>
        </w:rPr>
        <w:t>Survey data confirms an older population structure, with 36% of the population being aged 60 and over (compared to 24% nationally);</w:t>
      </w:r>
    </w:p>
    <w:p w14:paraId="60EBEB1F" w14:textId="77777777" w:rsidR="00B139D2" w:rsidRPr="00251085" w:rsidRDefault="00B139D2">
      <w:pPr>
        <w:pStyle w:val="ListParagraph"/>
        <w:numPr>
          <w:ilvl w:val="0"/>
          <w:numId w:val="72"/>
        </w:numPr>
        <w:spacing w:line="300" w:lineRule="auto"/>
        <w:contextualSpacing/>
        <w:jc w:val="both"/>
        <w:rPr>
          <w:rFonts w:ascii="Arial" w:hAnsi="Arial" w:cs="Arial"/>
          <w:sz w:val="20"/>
          <w:szCs w:val="20"/>
        </w:rPr>
      </w:pPr>
      <w:r w:rsidRPr="00251085">
        <w:rPr>
          <w:rFonts w:ascii="Arial" w:hAnsi="Arial" w:cs="Arial"/>
          <w:sz w:val="20"/>
          <w:szCs w:val="20"/>
        </w:rPr>
        <w:t>Outright owners are predominantly made up of households of pensionable age and consequently have smaller household sizes. The is a strong concentration of lone parent households within the private rented sector.</w:t>
      </w:r>
    </w:p>
    <w:p w14:paraId="55A7F328" w14:textId="77777777" w:rsidR="00B139D2" w:rsidRPr="00251085" w:rsidRDefault="00B139D2">
      <w:pPr>
        <w:pStyle w:val="ListParagraph"/>
        <w:numPr>
          <w:ilvl w:val="0"/>
          <w:numId w:val="72"/>
        </w:numPr>
        <w:spacing w:line="300" w:lineRule="auto"/>
        <w:contextualSpacing/>
        <w:jc w:val="both"/>
        <w:rPr>
          <w:rFonts w:ascii="Arial" w:hAnsi="Arial" w:cs="Arial"/>
          <w:sz w:val="20"/>
          <w:szCs w:val="20"/>
        </w:rPr>
      </w:pPr>
      <w:r w:rsidRPr="00251085">
        <w:rPr>
          <w:rFonts w:ascii="Arial" w:hAnsi="Arial" w:cs="Arial"/>
          <w:sz w:val="20"/>
          <w:szCs w:val="20"/>
        </w:rPr>
        <w:t>Owner-occupiers generally live in houses (notably detached and semi-detached) whilst around half of all social and privately rented homes are flats; and</w:t>
      </w:r>
    </w:p>
    <w:p w14:paraId="272818C7" w14:textId="77777777" w:rsidR="00B139D2" w:rsidRPr="00251085" w:rsidRDefault="00B139D2">
      <w:pPr>
        <w:pStyle w:val="ListParagraph"/>
        <w:numPr>
          <w:ilvl w:val="0"/>
          <w:numId w:val="72"/>
        </w:numPr>
        <w:spacing w:line="300" w:lineRule="auto"/>
        <w:contextualSpacing/>
        <w:jc w:val="both"/>
        <w:rPr>
          <w:rFonts w:ascii="Arial" w:hAnsi="Arial" w:cs="Arial"/>
          <w:sz w:val="20"/>
          <w:szCs w:val="20"/>
        </w:rPr>
      </w:pPr>
      <w:r w:rsidRPr="00251085">
        <w:rPr>
          <w:rFonts w:ascii="Arial" w:hAnsi="Arial" w:cs="Arial"/>
          <w:sz w:val="20"/>
          <w:szCs w:val="20"/>
        </w:rPr>
        <w:t>Levels of overcrowding are generally low but concentrated in rented housing (86% of all overcrowded households live in either the social or private rented sector).</w:t>
      </w:r>
    </w:p>
    <w:p w14:paraId="0A29D202" w14:textId="77777777" w:rsidR="00B139D2" w:rsidRPr="00B139D2" w:rsidRDefault="00B139D2" w:rsidP="00172F56">
      <w:pPr>
        <w:spacing w:line="300" w:lineRule="auto"/>
        <w:jc w:val="both"/>
        <w:rPr>
          <w:rFonts w:ascii="Arial" w:hAnsi="Arial" w:cs="Arial"/>
          <w:sz w:val="20"/>
          <w:szCs w:val="20"/>
          <w:lang w:eastAsia="ja-JP"/>
        </w:rPr>
      </w:pPr>
    </w:p>
    <w:p w14:paraId="0E2AEB17" w14:textId="3B08D137" w:rsidR="00B139D2" w:rsidRPr="00B139D2" w:rsidRDefault="00B139D2">
      <w:pPr>
        <w:pStyle w:val="ListParagraph"/>
        <w:numPr>
          <w:ilvl w:val="0"/>
          <w:numId w:val="26"/>
        </w:numPr>
        <w:spacing w:line="300" w:lineRule="auto"/>
        <w:ind w:hanging="720"/>
        <w:jc w:val="both"/>
        <w:rPr>
          <w:rFonts w:ascii="Arial" w:hAnsi="Arial" w:cs="Arial"/>
          <w:sz w:val="20"/>
          <w:szCs w:val="20"/>
          <w:lang w:eastAsia="ja-JP"/>
        </w:rPr>
      </w:pPr>
      <w:r w:rsidRPr="00B139D2">
        <w:rPr>
          <w:rFonts w:ascii="Arial" w:hAnsi="Arial" w:cs="Arial"/>
          <w:sz w:val="20"/>
          <w:szCs w:val="20"/>
        </w:rPr>
        <w:t>This report sets out a number of either linked or distinct sections to cover a range of core subject areas with a particular focus on the need for affordable housing; the sections are summarised below:</w:t>
      </w:r>
    </w:p>
    <w:p w14:paraId="1F897E9D" w14:textId="77777777" w:rsidR="00B139D2" w:rsidRPr="00251085" w:rsidRDefault="00B139D2" w:rsidP="00172F56">
      <w:pPr>
        <w:pStyle w:val="11Bodytext"/>
        <w:numPr>
          <w:ilvl w:val="0"/>
          <w:numId w:val="0"/>
        </w:numPr>
        <w:spacing w:before="0" w:after="0" w:line="300" w:lineRule="auto"/>
        <w:rPr>
          <w:color w:val="auto"/>
        </w:rPr>
      </w:pPr>
    </w:p>
    <w:p w14:paraId="78CB1BC8" w14:textId="77777777" w:rsidR="00B139D2" w:rsidRPr="00251085" w:rsidRDefault="00B139D2">
      <w:pPr>
        <w:pStyle w:val="11Bodytext"/>
        <w:numPr>
          <w:ilvl w:val="0"/>
          <w:numId w:val="73"/>
        </w:numPr>
        <w:spacing w:before="0" w:after="0" w:line="300" w:lineRule="auto"/>
        <w:rPr>
          <w:color w:val="auto"/>
        </w:rPr>
      </w:pPr>
      <w:r w:rsidRPr="00251085">
        <w:rPr>
          <w:color w:val="auto"/>
        </w:rPr>
        <w:t>Section 2 – Incomes and Affordability;</w:t>
      </w:r>
    </w:p>
    <w:p w14:paraId="22F5C430" w14:textId="77777777" w:rsidR="00B139D2" w:rsidRPr="00251085" w:rsidRDefault="00B139D2">
      <w:pPr>
        <w:pStyle w:val="11Bodytext"/>
        <w:numPr>
          <w:ilvl w:val="0"/>
          <w:numId w:val="73"/>
        </w:numPr>
        <w:spacing w:before="0" w:after="0" w:line="300" w:lineRule="auto"/>
        <w:rPr>
          <w:color w:val="auto"/>
        </w:rPr>
      </w:pPr>
      <w:r w:rsidRPr="00251085">
        <w:rPr>
          <w:color w:val="auto"/>
        </w:rPr>
        <w:t>Section 3 – Affordable Housing Need;</w:t>
      </w:r>
    </w:p>
    <w:p w14:paraId="49743B15" w14:textId="77777777" w:rsidR="00B139D2" w:rsidRPr="00251085" w:rsidRDefault="00B139D2">
      <w:pPr>
        <w:pStyle w:val="11Bodytext"/>
        <w:numPr>
          <w:ilvl w:val="0"/>
          <w:numId w:val="73"/>
        </w:numPr>
        <w:spacing w:before="0" w:after="0" w:line="300" w:lineRule="auto"/>
        <w:rPr>
          <w:color w:val="auto"/>
        </w:rPr>
      </w:pPr>
      <w:r w:rsidRPr="00251085">
        <w:rPr>
          <w:color w:val="auto"/>
        </w:rPr>
        <w:t>Section 4 – Types of Affordable Housing;</w:t>
      </w:r>
    </w:p>
    <w:p w14:paraId="0B0B5FB6" w14:textId="77777777" w:rsidR="00B139D2" w:rsidRPr="00251085" w:rsidRDefault="00B139D2">
      <w:pPr>
        <w:pStyle w:val="11Bodytext"/>
        <w:numPr>
          <w:ilvl w:val="0"/>
          <w:numId w:val="73"/>
        </w:numPr>
        <w:spacing w:before="0" w:after="0" w:line="300" w:lineRule="auto"/>
        <w:rPr>
          <w:color w:val="auto"/>
        </w:rPr>
      </w:pPr>
      <w:r w:rsidRPr="00251085">
        <w:rPr>
          <w:color w:val="auto"/>
        </w:rPr>
        <w:t>Section 5 – Housing History and Future Aspirations; and</w:t>
      </w:r>
    </w:p>
    <w:p w14:paraId="4E637CBE" w14:textId="77777777" w:rsidR="00B139D2" w:rsidRPr="00251085" w:rsidRDefault="00B139D2">
      <w:pPr>
        <w:pStyle w:val="11Bodytext"/>
        <w:numPr>
          <w:ilvl w:val="0"/>
          <w:numId w:val="73"/>
        </w:numPr>
        <w:spacing w:before="0" w:after="0" w:line="300" w:lineRule="auto"/>
        <w:rPr>
          <w:color w:val="auto"/>
        </w:rPr>
      </w:pPr>
      <w:r w:rsidRPr="00251085">
        <w:rPr>
          <w:color w:val="auto"/>
        </w:rPr>
        <w:t>Section 6 – Needs of Particular Groups.</w:t>
      </w:r>
    </w:p>
    <w:p w14:paraId="6527F57A" w14:textId="77777777" w:rsidR="00B139D2" w:rsidRPr="00B139D2" w:rsidRDefault="00B139D2" w:rsidP="00172F56">
      <w:pPr>
        <w:spacing w:line="300" w:lineRule="auto"/>
        <w:jc w:val="both"/>
        <w:rPr>
          <w:rFonts w:ascii="Arial" w:hAnsi="Arial" w:cs="Arial"/>
          <w:sz w:val="20"/>
          <w:szCs w:val="20"/>
          <w:lang w:eastAsia="ja-JP"/>
        </w:rPr>
      </w:pPr>
    </w:p>
    <w:p w14:paraId="1EE26C00" w14:textId="551A6057" w:rsidR="00B139D2" w:rsidRPr="00B139D2" w:rsidRDefault="00B139D2">
      <w:pPr>
        <w:pStyle w:val="ListParagraph"/>
        <w:numPr>
          <w:ilvl w:val="0"/>
          <w:numId w:val="26"/>
        </w:numPr>
        <w:spacing w:line="300" w:lineRule="auto"/>
        <w:ind w:hanging="720"/>
        <w:jc w:val="both"/>
        <w:rPr>
          <w:rFonts w:ascii="Arial" w:hAnsi="Arial" w:cs="Arial"/>
          <w:sz w:val="20"/>
          <w:szCs w:val="20"/>
          <w:lang w:eastAsia="ja-JP"/>
        </w:rPr>
      </w:pPr>
      <w:r w:rsidRPr="4EBF7615">
        <w:rPr>
          <w:rFonts w:ascii="Arial" w:hAnsi="Arial" w:cs="Arial"/>
          <w:sz w:val="20"/>
          <w:szCs w:val="20"/>
        </w:rPr>
        <w:t>It should be noted that the numbers included in tables and figures throughout the report may not sum exactly due to rounding.</w:t>
      </w:r>
    </w:p>
    <w:p w14:paraId="3C1A358A" w14:textId="4D605DE2" w:rsidR="4EBF7615" w:rsidRDefault="4EBF7615" w:rsidP="00172F56">
      <w:pPr>
        <w:spacing w:line="300" w:lineRule="auto"/>
        <w:jc w:val="both"/>
        <w:rPr>
          <w:rFonts w:ascii="Arial" w:hAnsi="Arial" w:cs="Arial"/>
          <w:sz w:val="20"/>
          <w:szCs w:val="20"/>
          <w:lang w:eastAsia="ja-JP"/>
        </w:rPr>
      </w:pPr>
    </w:p>
    <w:p w14:paraId="52EFDD87" w14:textId="77777777" w:rsidR="00B139D2" w:rsidRPr="00B139D2" w:rsidRDefault="00B139D2" w:rsidP="00172F56">
      <w:pPr>
        <w:spacing w:line="300" w:lineRule="auto"/>
        <w:jc w:val="both"/>
        <w:rPr>
          <w:rFonts w:ascii="Arial" w:hAnsi="Arial" w:cs="Arial"/>
          <w:b/>
          <w:bCs/>
        </w:rPr>
      </w:pPr>
      <w:r w:rsidRPr="00B139D2">
        <w:rPr>
          <w:rFonts w:ascii="Arial" w:hAnsi="Arial" w:cs="Arial"/>
          <w:b/>
          <w:bCs/>
        </w:rPr>
        <w:t>Incomes and Affordability</w:t>
      </w:r>
    </w:p>
    <w:p w14:paraId="548073A4" w14:textId="77777777" w:rsidR="00B139D2" w:rsidRPr="00B139D2" w:rsidRDefault="00B139D2" w:rsidP="00172F56">
      <w:pPr>
        <w:spacing w:line="300" w:lineRule="auto"/>
        <w:jc w:val="both"/>
        <w:rPr>
          <w:rFonts w:ascii="Arial" w:hAnsi="Arial" w:cs="Arial"/>
          <w:sz w:val="20"/>
          <w:szCs w:val="20"/>
          <w:lang w:eastAsia="ja-JP"/>
        </w:rPr>
      </w:pPr>
    </w:p>
    <w:p w14:paraId="79EA1344" w14:textId="6AEF406B" w:rsidR="00B139D2" w:rsidRPr="00172F56" w:rsidRDefault="00B139D2">
      <w:pPr>
        <w:pStyle w:val="ListParagraph"/>
        <w:numPr>
          <w:ilvl w:val="0"/>
          <w:numId w:val="26"/>
        </w:numPr>
        <w:spacing w:line="300" w:lineRule="auto"/>
        <w:ind w:hanging="720"/>
        <w:jc w:val="both"/>
        <w:rPr>
          <w:rFonts w:ascii="Arial" w:hAnsi="Arial" w:cs="Arial"/>
          <w:sz w:val="20"/>
          <w:szCs w:val="20"/>
        </w:rPr>
      </w:pPr>
      <w:r w:rsidRPr="4EBF7615">
        <w:rPr>
          <w:rFonts w:ascii="Arial" w:hAnsi="Arial" w:cs="Arial"/>
          <w:sz w:val="20"/>
          <w:szCs w:val="20"/>
        </w:rPr>
        <w:t xml:space="preserve">Assessing the affordability of market housing in an area is crucial to understanding the sustainability of the housing market. Poor affordability can result in the loss of employees from an area, an increase in poverty and a high number of households requiring assistance with their housing either via a social rented </w:t>
      </w:r>
      <w:r w:rsidR="00330A48">
        <w:rPr>
          <w:rFonts w:ascii="Arial" w:hAnsi="Arial" w:cs="Arial"/>
          <w:sz w:val="20"/>
          <w:szCs w:val="20"/>
        </w:rPr>
        <w:t>housing</w:t>
      </w:r>
      <w:r w:rsidRPr="4EBF7615">
        <w:rPr>
          <w:rFonts w:ascii="Arial" w:hAnsi="Arial" w:cs="Arial"/>
          <w:sz w:val="20"/>
          <w:szCs w:val="20"/>
        </w:rPr>
        <w:t xml:space="preserve"> or through Housing Benefit (Local Housing Allowance). This can also result in a loss of mix and balance in the population within the area.</w:t>
      </w:r>
      <w:r w:rsidR="00330A48" w:rsidRPr="00330A48">
        <w:rPr>
          <w:rFonts w:ascii="Arial" w:hAnsi="Arial" w:cs="Arial"/>
          <w:sz w:val="20"/>
          <w:szCs w:val="20"/>
        </w:rPr>
        <w:t xml:space="preserve"> </w:t>
      </w:r>
      <w:r w:rsidR="00330A48">
        <w:rPr>
          <w:rFonts w:ascii="Arial" w:hAnsi="Arial" w:cs="Arial"/>
          <w:sz w:val="20"/>
          <w:szCs w:val="20"/>
        </w:rPr>
        <w:t>This also reflects the qualitative view on the wider impact of affordability on the local housing market from local estate and letting agents and a small number of employers.</w:t>
      </w:r>
    </w:p>
    <w:p w14:paraId="6734CA0B" w14:textId="77777777" w:rsidR="00B139D2" w:rsidRPr="00B139D2" w:rsidRDefault="00B139D2" w:rsidP="00172F56">
      <w:pPr>
        <w:spacing w:line="300" w:lineRule="auto"/>
        <w:jc w:val="both"/>
        <w:rPr>
          <w:rFonts w:ascii="Arial" w:hAnsi="Arial" w:cs="Arial"/>
          <w:sz w:val="20"/>
          <w:szCs w:val="20"/>
          <w:lang w:eastAsia="ja-JP"/>
        </w:rPr>
      </w:pPr>
    </w:p>
    <w:p w14:paraId="189A7BE5" w14:textId="0F08366C" w:rsidR="00B139D2" w:rsidRDefault="00B139D2">
      <w:pPr>
        <w:pStyle w:val="ListParagraph"/>
        <w:numPr>
          <w:ilvl w:val="0"/>
          <w:numId w:val="26"/>
        </w:numPr>
        <w:spacing w:line="300" w:lineRule="auto"/>
        <w:ind w:hanging="720"/>
        <w:jc w:val="both"/>
        <w:rPr>
          <w:rFonts w:ascii="Arial" w:hAnsi="Arial" w:cs="Arial"/>
          <w:sz w:val="20"/>
          <w:szCs w:val="20"/>
          <w:lang w:eastAsia="ja-JP"/>
        </w:rPr>
      </w:pPr>
      <w:r w:rsidRPr="4EBF7615">
        <w:rPr>
          <w:rFonts w:ascii="Arial" w:hAnsi="Arial" w:cs="Arial"/>
          <w:sz w:val="20"/>
          <w:szCs w:val="20"/>
        </w:rPr>
        <w:t>To look at the affordability of housing a market survey was undertaken to establish the entry-level costs to both buy and rent housing locally; this showed a lower quartile house price of around £155,000 (across all types and sizes of home) and lower quartile rents at £475 per month. The analysis also looked at how costs varied by size of dwelling and across the sub-areas.</w:t>
      </w:r>
    </w:p>
    <w:p w14:paraId="491C8189" w14:textId="77777777" w:rsidR="00B139D2" w:rsidRPr="00B139D2" w:rsidRDefault="00B139D2" w:rsidP="00172F56">
      <w:pPr>
        <w:spacing w:line="300" w:lineRule="auto"/>
        <w:jc w:val="both"/>
        <w:rPr>
          <w:rFonts w:ascii="Arial" w:hAnsi="Arial" w:cs="Arial"/>
          <w:sz w:val="20"/>
          <w:szCs w:val="20"/>
          <w:lang w:eastAsia="ja-JP"/>
        </w:rPr>
      </w:pPr>
    </w:p>
    <w:p w14:paraId="1A090BFE" w14:textId="7787349D" w:rsidR="00B139D2" w:rsidRDefault="00B139D2">
      <w:pPr>
        <w:pStyle w:val="ListParagraph"/>
        <w:numPr>
          <w:ilvl w:val="0"/>
          <w:numId w:val="26"/>
        </w:numPr>
        <w:spacing w:line="300" w:lineRule="auto"/>
        <w:ind w:hanging="720"/>
        <w:jc w:val="both"/>
        <w:rPr>
          <w:rFonts w:ascii="Arial" w:hAnsi="Arial" w:cs="Arial"/>
          <w:sz w:val="20"/>
          <w:szCs w:val="20"/>
          <w:lang w:eastAsia="ja-JP"/>
        </w:rPr>
      </w:pPr>
      <w:r w:rsidRPr="4EBF7615">
        <w:rPr>
          <w:rFonts w:ascii="Arial" w:hAnsi="Arial" w:cs="Arial"/>
          <w:sz w:val="20"/>
          <w:szCs w:val="20"/>
        </w:rPr>
        <w:t>When looking at household incomes, the survey showed a median household income of around £30,400; within this there are a range of incomes, with around a third of households having an income below £20,000 and 11% above £80,000. Owner-occupiers (notably those with a mortgage) have relatively high incomes, with much lower incomes seen in the social and to a lesser extent private rented sector. The analysis also showed typically higher incomes in more rural locations within the Borough.</w:t>
      </w:r>
    </w:p>
    <w:p w14:paraId="21D76086" w14:textId="77777777" w:rsidR="00B139D2" w:rsidRPr="00B139D2" w:rsidRDefault="00B139D2" w:rsidP="00172F56">
      <w:pPr>
        <w:spacing w:line="300" w:lineRule="auto"/>
        <w:jc w:val="both"/>
        <w:rPr>
          <w:rFonts w:ascii="Arial" w:hAnsi="Arial" w:cs="Arial"/>
          <w:sz w:val="20"/>
          <w:szCs w:val="20"/>
          <w:lang w:eastAsia="ja-JP"/>
        </w:rPr>
      </w:pPr>
    </w:p>
    <w:tbl>
      <w:tblPr>
        <w:tblStyle w:val="TableTheme"/>
        <w:tblW w:w="8199" w:type="dxa"/>
        <w:jc w:val="center"/>
        <w:tblLook w:val="04A0" w:firstRow="1" w:lastRow="0" w:firstColumn="1" w:lastColumn="0" w:noHBand="0" w:noVBand="1"/>
      </w:tblPr>
      <w:tblGrid>
        <w:gridCol w:w="8199"/>
      </w:tblGrid>
      <w:tr w:rsidR="00B139D2" w:rsidRPr="00BD63F3" w14:paraId="01497DBB" w14:textId="77777777" w:rsidTr="00B139D2">
        <w:trPr>
          <w:jc w:val="center"/>
        </w:trPr>
        <w:tc>
          <w:tcPr>
            <w:tcW w:w="8199" w:type="dxa"/>
          </w:tcPr>
          <w:p w14:paraId="5AD039E2" w14:textId="47CC3EB8" w:rsidR="00B139D2" w:rsidRPr="00BD63F3" w:rsidRDefault="00B139D2" w:rsidP="0033047F">
            <w:pPr>
              <w:pStyle w:val="Reporttext0"/>
              <w:keepNext/>
              <w:keepLines w:val="0"/>
              <w:widowControl w:val="0"/>
              <w:numPr>
                <w:ilvl w:val="0"/>
                <w:numId w:val="0"/>
              </w:numPr>
              <w:spacing w:before="60" w:after="60" w:line="300" w:lineRule="auto"/>
              <w:jc w:val="center"/>
              <w:rPr>
                <w:rFonts w:ascii="Arial" w:hAnsi="Arial" w:cs="Arial"/>
                <w:b/>
                <w:bCs/>
                <w:sz w:val="20"/>
              </w:rPr>
            </w:pPr>
            <w:r w:rsidRPr="00BD63F3">
              <w:rPr>
                <w:rFonts w:ascii="Arial" w:hAnsi="Arial" w:cs="Arial"/>
                <w:b/>
                <w:bCs/>
                <w:sz w:val="20"/>
              </w:rPr>
              <w:t xml:space="preserve">Figure </w:t>
            </w:r>
            <w:r>
              <w:rPr>
                <w:rFonts w:ascii="Arial" w:hAnsi="Arial" w:cs="Arial"/>
                <w:b/>
                <w:bCs/>
                <w:sz w:val="20"/>
              </w:rPr>
              <w:t>1</w:t>
            </w:r>
            <w:r w:rsidRPr="00BD63F3">
              <w:rPr>
                <w:rFonts w:ascii="Arial" w:hAnsi="Arial" w:cs="Arial"/>
                <w:b/>
                <w:bCs/>
                <w:sz w:val="20"/>
              </w:rPr>
              <w:t xml:space="preserve">: </w:t>
            </w:r>
            <w:r w:rsidRPr="00BD63F3">
              <w:rPr>
                <w:rFonts w:ascii="Arial" w:hAnsi="Arial"/>
                <w:b/>
                <w:bCs/>
                <w:sz w:val="20"/>
              </w:rPr>
              <w:t>Distribution of annual gross household income</w:t>
            </w:r>
          </w:p>
        </w:tc>
      </w:tr>
      <w:tr w:rsidR="00B139D2" w14:paraId="0854AA9C" w14:textId="77777777" w:rsidTr="00B139D2">
        <w:trPr>
          <w:jc w:val="center"/>
        </w:trPr>
        <w:tc>
          <w:tcPr>
            <w:tcW w:w="8199" w:type="dxa"/>
          </w:tcPr>
          <w:p w14:paraId="7B690E40" w14:textId="77777777" w:rsidR="00B139D2" w:rsidRDefault="00B139D2" w:rsidP="00172F56">
            <w:pPr>
              <w:pStyle w:val="Reporttext0"/>
              <w:keepLines w:val="0"/>
              <w:widowControl w:val="0"/>
              <w:numPr>
                <w:ilvl w:val="0"/>
                <w:numId w:val="0"/>
              </w:numPr>
              <w:spacing w:line="300" w:lineRule="auto"/>
              <w:jc w:val="center"/>
              <w:rPr>
                <w:rFonts w:ascii="Arial" w:hAnsi="Arial" w:cs="Arial"/>
                <w:sz w:val="20"/>
              </w:rPr>
            </w:pPr>
            <w:r>
              <w:rPr>
                <w:rFonts w:ascii="Arial" w:hAnsi="Arial" w:cs="Arial"/>
                <w:noProof/>
                <w:sz w:val="22"/>
                <w:szCs w:val="22"/>
              </w:rPr>
              <w:drawing>
                <wp:inline distT="0" distB="0" distL="0" distR="0" wp14:anchorId="043015CD" wp14:editId="43C10E99">
                  <wp:extent cx="5040000" cy="2880000"/>
                  <wp:effectExtent l="0" t="0" r="8255"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3321DD58" w14:textId="77777777" w:rsidR="00B139D2" w:rsidRPr="00B22FFD" w:rsidRDefault="00B139D2" w:rsidP="0033047F">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5F62FC29" w14:textId="751C15A2" w:rsidR="00B139D2" w:rsidRDefault="00B139D2">
      <w:pPr>
        <w:spacing w:line="300" w:lineRule="auto"/>
        <w:jc w:val="both"/>
        <w:rPr>
          <w:rFonts w:ascii="Arial" w:hAnsi="Arial" w:cs="Arial"/>
          <w:sz w:val="20"/>
          <w:szCs w:val="20"/>
          <w:lang w:eastAsia="ja-JP"/>
        </w:rPr>
      </w:pPr>
    </w:p>
    <w:p w14:paraId="5176D15A" w14:textId="115D24D2" w:rsidR="00405237" w:rsidRDefault="00405237">
      <w:pPr>
        <w:spacing w:line="300" w:lineRule="auto"/>
        <w:jc w:val="both"/>
        <w:rPr>
          <w:rFonts w:ascii="Arial" w:hAnsi="Arial" w:cs="Arial"/>
          <w:sz w:val="20"/>
          <w:szCs w:val="20"/>
          <w:lang w:eastAsia="ja-JP"/>
        </w:rPr>
      </w:pPr>
    </w:p>
    <w:p w14:paraId="3D5A51AC" w14:textId="4474499B" w:rsidR="00405237" w:rsidRDefault="00405237">
      <w:pPr>
        <w:spacing w:line="300" w:lineRule="auto"/>
        <w:jc w:val="both"/>
        <w:rPr>
          <w:rFonts w:ascii="Arial" w:hAnsi="Arial" w:cs="Arial"/>
          <w:sz w:val="20"/>
          <w:szCs w:val="20"/>
          <w:lang w:eastAsia="ja-JP"/>
        </w:rPr>
      </w:pPr>
    </w:p>
    <w:p w14:paraId="3C3891BB" w14:textId="6ADF83FA" w:rsidR="00405237" w:rsidRDefault="00405237">
      <w:pPr>
        <w:spacing w:line="300" w:lineRule="auto"/>
        <w:jc w:val="both"/>
        <w:rPr>
          <w:rFonts w:ascii="Arial" w:hAnsi="Arial" w:cs="Arial"/>
          <w:sz w:val="20"/>
          <w:szCs w:val="20"/>
          <w:lang w:eastAsia="ja-JP"/>
        </w:rPr>
      </w:pPr>
    </w:p>
    <w:p w14:paraId="1BD6F333" w14:textId="36840A59" w:rsidR="00405237" w:rsidRDefault="00405237">
      <w:pPr>
        <w:spacing w:line="300" w:lineRule="auto"/>
        <w:jc w:val="both"/>
        <w:rPr>
          <w:rFonts w:ascii="Arial" w:hAnsi="Arial" w:cs="Arial"/>
          <w:sz w:val="20"/>
          <w:szCs w:val="20"/>
          <w:lang w:eastAsia="ja-JP"/>
        </w:rPr>
      </w:pPr>
    </w:p>
    <w:p w14:paraId="028DBA59" w14:textId="77777777" w:rsidR="00405237" w:rsidRPr="00B139D2" w:rsidRDefault="00405237" w:rsidP="00172F56">
      <w:pPr>
        <w:spacing w:line="300" w:lineRule="auto"/>
        <w:jc w:val="both"/>
        <w:rPr>
          <w:rFonts w:ascii="Arial" w:hAnsi="Arial" w:cs="Arial"/>
          <w:sz w:val="20"/>
          <w:szCs w:val="20"/>
          <w:lang w:eastAsia="ja-JP"/>
        </w:rPr>
      </w:pPr>
    </w:p>
    <w:p w14:paraId="55417436" w14:textId="600FF580" w:rsidR="00B139D2" w:rsidRPr="00B139D2" w:rsidRDefault="00B139D2">
      <w:pPr>
        <w:pStyle w:val="ListParagraph"/>
        <w:numPr>
          <w:ilvl w:val="0"/>
          <w:numId w:val="26"/>
        </w:numPr>
        <w:spacing w:line="300" w:lineRule="auto"/>
        <w:ind w:hanging="720"/>
        <w:jc w:val="both"/>
        <w:rPr>
          <w:rFonts w:ascii="Arial" w:hAnsi="Arial" w:cs="Arial"/>
          <w:sz w:val="20"/>
          <w:szCs w:val="20"/>
          <w:lang w:eastAsia="ja-JP"/>
        </w:rPr>
      </w:pPr>
      <w:r w:rsidRPr="4EBF7615">
        <w:rPr>
          <w:rFonts w:ascii="Arial" w:hAnsi="Arial" w:cs="Arial"/>
          <w:sz w:val="20"/>
          <w:szCs w:val="20"/>
        </w:rPr>
        <w:t>The survey asked about savings and debt, which again showed a very wide range of different household circumstances – around a quarter of households said they were in debt, but approaching a third have savings in excess of £50,000. When focussing on non-owners, savings levels were very low (and debt relatively high); this is an important point given the need to raise a deposit to access the owner-occupied sector. With the full range of financial data considered it was estimated that the average private renting households could afford to buy for around £72,300, with a figure of £55,100 for social tenants, figures well below the lower quartile price of £155,000.</w:t>
      </w:r>
    </w:p>
    <w:p w14:paraId="4B142DCF" w14:textId="77777777" w:rsidR="00B139D2" w:rsidRPr="00251085" w:rsidRDefault="00B139D2" w:rsidP="00172F56">
      <w:pPr>
        <w:spacing w:line="300" w:lineRule="auto"/>
        <w:jc w:val="both"/>
        <w:rPr>
          <w:rFonts w:ascii="Arial" w:hAnsi="Arial" w:cs="Arial"/>
          <w:sz w:val="20"/>
          <w:szCs w:val="20"/>
        </w:rPr>
      </w:pPr>
    </w:p>
    <w:p w14:paraId="602E3125" w14:textId="34940E1E" w:rsidR="00B139D2" w:rsidRDefault="680282E3">
      <w:pPr>
        <w:pStyle w:val="ListParagraph"/>
        <w:numPr>
          <w:ilvl w:val="0"/>
          <w:numId w:val="26"/>
        </w:numPr>
        <w:spacing w:line="300" w:lineRule="auto"/>
        <w:ind w:hanging="720"/>
        <w:jc w:val="both"/>
        <w:rPr>
          <w:rFonts w:ascii="Arial" w:hAnsi="Arial" w:cs="Arial"/>
          <w:sz w:val="20"/>
          <w:szCs w:val="20"/>
          <w:lang w:eastAsia="ja-JP"/>
        </w:rPr>
      </w:pPr>
      <w:r w:rsidRPr="6ECE1D4B">
        <w:rPr>
          <w:rFonts w:ascii="Arial" w:hAnsi="Arial" w:cs="Arial"/>
          <w:sz w:val="20"/>
          <w:szCs w:val="20"/>
        </w:rPr>
        <w:t>A series of affordability tests were run to look at all households’ ability to afford to buy or rent housing in their local area. This suggested only 18% of households would be unable to access  market housing to buy or rent. Focussing on non-owners, an estimated 52% are unable to afford. Additionally, the analysis points to a particular difficulty in non-owners buying homes, with just 19% being able to buy a lower quartile home –</w:t>
      </w:r>
      <w:r w:rsidR="00C20646" w:rsidRPr="6ECE1D4B">
        <w:rPr>
          <w:rFonts w:ascii="Arial" w:hAnsi="Arial" w:cs="Arial"/>
          <w:sz w:val="20"/>
          <w:szCs w:val="20"/>
        </w:rPr>
        <w:t xml:space="preserve"> </w:t>
      </w:r>
      <w:r w:rsidRPr="6ECE1D4B">
        <w:rPr>
          <w:rFonts w:ascii="Arial" w:hAnsi="Arial" w:cs="Arial"/>
          <w:sz w:val="20"/>
          <w:szCs w:val="20"/>
        </w:rPr>
        <w:t>in part due to low levels of capital available to put towards a deposit.</w:t>
      </w:r>
    </w:p>
    <w:p w14:paraId="537A7D22" w14:textId="77777777" w:rsidR="00B139D2" w:rsidRPr="00B139D2" w:rsidRDefault="00B139D2" w:rsidP="00172F56">
      <w:pPr>
        <w:spacing w:line="300" w:lineRule="auto"/>
        <w:jc w:val="both"/>
        <w:rPr>
          <w:rFonts w:ascii="Arial" w:hAnsi="Arial" w:cs="Arial"/>
          <w:sz w:val="20"/>
          <w:szCs w:val="20"/>
          <w:lang w:eastAsia="ja-JP"/>
        </w:rPr>
      </w:pPr>
    </w:p>
    <w:p w14:paraId="59A5E0C8" w14:textId="2EEE642D" w:rsidR="00B139D2" w:rsidRDefault="680282E3">
      <w:pPr>
        <w:pStyle w:val="ListParagraph"/>
        <w:numPr>
          <w:ilvl w:val="0"/>
          <w:numId w:val="26"/>
        </w:numPr>
        <w:spacing w:line="300" w:lineRule="auto"/>
        <w:ind w:hanging="720"/>
        <w:jc w:val="both"/>
        <w:rPr>
          <w:rFonts w:ascii="Arial" w:hAnsi="Arial" w:cs="Arial"/>
          <w:sz w:val="20"/>
          <w:szCs w:val="20"/>
          <w:lang w:eastAsia="ja-JP"/>
        </w:rPr>
      </w:pPr>
      <w:r w:rsidRPr="6ECE1D4B">
        <w:rPr>
          <w:rFonts w:ascii="Arial" w:hAnsi="Arial" w:cs="Arial"/>
          <w:sz w:val="20"/>
          <w:szCs w:val="20"/>
        </w:rPr>
        <w:t>The survey also asked a series of questions about potential new households (i.e. people living with others who will form their own independent household in the future)</w:t>
      </w:r>
      <w:r w:rsidR="0033047F">
        <w:rPr>
          <w:rFonts w:ascii="Arial" w:hAnsi="Arial" w:cs="Arial"/>
          <w:sz w:val="20"/>
          <w:szCs w:val="20"/>
        </w:rPr>
        <w:t xml:space="preserve"> – households were asked about plans over the next 5-years</w:t>
      </w:r>
      <w:r w:rsidRPr="6ECE1D4B">
        <w:rPr>
          <w:rFonts w:ascii="Arial" w:hAnsi="Arial" w:cs="Arial"/>
          <w:sz w:val="20"/>
          <w:szCs w:val="20"/>
        </w:rPr>
        <w:t xml:space="preserve">. These households typically had lower levels of income than existing households and </w:t>
      </w:r>
      <w:r w:rsidR="0033047F">
        <w:rPr>
          <w:rFonts w:ascii="Arial" w:hAnsi="Arial" w:cs="Arial"/>
          <w:sz w:val="20"/>
          <w:szCs w:val="20"/>
        </w:rPr>
        <w:t>were less able to afford to buy or rent market housing</w:t>
      </w:r>
      <w:r w:rsidRPr="6ECE1D4B">
        <w:rPr>
          <w:rFonts w:ascii="Arial" w:hAnsi="Arial" w:cs="Arial"/>
          <w:sz w:val="20"/>
          <w:szCs w:val="20"/>
        </w:rPr>
        <w:t>.</w:t>
      </w:r>
    </w:p>
    <w:p w14:paraId="7800FB7B" w14:textId="77777777" w:rsidR="00B139D2" w:rsidRPr="00B139D2" w:rsidRDefault="00B139D2" w:rsidP="00172F56">
      <w:pPr>
        <w:spacing w:line="300" w:lineRule="auto"/>
        <w:jc w:val="both"/>
        <w:rPr>
          <w:rFonts w:ascii="Arial" w:hAnsi="Arial" w:cs="Arial"/>
          <w:sz w:val="20"/>
          <w:szCs w:val="20"/>
          <w:lang w:eastAsia="ja-JP"/>
        </w:rPr>
      </w:pPr>
    </w:p>
    <w:p w14:paraId="530EAEEA" w14:textId="77777777" w:rsidR="00B139D2" w:rsidRPr="00B139D2" w:rsidRDefault="00B139D2">
      <w:pPr>
        <w:pStyle w:val="ListParagraph"/>
        <w:numPr>
          <w:ilvl w:val="0"/>
          <w:numId w:val="26"/>
        </w:numPr>
        <w:spacing w:line="300" w:lineRule="auto"/>
        <w:ind w:hanging="720"/>
        <w:jc w:val="both"/>
        <w:rPr>
          <w:rFonts w:ascii="Arial" w:hAnsi="Arial" w:cs="Arial"/>
          <w:sz w:val="20"/>
          <w:szCs w:val="20"/>
          <w:lang w:eastAsia="ja-JP"/>
        </w:rPr>
      </w:pPr>
      <w:r w:rsidRPr="4EBF7615">
        <w:rPr>
          <w:rFonts w:ascii="Arial" w:hAnsi="Arial" w:cs="Arial"/>
          <w:sz w:val="20"/>
          <w:szCs w:val="20"/>
        </w:rPr>
        <w:t>The information about affordability amongst different groups of the population has been taken forward into an assessment of the need for affordable housing.</w:t>
      </w:r>
    </w:p>
    <w:p w14:paraId="755922DE" w14:textId="77777777" w:rsidR="00B139D2" w:rsidRPr="00251085" w:rsidRDefault="00B139D2" w:rsidP="00172F56">
      <w:pPr>
        <w:spacing w:line="300" w:lineRule="auto"/>
        <w:jc w:val="both"/>
        <w:rPr>
          <w:rFonts w:ascii="Arial" w:hAnsi="Arial" w:cs="Arial"/>
          <w:sz w:val="20"/>
          <w:szCs w:val="20"/>
        </w:rPr>
      </w:pPr>
    </w:p>
    <w:p w14:paraId="779B9302" w14:textId="77777777" w:rsidR="00B139D2" w:rsidRPr="00B139D2" w:rsidRDefault="00B139D2" w:rsidP="00172F56">
      <w:pPr>
        <w:spacing w:line="300" w:lineRule="auto"/>
        <w:jc w:val="both"/>
        <w:rPr>
          <w:rFonts w:ascii="Arial" w:hAnsi="Arial" w:cs="Arial"/>
          <w:b/>
          <w:bCs/>
        </w:rPr>
      </w:pPr>
      <w:r w:rsidRPr="00B139D2">
        <w:rPr>
          <w:rFonts w:ascii="Arial" w:hAnsi="Arial" w:cs="Arial"/>
          <w:b/>
          <w:bCs/>
        </w:rPr>
        <w:t>Affordable Housing Need</w:t>
      </w:r>
    </w:p>
    <w:p w14:paraId="2663B761" w14:textId="77777777" w:rsidR="00B139D2" w:rsidRPr="00251085" w:rsidRDefault="00B139D2" w:rsidP="00172F56">
      <w:pPr>
        <w:spacing w:line="300" w:lineRule="auto"/>
        <w:jc w:val="both"/>
        <w:rPr>
          <w:rFonts w:ascii="Arial" w:hAnsi="Arial" w:cs="Arial"/>
          <w:sz w:val="20"/>
          <w:szCs w:val="20"/>
        </w:rPr>
      </w:pPr>
    </w:p>
    <w:p w14:paraId="022F229E" w14:textId="784C8831" w:rsidR="0033047F" w:rsidRPr="00172F56" w:rsidRDefault="680282E3">
      <w:pPr>
        <w:pStyle w:val="Bodytextwithindent"/>
        <w:numPr>
          <w:ilvl w:val="0"/>
          <w:numId w:val="26"/>
        </w:numPr>
        <w:spacing w:before="0" w:after="0" w:line="300" w:lineRule="auto"/>
        <w:ind w:hanging="720"/>
      </w:pPr>
      <w:r w:rsidRPr="4EBF7615">
        <w:rPr>
          <w:spacing w:val="0"/>
        </w:rPr>
        <w:t xml:space="preserve">Analysis has been undertaken to estimate the need for affordable housing </w:t>
      </w:r>
      <w:r w:rsidR="00E37A95">
        <w:rPr>
          <w:spacing w:val="0"/>
        </w:rPr>
        <w:t>over the next five years (2022-27)</w:t>
      </w:r>
      <w:r w:rsidRPr="4EBF7615">
        <w:rPr>
          <w:spacing w:val="0"/>
        </w:rPr>
        <w:t xml:space="preserve">. The analysis is split </w:t>
      </w:r>
      <w:r w:rsidR="0033047F">
        <w:rPr>
          <w:spacing w:val="0"/>
        </w:rPr>
        <w:t>into two categories:</w:t>
      </w:r>
    </w:p>
    <w:p w14:paraId="5C7A50D7" w14:textId="77777777" w:rsidR="0033047F" w:rsidRDefault="0033047F" w:rsidP="0033047F">
      <w:pPr>
        <w:pStyle w:val="Bodytextwithindent"/>
        <w:spacing w:before="0" w:after="0" w:line="300" w:lineRule="auto"/>
        <w:ind w:left="0"/>
        <w:rPr>
          <w:spacing w:val="0"/>
        </w:rPr>
      </w:pPr>
    </w:p>
    <w:p w14:paraId="65B4B688" w14:textId="54D892EC" w:rsidR="0033047F" w:rsidRPr="00172F56" w:rsidRDefault="680282E3">
      <w:pPr>
        <w:pStyle w:val="Bodytextwithindent"/>
        <w:numPr>
          <w:ilvl w:val="0"/>
          <w:numId w:val="75"/>
        </w:numPr>
        <w:spacing w:before="0" w:after="0" w:line="300" w:lineRule="auto"/>
      </w:pPr>
      <w:r w:rsidRPr="4EBF7615">
        <w:rPr>
          <w:spacing w:val="0"/>
        </w:rPr>
        <w:t>need for social/affordable rented accommodation</w:t>
      </w:r>
      <w:r w:rsidR="0033047F">
        <w:rPr>
          <w:spacing w:val="0"/>
        </w:rPr>
        <w:t xml:space="preserve"> – based </w:t>
      </w:r>
      <w:r w:rsidRPr="4EBF7615">
        <w:rPr>
          <w:spacing w:val="0"/>
        </w:rPr>
        <w:t>on households unable to buy or rent in the market</w:t>
      </w:r>
      <w:r w:rsidR="0033047F">
        <w:rPr>
          <w:spacing w:val="0"/>
        </w:rPr>
        <w:t>;</w:t>
      </w:r>
      <w:r w:rsidRPr="4EBF7615">
        <w:rPr>
          <w:spacing w:val="0"/>
        </w:rPr>
        <w:t xml:space="preserve"> and</w:t>
      </w:r>
    </w:p>
    <w:p w14:paraId="5A7EBD42" w14:textId="138957C1" w:rsidR="00B139D2" w:rsidRPr="00251085" w:rsidRDefault="680282E3">
      <w:pPr>
        <w:pStyle w:val="Bodytextwithindent"/>
        <w:numPr>
          <w:ilvl w:val="0"/>
          <w:numId w:val="75"/>
        </w:numPr>
        <w:spacing w:before="0" w:after="0" w:line="300" w:lineRule="auto"/>
      </w:pPr>
      <w:r w:rsidRPr="4EBF7615">
        <w:rPr>
          <w:spacing w:val="0"/>
        </w:rPr>
        <w:t>need for affordable home ownership (AHO) – this includes housing for those who can afford to rent privately but cannot afford to buy a home</w:t>
      </w:r>
      <w:r w:rsidR="00330A48">
        <w:rPr>
          <w:spacing w:val="0"/>
        </w:rPr>
        <w:t xml:space="preserve"> at entry level market prices</w:t>
      </w:r>
      <w:r w:rsidRPr="4EBF7615">
        <w:rPr>
          <w:spacing w:val="0"/>
        </w:rPr>
        <w:t>.</w:t>
      </w:r>
    </w:p>
    <w:p w14:paraId="4B2F6F95" w14:textId="77777777" w:rsidR="00B139D2" w:rsidRPr="00251085" w:rsidRDefault="00B139D2" w:rsidP="00172F56">
      <w:pPr>
        <w:pStyle w:val="Bodytextwithindent"/>
        <w:spacing w:before="0" w:after="0" w:line="300" w:lineRule="auto"/>
        <w:ind w:left="0"/>
        <w:rPr>
          <w:spacing w:val="0"/>
          <w:szCs w:val="20"/>
        </w:rPr>
      </w:pPr>
    </w:p>
    <w:p w14:paraId="75D88277" w14:textId="09B4DB0D" w:rsidR="00B139D2" w:rsidRPr="00251085" w:rsidRDefault="00B139D2">
      <w:pPr>
        <w:pStyle w:val="Bodytextwithindent"/>
        <w:numPr>
          <w:ilvl w:val="0"/>
          <w:numId w:val="26"/>
        </w:numPr>
        <w:spacing w:before="0" w:after="0" w:line="300" w:lineRule="auto"/>
        <w:ind w:hanging="720"/>
        <w:rPr>
          <w:spacing w:val="0"/>
        </w:rPr>
      </w:pPr>
      <w:r w:rsidRPr="4EBF7615">
        <w:rPr>
          <w:spacing w:val="0"/>
        </w:rPr>
        <w:t>The analysis has taken account of local housing costs (to both buy and rent) along with estimates of households’ financial situation</w:t>
      </w:r>
      <w:r>
        <w:t>s</w:t>
      </w:r>
      <w:r w:rsidRPr="4EBF7615">
        <w:rPr>
          <w:spacing w:val="0"/>
        </w:rPr>
        <w:t>. Additionally, when looking at rented needs, consideration is given to estimates of the supply of social/affordable rented housing through relets. For AHO, consideration is given to the potential supply of resales of low-cost home ownership properties (such as shared ownership).</w:t>
      </w:r>
    </w:p>
    <w:p w14:paraId="0E11F92F" w14:textId="77777777" w:rsidR="00B139D2" w:rsidRPr="00251085" w:rsidRDefault="00B139D2" w:rsidP="00172F56">
      <w:pPr>
        <w:pStyle w:val="Bodytextwithindent"/>
        <w:spacing w:before="0" w:after="0" w:line="300" w:lineRule="auto"/>
        <w:ind w:left="0"/>
        <w:rPr>
          <w:spacing w:val="0"/>
          <w:szCs w:val="20"/>
        </w:rPr>
      </w:pPr>
    </w:p>
    <w:p w14:paraId="5E16DEA4" w14:textId="36879655" w:rsidR="0033047F" w:rsidRPr="00405237" w:rsidRDefault="00B139D2">
      <w:pPr>
        <w:pStyle w:val="Bodytextwithindent"/>
        <w:numPr>
          <w:ilvl w:val="0"/>
          <w:numId w:val="26"/>
        </w:numPr>
        <w:spacing w:before="0" w:after="0" w:line="300" w:lineRule="auto"/>
        <w:ind w:hanging="720"/>
        <w:rPr>
          <w:spacing w:val="0"/>
          <w:szCs w:val="20"/>
        </w:rPr>
      </w:pPr>
      <w:r w:rsidRPr="4EBF7615">
        <w:rPr>
          <w:spacing w:val="0"/>
        </w:rPr>
        <w:t xml:space="preserve">When looking at rented needs, the analysis suggests a need for </w:t>
      </w:r>
      <w:r w:rsidR="00FA78B1">
        <w:rPr>
          <w:spacing w:val="0"/>
        </w:rPr>
        <w:t>2,</w:t>
      </w:r>
      <w:r w:rsidR="00E37A95">
        <w:rPr>
          <w:spacing w:val="0"/>
        </w:rPr>
        <w:t>091</w:t>
      </w:r>
      <w:r w:rsidR="00FA78B1" w:rsidRPr="4EBF7615">
        <w:rPr>
          <w:spacing w:val="0"/>
        </w:rPr>
        <w:t xml:space="preserve"> </w:t>
      </w:r>
      <w:r w:rsidRPr="4EBF7615">
        <w:rPr>
          <w:spacing w:val="0"/>
        </w:rPr>
        <w:t xml:space="preserve">affordable homes </w:t>
      </w:r>
      <w:r w:rsidR="00FA78B1">
        <w:rPr>
          <w:spacing w:val="0"/>
        </w:rPr>
        <w:t>over the next five years (</w:t>
      </w:r>
      <w:r w:rsidR="00E37A95">
        <w:rPr>
          <w:spacing w:val="0"/>
          <w:szCs w:val="20"/>
        </w:rPr>
        <w:t>418</w:t>
      </w:r>
      <w:r w:rsidR="00FA78B1" w:rsidRPr="00405237">
        <w:rPr>
          <w:spacing w:val="0"/>
          <w:szCs w:val="20"/>
        </w:rPr>
        <w:t xml:space="preserve"> </w:t>
      </w:r>
      <w:r w:rsidRPr="00405237">
        <w:rPr>
          <w:spacing w:val="0"/>
          <w:szCs w:val="20"/>
        </w:rPr>
        <w:t>per annum</w:t>
      </w:r>
      <w:r w:rsidR="00FA78B1" w:rsidRPr="00405237">
        <w:rPr>
          <w:spacing w:val="0"/>
          <w:szCs w:val="20"/>
        </w:rPr>
        <w:t>)</w:t>
      </w:r>
      <w:r w:rsidRPr="00405237">
        <w:rPr>
          <w:spacing w:val="0"/>
          <w:szCs w:val="20"/>
        </w:rPr>
        <w:t xml:space="preserve"> and therefore the Council is justified in seeking to secure additional affordable housing. There is also a need shown in all parts of the Boroug</w:t>
      </w:r>
      <w:r w:rsidR="0033047F" w:rsidRPr="00405237">
        <w:rPr>
          <w:spacing w:val="0"/>
          <w:szCs w:val="20"/>
        </w:rPr>
        <w:t>h.</w:t>
      </w:r>
    </w:p>
    <w:p w14:paraId="42215528" w14:textId="681B2EDA" w:rsidR="0033047F" w:rsidRPr="00405237" w:rsidRDefault="0033047F" w:rsidP="00405237">
      <w:pPr>
        <w:pStyle w:val="Bodytextwithindent"/>
        <w:spacing w:before="0" w:after="0" w:line="300" w:lineRule="auto"/>
        <w:ind w:left="0"/>
        <w:rPr>
          <w:spacing w:val="0"/>
          <w:szCs w:val="20"/>
        </w:rPr>
      </w:pPr>
    </w:p>
    <w:p w14:paraId="75E15A47" w14:textId="027A53E5" w:rsidR="00405237" w:rsidRPr="00172F56" w:rsidRDefault="00405237" w:rsidP="00172F56">
      <w:pPr>
        <w:spacing w:line="300" w:lineRule="auto"/>
        <w:rPr>
          <w:rFonts w:ascii="Arial" w:hAnsi="Arial" w:cs="Arial"/>
          <w:sz w:val="20"/>
          <w:szCs w:val="20"/>
          <w:lang w:eastAsia="ja-JP"/>
        </w:rPr>
      </w:pPr>
    </w:p>
    <w:p w14:paraId="29F125AD" w14:textId="13A081A7" w:rsidR="00405237" w:rsidRPr="00172F56" w:rsidRDefault="00405237" w:rsidP="00172F56">
      <w:pPr>
        <w:spacing w:line="300" w:lineRule="auto"/>
        <w:rPr>
          <w:rFonts w:ascii="Arial" w:hAnsi="Arial" w:cs="Arial"/>
          <w:sz w:val="20"/>
          <w:szCs w:val="20"/>
          <w:lang w:eastAsia="ja-JP"/>
        </w:rPr>
      </w:pPr>
    </w:p>
    <w:p w14:paraId="4F87A1C1" w14:textId="1A8BB864" w:rsidR="00405237" w:rsidRPr="00172F56" w:rsidRDefault="00405237" w:rsidP="00172F56">
      <w:pPr>
        <w:spacing w:line="300" w:lineRule="auto"/>
        <w:rPr>
          <w:rFonts w:ascii="Arial" w:hAnsi="Arial" w:cs="Arial"/>
          <w:sz w:val="20"/>
          <w:szCs w:val="20"/>
          <w:lang w:eastAsia="ja-JP"/>
        </w:rPr>
      </w:pPr>
    </w:p>
    <w:p w14:paraId="7D2DA074" w14:textId="77777777" w:rsidR="00405237" w:rsidRPr="00172F56" w:rsidRDefault="00405237" w:rsidP="00172F56">
      <w:pPr>
        <w:spacing w:line="300" w:lineRule="auto"/>
        <w:rPr>
          <w:rFonts w:ascii="Arial" w:hAnsi="Arial" w:cs="Arial"/>
          <w:sz w:val="20"/>
          <w:szCs w:val="20"/>
          <w:lang w:eastAsia="ja-JP"/>
        </w:rPr>
      </w:pPr>
    </w:p>
    <w:p w14:paraId="7965210E" w14:textId="77777777" w:rsidR="00FA78B1" w:rsidRPr="00FA78B1" w:rsidRDefault="0033047F">
      <w:pPr>
        <w:pStyle w:val="Bodytextwithindent"/>
        <w:numPr>
          <w:ilvl w:val="0"/>
          <w:numId w:val="26"/>
        </w:numPr>
        <w:spacing w:before="0" w:after="0" w:line="300" w:lineRule="auto"/>
        <w:ind w:hanging="720"/>
        <w:rPr>
          <w:spacing w:val="0"/>
        </w:rPr>
      </w:pPr>
      <w:r>
        <w:rPr>
          <w:spacing w:val="0"/>
        </w:rPr>
        <w:t>In interpreting this level of need</w:t>
      </w:r>
      <w:r w:rsidR="005A20D5">
        <w:rPr>
          <w:spacing w:val="0"/>
        </w:rPr>
        <w:t xml:space="preserve"> it must be noted that many households find a housing solution through benefit support in the private rented sector (Housing Benefit or Universal Credit with a housing element). Additionally, much of the need is due to churn in the private rented sector (e.g. households moving from one benefit supported private tenancy to another) with the survey picking up a need at the point when </w:t>
      </w:r>
      <w:r w:rsidR="005A20D5" w:rsidRPr="00FA78B1">
        <w:rPr>
          <w:spacing w:val="0"/>
        </w:rPr>
        <w:t xml:space="preserve">households move. This means that whilst the need is high, it is the case that many households are able to find a solution to their housing needs (albeit one which is unlikely to be secure and may well be in accommodation that is unsuitable). </w:t>
      </w:r>
    </w:p>
    <w:p w14:paraId="2D315CB7" w14:textId="77777777" w:rsidR="00FA78B1" w:rsidRPr="00FA78B1" w:rsidRDefault="00FA78B1" w:rsidP="00172F56">
      <w:pPr>
        <w:pStyle w:val="Bodytextwithindent"/>
        <w:spacing w:before="0" w:after="0" w:line="300" w:lineRule="auto"/>
        <w:ind w:left="0"/>
        <w:rPr>
          <w:spacing w:val="0"/>
        </w:rPr>
      </w:pPr>
    </w:p>
    <w:p w14:paraId="25ABF542" w14:textId="4F19FFED" w:rsidR="005A20D5" w:rsidRPr="00FA78B1" w:rsidRDefault="00330A48">
      <w:pPr>
        <w:pStyle w:val="Bodytextwithindent"/>
        <w:numPr>
          <w:ilvl w:val="0"/>
          <w:numId w:val="26"/>
        </w:numPr>
        <w:spacing w:before="0" w:after="0" w:line="300" w:lineRule="auto"/>
        <w:ind w:hanging="720"/>
        <w:rPr>
          <w:spacing w:val="0"/>
        </w:rPr>
      </w:pPr>
      <w:r w:rsidRPr="00172F56">
        <w:rPr>
          <w:spacing w:val="0"/>
        </w:rPr>
        <w:t>However, letting agents pointed out that the private rented sector plays an important role in housing people that relocate to work in the hospitality food and aerospace industries as welling as providing a first home to newly forming households. The latter point is also evidenced by the English Housing Survey Headline Report 2021.</w:t>
      </w:r>
    </w:p>
    <w:p w14:paraId="6D88DA8C" w14:textId="77777777" w:rsidR="005A20D5" w:rsidRPr="00FA78B1" w:rsidRDefault="005A20D5" w:rsidP="00172F56">
      <w:pPr>
        <w:pStyle w:val="Bodytextwithindent"/>
        <w:spacing w:before="0" w:after="0" w:line="300" w:lineRule="auto"/>
        <w:ind w:left="0"/>
        <w:rPr>
          <w:spacing w:val="0"/>
        </w:rPr>
      </w:pPr>
    </w:p>
    <w:p w14:paraId="40EA32F7" w14:textId="1EDF0D53" w:rsidR="00535602" w:rsidRDefault="00330A48">
      <w:pPr>
        <w:pStyle w:val="Bodytextwithindent"/>
        <w:numPr>
          <w:ilvl w:val="0"/>
          <w:numId w:val="26"/>
        </w:numPr>
        <w:spacing w:before="0" w:after="0" w:line="300" w:lineRule="auto"/>
        <w:ind w:hanging="720"/>
        <w:rPr>
          <w:spacing w:val="0"/>
        </w:rPr>
      </w:pPr>
      <w:r w:rsidRPr="00FA78B1">
        <w:rPr>
          <w:spacing w:val="0"/>
        </w:rPr>
        <w:t>I</w:t>
      </w:r>
      <w:r w:rsidR="005A20D5" w:rsidRPr="00FA78B1">
        <w:rPr>
          <w:spacing w:val="0"/>
        </w:rPr>
        <w:t xml:space="preserve">t is </w:t>
      </w:r>
      <w:r w:rsidRPr="00FA78B1">
        <w:rPr>
          <w:spacing w:val="0"/>
        </w:rPr>
        <w:t xml:space="preserve">therefore </w:t>
      </w:r>
      <w:r w:rsidR="005A20D5" w:rsidRPr="00FA78B1">
        <w:rPr>
          <w:spacing w:val="0"/>
        </w:rPr>
        <w:t xml:space="preserve">suggested that the estimated annual need </w:t>
      </w:r>
      <w:r w:rsidRPr="00FA78B1">
        <w:rPr>
          <w:spacing w:val="0"/>
        </w:rPr>
        <w:t xml:space="preserve">in the Borough of Fylde </w:t>
      </w:r>
      <w:r w:rsidR="005A20D5" w:rsidRPr="00FA78B1">
        <w:rPr>
          <w:spacing w:val="0"/>
        </w:rPr>
        <w:t>should not be compared with other housing figures (such as the housing requirement in the Local Plan). The analysis does however point to the Council</w:t>
      </w:r>
      <w:r w:rsidR="005A20D5">
        <w:rPr>
          <w:spacing w:val="0"/>
        </w:rPr>
        <w:t xml:space="preserve"> needing to secure </w:t>
      </w:r>
      <w:r>
        <w:rPr>
          <w:spacing w:val="0"/>
        </w:rPr>
        <w:t xml:space="preserve">or enable good quality </w:t>
      </w:r>
      <w:r w:rsidR="005A20D5">
        <w:rPr>
          <w:spacing w:val="0"/>
        </w:rPr>
        <w:t xml:space="preserve">additional rented housing </w:t>
      </w:r>
      <w:r>
        <w:rPr>
          <w:spacing w:val="0"/>
        </w:rPr>
        <w:t xml:space="preserve">and affordable rented housing </w:t>
      </w:r>
      <w:r w:rsidR="005A20D5">
        <w:rPr>
          <w:spacing w:val="0"/>
        </w:rPr>
        <w:t>at all opportunities</w:t>
      </w:r>
      <w:r w:rsidR="00B139D2" w:rsidRPr="4EBF7615">
        <w:rPr>
          <w:spacing w:val="0"/>
        </w:rPr>
        <w:t>.</w:t>
      </w:r>
      <w:r w:rsidR="00535602">
        <w:rPr>
          <w:spacing w:val="0"/>
        </w:rPr>
        <w:t xml:space="preserve"> </w:t>
      </w:r>
    </w:p>
    <w:p w14:paraId="280FDC6D" w14:textId="77777777" w:rsidR="00535602" w:rsidRDefault="00535602" w:rsidP="00172F56">
      <w:pPr>
        <w:pStyle w:val="Bodytextwithindent"/>
        <w:spacing w:before="0" w:after="0" w:line="300" w:lineRule="auto"/>
        <w:ind w:left="0"/>
        <w:rPr>
          <w:spacing w:val="0"/>
        </w:rPr>
      </w:pPr>
    </w:p>
    <w:p w14:paraId="62912D8E" w14:textId="0B106B38" w:rsidR="00B139D2" w:rsidRDefault="00535602">
      <w:pPr>
        <w:pStyle w:val="Bodytextwithindent"/>
        <w:numPr>
          <w:ilvl w:val="0"/>
          <w:numId w:val="26"/>
        </w:numPr>
        <w:spacing w:before="0" w:after="0" w:line="300" w:lineRule="auto"/>
        <w:ind w:hanging="720"/>
        <w:rPr>
          <w:spacing w:val="0"/>
        </w:rPr>
      </w:pPr>
      <w:r>
        <w:rPr>
          <w:spacing w:val="0"/>
        </w:rPr>
        <w:t>Additionally, the Council should ensure that any new affordable housing provided is available to Fylde residents or those with a local connection rather than to households across a wider area (e.g. neighbouring authorities). In making this comment it should be noted that it has been identified to us that some rented homes do see low demand and few bids</w:t>
      </w:r>
      <w:r w:rsidR="00330A48">
        <w:rPr>
          <w:spacing w:val="0"/>
        </w:rPr>
        <w:t xml:space="preserve"> on the local HomeChoice system that works across Fylde and neighbouring authorities</w:t>
      </w:r>
      <w:r>
        <w:rPr>
          <w:spacing w:val="0"/>
        </w:rPr>
        <w:t xml:space="preserve">. This seems likely in part to be due to households with debt of over £500 having applications suspended. The survey highlighted high levels of debt amongst households in the private rented sector and so the Council should consider working with Registered Providers to see if there are ways to enable these </w:t>
      </w:r>
      <w:r w:rsidR="00931AE7">
        <w:rPr>
          <w:spacing w:val="0"/>
        </w:rPr>
        <w:t>households</w:t>
      </w:r>
      <w:r>
        <w:rPr>
          <w:spacing w:val="0"/>
        </w:rPr>
        <w:t xml:space="preserve"> to access housing.</w:t>
      </w:r>
      <w:r w:rsidR="00330A48">
        <w:rPr>
          <w:spacing w:val="0"/>
        </w:rPr>
        <w:t xml:space="preserve"> This is particularly important in the current cost of living cr</w:t>
      </w:r>
      <w:r w:rsidR="00AA4421">
        <w:rPr>
          <w:spacing w:val="0"/>
        </w:rPr>
        <w:t>isis.</w:t>
      </w:r>
    </w:p>
    <w:p w14:paraId="568E8BE6" w14:textId="0EB90E56" w:rsidR="00B139D2" w:rsidRDefault="00B139D2">
      <w:pPr>
        <w:spacing w:line="300" w:lineRule="auto"/>
        <w:jc w:val="both"/>
        <w:rPr>
          <w:rFonts w:ascii="Arial" w:hAnsi="Arial" w:cs="Arial"/>
          <w:sz w:val="20"/>
          <w:szCs w:val="20"/>
          <w:lang w:eastAsia="ja-JP"/>
        </w:rPr>
      </w:pPr>
    </w:p>
    <w:tbl>
      <w:tblPr>
        <w:tblStyle w:val="TableGridLight10"/>
        <w:tblW w:w="5000" w:type="pct"/>
        <w:jc w:val="center"/>
        <w:tblLayout w:type="fixed"/>
        <w:tblLook w:val="04A0" w:firstRow="1" w:lastRow="0" w:firstColumn="1" w:lastColumn="0" w:noHBand="0" w:noVBand="1"/>
      </w:tblPr>
      <w:tblGrid>
        <w:gridCol w:w="1705"/>
        <w:gridCol w:w="1319"/>
        <w:gridCol w:w="1321"/>
        <w:gridCol w:w="1321"/>
        <w:gridCol w:w="1320"/>
        <w:gridCol w:w="1321"/>
        <w:gridCol w:w="1321"/>
      </w:tblGrid>
      <w:tr w:rsidR="00FA78B1" w:rsidRPr="009E6992" w14:paraId="633E2BAF" w14:textId="77777777" w:rsidTr="00172F56">
        <w:trPr>
          <w:jc w:val="center"/>
        </w:trPr>
        <w:tc>
          <w:tcPr>
            <w:tcW w:w="9628" w:type="dxa"/>
            <w:gridSpan w:val="7"/>
            <w:vAlign w:val="center"/>
          </w:tcPr>
          <w:p w14:paraId="30CA7D85" w14:textId="3A0FC73B" w:rsidR="00FA78B1" w:rsidRPr="009E6992" w:rsidRDefault="00FA78B1" w:rsidP="00172F56">
            <w:pPr>
              <w:pStyle w:val="BodyText"/>
              <w:tabs>
                <w:tab w:val="left" w:pos="720"/>
              </w:tabs>
              <w:spacing w:before="60" w:after="60" w:line="300" w:lineRule="auto"/>
              <w:jc w:val="center"/>
              <w:rPr>
                <w:rFonts w:cs="Arial"/>
                <w:b/>
                <w:bCs/>
              </w:rPr>
            </w:pPr>
            <w:r w:rsidRPr="009E6992">
              <w:rPr>
                <w:rFonts w:cs="Arial"/>
                <w:b/>
                <w:bCs/>
              </w:rPr>
              <w:t xml:space="preserve">Figure </w:t>
            </w:r>
            <w:r>
              <w:rPr>
                <w:rFonts w:cs="Arial"/>
                <w:b/>
                <w:bCs/>
              </w:rPr>
              <w:t>2</w:t>
            </w:r>
            <w:r w:rsidRPr="009E6992">
              <w:rPr>
                <w:rFonts w:cs="Arial"/>
                <w:b/>
                <w:bCs/>
              </w:rPr>
              <w:t>: Estimated Need for Social/Affordable Rented Housing by sub-area (</w:t>
            </w:r>
            <w:r>
              <w:rPr>
                <w:rFonts w:cs="Arial"/>
                <w:b/>
                <w:bCs/>
              </w:rPr>
              <w:t>5-years)</w:t>
            </w:r>
          </w:p>
        </w:tc>
      </w:tr>
      <w:tr w:rsidR="00FA78B1" w:rsidRPr="008D4A27" w14:paraId="4E0BE757" w14:textId="77777777" w:rsidTr="00172F56">
        <w:trPr>
          <w:jc w:val="center"/>
        </w:trPr>
        <w:tc>
          <w:tcPr>
            <w:tcW w:w="1705" w:type="dxa"/>
            <w:vAlign w:val="center"/>
          </w:tcPr>
          <w:p w14:paraId="631EC6A4" w14:textId="77777777" w:rsidR="00FA78B1" w:rsidRPr="008D4A27" w:rsidRDefault="00FA78B1" w:rsidP="00172F56">
            <w:pPr>
              <w:pStyle w:val="BodyText"/>
              <w:tabs>
                <w:tab w:val="left" w:pos="720"/>
              </w:tabs>
              <w:spacing w:after="0" w:line="300" w:lineRule="auto"/>
              <w:rPr>
                <w:rFonts w:cs="Arial"/>
                <w:b/>
              </w:rPr>
            </w:pPr>
          </w:p>
        </w:tc>
        <w:tc>
          <w:tcPr>
            <w:tcW w:w="1319" w:type="dxa"/>
            <w:vAlign w:val="center"/>
            <w:hideMark/>
          </w:tcPr>
          <w:p w14:paraId="2EB77B43" w14:textId="77777777" w:rsidR="00FA78B1" w:rsidRPr="008D4A27" w:rsidRDefault="00FA78B1" w:rsidP="00172F56">
            <w:pPr>
              <w:pStyle w:val="BodyText"/>
              <w:tabs>
                <w:tab w:val="left" w:pos="720"/>
              </w:tabs>
              <w:spacing w:after="0" w:line="300" w:lineRule="auto"/>
              <w:jc w:val="center"/>
              <w:rPr>
                <w:rFonts w:cs="Arial"/>
              </w:rPr>
            </w:pPr>
            <w:r w:rsidRPr="008D4A27">
              <w:rPr>
                <w:rFonts w:cs="Arial"/>
              </w:rPr>
              <w:t>Current need</w:t>
            </w:r>
          </w:p>
        </w:tc>
        <w:tc>
          <w:tcPr>
            <w:tcW w:w="1321" w:type="dxa"/>
            <w:vAlign w:val="center"/>
            <w:hideMark/>
          </w:tcPr>
          <w:p w14:paraId="50009294" w14:textId="77777777" w:rsidR="00FA78B1" w:rsidRPr="008D4A27" w:rsidRDefault="00FA78B1" w:rsidP="00172F56">
            <w:pPr>
              <w:pStyle w:val="BodyText"/>
              <w:tabs>
                <w:tab w:val="left" w:pos="720"/>
              </w:tabs>
              <w:spacing w:after="0" w:line="300" w:lineRule="auto"/>
              <w:jc w:val="center"/>
              <w:rPr>
                <w:rFonts w:cs="Arial"/>
              </w:rPr>
            </w:pPr>
            <w:r w:rsidRPr="008D4A27">
              <w:rPr>
                <w:rFonts w:cs="Arial"/>
              </w:rPr>
              <w:t>Newly forming households</w:t>
            </w:r>
          </w:p>
        </w:tc>
        <w:tc>
          <w:tcPr>
            <w:tcW w:w="1321" w:type="dxa"/>
            <w:vAlign w:val="center"/>
            <w:hideMark/>
          </w:tcPr>
          <w:p w14:paraId="41041E6B" w14:textId="77777777" w:rsidR="00FA78B1" w:rsidRPr="008D4A27" w:rsidRDefault="00FA78B1" w:rsidP="00172F56">
            <w:pPr>
              <w:pStyle w:val="BodyText"/>
              <w:tabs>
                <w:tab w:val="left" w:pos="720"/>
              </w:tabs>
              <w:spacing w:after="0" w:line="300" w:lineRule="auto"/>
              <w:jc w:val="center"/>
              <w:rPr>
                <w:rFonts w:cs="Arial"/>
              </w:rPr>
            </w:pPr>
            <w:r w:rsidRPr="008D4A27">
              <w:rPr>
                <w:rFonts w:cs="Arial"/>
              </w:rPr>
              <w:t>Existing households falling into need</w:t>
            </w:r>
          </w:p>
        </w:tc>
        <w:tc>
          <w:tcPr>
            <w:tcW w:w="1320" w:type="dxa"/>
            <w:vAlign w:val="center"/>
            <w:hideMark/>
          </w:tcPr>
          <w:p w14:paraId="560FC2DD" w14:textId="77777777" w:rsidR="00FA78B1" w:rsidRPr="008D4A27" w:rsidRDefault="00FA78B1" w:rsidP="00172F56">
            <w:pPr>
              <w:pStyle w:val="BodyText"/>
              <w:tabs>
                <w:tab w:val="left" w:pos="720"/>
              </w:tabs>
              <w:spacing w:after="0" w:line="300" w:lineRule="auto"/>
              <w:jc w:val="center"/>
              <w:rPr>
                <w:rFonts w:cs="Arial"/>
              </w:rPr>
            </w:pPr>
            <w:r w:rsidRPr="008D4A27">
              <w:rPr>
                <w:rFonts w:cs="Arial"/>
              </w:rPr>
              <w:t>Total Gross Need</w:t>
            </w:r>
          </w:p>
        </w:tc>
        <w:tc>
          <w:tcPr>
            <w:tcW w:w="1321" w:type="dxa"/>
            <w:vAlign w:val="center"/>
            <w:hideMark/>
          </w:tcPr>
          <w:p w14:paraId="35B389E1" w14:textId="77777777" w:rsidR="00FA78B1" w:rsidRPr="008D4A27" w:rsidRDefault="00FA78B1" w:rsidP="00172F56">
            <w:pPr>
              <w:pStyle w:val="BodyText"/>
              <w:tabs>
                <w:tab w:val="left" w:pos="720"/>
              </w:tabs>
              <w:spacing w:after="0" w:line="300" w:lineRule="auto"/>
              <w:jc w:val="center"/>
              <w:rPr>
                <w:rFonts w:cs="Arial"/>
              </w:rPr>
            </w:pPr>
            <w:r w:rsidRPr="008D4A27">
              <w:rPr>
                <w:rFonts w:cs="Arial"/>
              </w:rPr>
              <w:t>Relet Supply</w:t>
            </w:r>
          </w:p>
        </w:tc>
        <w:tc>
          <w:tcPr>
            <w:tcW w:w="1321" w:type="dxa"/>
            <w:vAlign w:val="center"/>
            <w:hideMark/>
          </w:tcPr>
          <w:p w14:paraId="43BD3E4D" w14:textId="77777777" w:rsidR="00FA78B1" w:rsidRPr="008D4A27" w:rsidRDefault="00FA78B1" w:rsidP="00172F56">
            <w:pPr>
              <w:pStyle w:val="BodyText"/>
              <w:tabs>
                <w:tab w:val="left" w:pos="720"/>
              </w:tabs>
              <w:spacing w:after="0" w:line="300" w:lineRule="auto"/>
              <w:jc w:val="center"/>
              <w:rPr>
                <w:rFonts w:cs="Arial"/>
              </w:rPr>
            </w:pPr>
            <w:r w:rsidRPr="008D4A27">
              <w:rPr>
                <w:rFonts w:cs="Arial"/>
              </w:rPr>
              <w:t>Net Need</w:t>
            </w:r>
          </w:p>
        </w:tc>
      </w:tr>
      <w:tr w:rsidR="00E37A95" w:rsidRPr="001814CE" w14:paraId="6626B0E8" w14:textId="77777777" w:rsidTr="002E2A9C">
        <w:trPr>
          <w:jc w:val="center"/>
        </w:trPr>
        <w:tc>
          <w:tcPr>
            <w:tcW w:w="1705" w:type="dxa"/>
            <w:vAlign w:val="center"/>
          </w:tcPr>
          <w:p w14:paraId="39B6C681" w14:textId="77777777" w:rsidR="00E37A95" w:rsidRPr="008D4A27" w:rsidRDefault="00E37A95" w:rsidP="00E37A95">
            <w:pPr>
              <w:pStyle w:val="BodyText"/>
              <w:tabs>
                <w:tab w:val="left" w:pos="720"/>
              </w:tabs>
              <w:spacing w:after="0" w:line="300" w:lineRule="auto"/>
              <w:rPr>
                <w:rFonts w:cs="Arial"/>
              </w:rPr>
            </w:pPr>
            <w:r>
              <w:rPr>
                <w:rFonts w:cs="Arial"/>
                <w:color w:val="000000"/>
              </w:rPr>
              <w:t>St. Annes</w:t>
            </w:r>
          </w:p>
        </w:tc>
        <w:tc>
          <w:tcPr>
            <w:tcW w:w="1319" w:type="dxa"/>
            <w:vAlign w:val="center"/>
          </w:tcPr>
          <w:p w14:paraId="33EA0ACC"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222</w:t>
            </w:r>
          </w:p>
        </w:tc>
        <w:tc>
          <w:tcPr>
            <w:tcW w:w="1321" w:type="dxa"/>
            <w:vAlign w:val="center"/>
          </w:tcPr>
          <w:p w14:paraId="34ACF5F9"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312</w:t>
            </w:r>
          </w:p>
        </w:tc>
        <w:tc>
          <w:tcPr>
            <w:tcW w:w="1321" w:type="dxa"/>
            <w:vAlign w:val="center"/>
          </w:tcPr>
          <w:p w14:paraId="6A651E55"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328</w:t>
            </w:r>
          </w:p>
        </w:tc>
        <w:tc>
          <w:tcPr>
            <w:tcW w:w="1320" w:type="dxa"/>
            <w:vAlign w:val="center"/>
          </w:tcPr>
          <w:p w14:paraId="44498AA8"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861</w:t>
            </w:r>
          </w:p>
        </w:tc>
        <w:tc>
          <w:tcPr>
            <w:tcW w:w="1321" w:type="dxa"/>
            <w:vAlign w:val="bottom"/>
          </w:tcPr>
          <w:p w14:paraId="54591876" w14:textId="4812843C" w:rsidR="00E37A95" w:rsidRPr="001814CE" w:rsidRDefault="00E37A95" w:rsidP="00E37A95">
            <w:pPr>
              <w:pStyle w:val="BodyText"/>
              <w:tabs>
                <w:tab w:val="left" w:pos="720"/>
              </w:tabs>
              <w:spacing w:after="0" w:line="300" w:lineRule="auto"/>
              <w:jc w:val="center"/>
              <w:rPr>
                <w:rFonts w:cs="Arial"/>
              </w:rPr>
            </w:pPr>
            <w:r>
              <w:rPr>
                <w:rFonts w:cs="Arial"/>
                <w:color w:val="000000"/>
              </w:rPr>
              <w:t>160</w:t>
            </w:r>
          </w:p>
        </w:tc>
        <w:tc>
          <w:tcPr>
            <w:tcW w:w="1321" w:type="dxa"/>
            <w:vAlign w:val="bottom"/>
          </w:tcPr>
          <w:p w14:paraId="790C4101" w14:textId="6CB44CA1" w:rsidR="00E37A95" w:rsidRPr="001814CE" w:rsidRDefault="00E37A95" w:rsidP="00E37A95">
            <w:pPr>
              <w:pStyle w:val="BodyText"/>
              <w:tabs>
                <w:tab w:val="left" w:pos="720"/>
              </w:tabs>
              <w:spacing w:after="0" w:line="300" w:lineRule="auto"/>
              <w:jc w:val="center"/>
              <w:rPr>
                <w:rFonts w:cs="Arial"/>
              </w:rPr>
            </w:pPr>
            <w:r>
              <w:rPr>
                <w:rFonts w:cs="Arial"/>
                <w:color w:val="000000"/>
              </w:rPr>
              <w:t>701</w:t>
            </w:r>
          </w:p>
        </w:tc>
      </w:tr>
      <w:tr w:rsidR="00E37A95" w:rsidRPr="001814CE" w14:paraId="6267769D" w14:textId="77777777" w:rsidTr="002E2A9C">
        <w:trPr>
          <w:jc w:val="center"/>
        </w:trPr>
        <w:tc>
          <w:tcPr>
            <w:tcW w:w="1705" w:type="dxa"/>
            <w:vAlign w:val="center"/>
          </w:tcPr>
          <w:p w14:paraId="755DA3B2" w14:textId="77777777" w:rsidR="00E37A95" w:rsidRPr="008D4A27" w:rsidRDefault="00E37A95" w:rsidP="00E37A95">
            <w:pPr>
              <w:pStyle w:val="BodyText"/>
              <w:tabs>
                <w:tab w:val="left" w:pos="720"/>
              </w:tabs>
              <w:spacing w:after="0" w:line="300" w:lineRule="auto"/>
              <w:rPr>
                <w:rFonts w:cs="Arial"/>
              </w:rPr>
            </w:pPr>
            <w:r w:rsidRPr="008D4A27">
              <w:rPr>
                <w:rFonts w:cs="Arial"/>
                <w:color w:val="000000"/>
              </w:rPr>
              <w:t>Lytham</w:t>
            </w:r>
          </w:p>
        </w:tc>
        <w:tc>
          <w:tcPr>
            <w:tcW w:w="1319" w:type="dxa"/>
            <w:vAlign w:val="center"/>
          </w:tcPr>
          <w:p w14:paraId="245DE7B1"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137</w:t>
            </w:r>
          </w:p>
        </w:tc>
        <w:tc>
          <w:tcPr>
            <w:tcW w:w="1321" w:type="dxa"/>
            <w:vAlign w:val="center"/>
          </w:tcPr>
          <w:p w14:paraId="418E26E0"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306</w:t>
            </w:r>
          </w:p>
        </w:tc>
        <w:tc>
          <w:tcPr>
            <w:tcW w:w="1321" w:type="dxa"/>
            <w:vAlign w:val="center"/>
          </w:tcPr>
          <w:p w14:paraId="05763459"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395</w:t>
            </w:r>
          </w:p>
        </w:tc>
        <w:tc>
          <w:tcPr>
            <w:tcW w:w="1320" w:type="dxa"/>
            <w:vAlign w:val="center"/>
          </w:tcPr>
          <w:p w14:paraId="22C2ED10"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838</w:t>
            </w:r>
          </w:p>
        </w:tc>
        <w:tc>
          <w:tcPr>
            <w:tcW w:w="1321" w:type="dxa"/>
            <w:vAlign w:val="bottom"/>
          </w:tcPr>
          <w:p w14:paraId="2B0D312A" w14:textId="1FA8D6BF" w:rsidR="00E37A95" w:rsidRPr="001814CE" w:rsidRDefault="00E37A95" w:rsidP="00E37A95">
            <w:pPr>
              <w:pStyle w:val="BodyText"/>
              <w:tabs>
                <w:tab w:val="left" w:pos="720"/>
              </w:tabs>
              <w:spacing w:after="0" w:line="300" w:lineRule="auto"/>
              <w:jc w:val="center"/>
              <w:rPr>
                <w:rFonts w:cs="Arial"/>
              </w:rPr>
            </w:pPr>
            <w:r>
              <w:rPr>
                <w:rFonts w:cs="Arial"/>
                <w:color w:val="000000"/>
              </w:rPr>
              <w:t>90</w:t>
            </w:r>
          </w:p>
        </w:tc>
        <w:tc>
          <w:tcPr>
            <w:tcW w:w="1321" w:type="dxa"/>
            <w:vAlign w:val="bottom"/>
          </w:tcPr>
          <w:p w14:paraId="3423F47F" w14:textId="4885CD77" w:rsidR="00E37A95" w:rsidRPr="001814CE" w:rsidRDefault="00E37A95" w:rsidP="00E37A95">
            <w:pPr>
              <w:pStyle w:val="BodyText"/>
              <w:tabs>
                <w:tab w:val="left" w:pos="720"/>
              </w:tabs>
              <w:spacing w:after="0" w:line="300" w:lineRule="auto"/>
              <w:jc w:val="center"/>
              <w:rPr>
                <w:rFonts w:cs="Arial"/>
              </w:rPr>
            </w:pPr>
            <w:r>
              <w:rPr>
                <w:rFonts w:cs="Arial"/>
                <w:color w:val="000000"/>
              </w:rPr>
              <w:t>748</w:t>
            </w:r>
          </w:p>
        </w:tc>
      </w:tr>
      <w:tr w:rsidR="00E37A95" w:rsidRPr="001814CE" w14:paraId="6FFD5BFC" w14:textId="77777777" w:rsidTr="002E2A9C">
        <w:trPr>
          <w:jc w:val="center"/>
        </w:trPr>
        <w:tc>
          <w:tcPr>
            <w:tcW w:w="1705" w:type="dxa"/>
            <w:vAlign w:val="center"/>
          </w:tcPr>
          <w:p w14:paraId="363E5401" w14:textId="77777777" w:rsidR="00E37A95" w:rsidRPr="008D4A27" w:rsidRDefault="00E37A95" w:rsidP="00E37A95">
            <w:pPr>
              <w:pStyle w:val="BodyText"/>
              <w:tabs>
                <w:tab w:val="left" w:pos="720"/>
              </w:tabs>
              <w:spacing w:after="0" w:line="300" w:lineRule="auto"/>
              <w:rPr>
                <w:rFonts w:cs="Arial"/>
              </w:rPr>
            </w:pPr>
            <w:r w:rsidRPr="008D4A27">
              <w:rPr>
                <w:rFonts w:cs="Arial"/>
                <w:color w:val="000000"/>
              </w:rPr>
              <w:t>Warton</w:t>
            </w:r>
          </w:p>
        </w:tc>
        <w:tc>
          <w:tcPr>
            <w:tcW w:w="1319" w:type="dxa"/>
            <w:vAlign w:val="center"/>
          </w:tcPr>
          <w:p w14:paraId="10298495"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38</w:t>
            </w:r>
          </w:p>
        </w:tc>
        <w:tc>
          <w:tcPr>
            <w:tcW w:w="1321" w:type="dxa"/>
            <w:vAlign w:val="center"/>
          </w:tcPr>
          <w:p w14:paraId="23CFEFEB"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51</w:t>
            </w:r>
          </w:p>
        </w:tc>
        <w:tc>
          <w:tcPr>
            <w:tcW w:w="1321" w:type="dxa"/>
            <w:vAlign w:val="center"/>
          </w:tcPr>
          <w:p w14:paraId="7B33CF27"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101</w:t>
            </w:r>
          </w:p>
        </w:tc>
        <w:tc>
          <w:tcPr>
            <w:tcW w:w="1320" w:type="dxa"/>
            <w:vAlign w:val="center"/>
          </w:tcPr>
          <w:p w14:paraId="0D9F01A2"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190</w:t>
            </w:r>
          </w:p>
        </w:tc>
        <w:tc>
          <w:tcPr>
            <w:tcW w:w="1321" w:type="dxa"/>
            <w:vAlign w:val="bottom"/>
          </w:tcPr>
          <w:p w14:paraId="280E5E13" w14:textId="2D7104EA" w:rsidR="00E37A95" w:rsidRPr="001814CE" w:rsidRDefault="00E37A95" w:rsidP="00E37A95">
            <w:pPr>
              <w:pStyle w:val="BodyText"/>
              <w:tabs>
                <w:tab w:val="left" w:pos="720"/>
              </w:tabs>
              <w:spacing w:after="0" w:line="300" w:lineRule="auto"/>
              <w:jc w:val="center"/>
              <w:rPr>
                <w:rFonts w:cs="Arial"/>
              </w:rPr>
            </w:pPr>
            <w:r>
              <w:rPr>
                <w:rFonts w:cs="Arial"/>
                <w:color w:val="000000"/>
              </w:rPr>
              <w:t>55</w:t>
            </w:r>
          </w:p>
        </w:tc>
        <w:tc>
          <w:tcPr>
            <w:tcW w:w="1321" w:type="dxa"/>
            <w:vAlign w:val="bottom"/>
          </w:tcPr>
          <w:p w14:paraId="4A3BB78C" w14:textId="2F2A3D3A" w:rsidR="00E37A95" w:rsidRPr="001814CE" w:rsidRDefault="00E37A95" w:rsidP="00E37A95">
            <w:pPr>
              <w:pStyle w:val="BodyText"/>
              <w:tabs>
                <w:tab w:val="left" w:pos="720"/>
              </w:tabs>
              <w:spacing w:after="0" w:line="300" w:lineRule="auto"/>
              <w:jc w:val="center"/>
              <w:rPr>
                <w:rFonts w:cs="Arial"/>
              </w:rPr>
            </w:pPr>
            <w:r>
              <w:rPr>
                <w:rFonts w:cs="Arial"/>
                <w:color w:val="000000"/>
              </w:rPr>
              <w:t>135</w:t>
            </w:r>
          </w:p>
        </w:tc>
      </w:tr>
      <w:tr w:rsidR="00E37A95" w:rsidRPr="001814CE" w14:paraId="0B80A328" w14:textId="77777777" w:rsidTr="002E2A9C">
        <w:trPr>
          <w:jc w:val="center"/>
        </w:trPr>
        <w:tc>
          <w:tcPr>
            <w:tcW w:w="1705" w:type="dxa"/>
            <w:vAlign w:val="center"/>
          </w:tcPr>
          <w:p w14:paraId="65BEC27D" w14:textId="77777777" w:rsidR="00E37A95" w:rsidRPr="008D4A27" w:rsidRDefault="00E37A95" w:rsidP="00E37A95">
            <w:pPr>
              <w:pStyle w:val="BodyText"/>
              <w:tabs>
                <w:tab w:val="left" w:pos="720"/>
              </w:tabs>
              <w:spacing w:after="0" w:line="300" w:lineRule="auto"/>
              <w:rPr>
                <w:rFonts w:cs="Arial"/>
              </w:rPr>
            </w:pPr>
            <w:r w:rsidRPr="008D4A27">
              <w:rPr>
                <w:rFonts w:cs="Arial"/>
                <w:color w:val="000000"/>
              </w:rPr>
              <w:t>FB Periphery</w:t>
            </w:r>
          </w:p>
        </w:tc>
        <w:tc>
          <w:tcPr>
            <w:tcW w:w="1319" w:type="dxa"/>
            <w:vAlign w:val="center"/>
          </w:tcPr>
          <w:p w14:paraId="62381DA2"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20</w:t>
            </w:r>
          </w:p>
        </w:tc>
        <w:tc>
          <w:tcPr>
            <w:tcW w:w="1321" w:type="dxa"/>
            <w:vAlign w:val="center"/>
          </w:tcPr>
          <w:p w14:paraId="1DD5C318"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5</w:t>
            </w:r>
          </w:p>
        </w:tc>
        <w:tc>
          <w:tcPr>
            <w:tcW w:w="1321" w:type="dxa"/>
            <w:vAlign w:val="center"/>
          </w:tcPr>
          <w:p w14:paraId="2CAA3122"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79</w:t>
            </w:r>
          </w:p>
        </w:tc>
        <w:tc>
          <w:tcPr>
            <w:tcW w:w="1320" w:type="dxa"/>
            <w:vAlign w:val="center"/>
          </w:tcPr>
          <w:p w14:paraId="182BAEC9"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105</w:t>
            </w:r>
          </w:p>
        </w:tc>
        <w:tc>
          <w:tcPr>
            <w:tcW w:w="1321" w:type="dxa"/>
            <w:vAlign w:val="bottom"/>
          </w:tcPr>
          <w:p w14:paraId="5EDD08CB" w14:textId="59E65A8A" w:rsidR="00E37A95" w:rsidRPr="001814CE" w:rsidRDefault="00E37A95" w:rsidP="00E37A95">
            <w:pPr>
              <w:pStyle w:val="BodyText"/>
              <w:tabs>
                <w:tab w:val="left" w:pos="720"/>
              </w:tabs>
              <w:spacing w:after="0" w:line="300" w:lineRule="auto"/>
              <w:jc w:val="center"/>
              <w:rPr>
                <w:rFonts w:cs="Arial"/>
              </w:rPr>
            </w:pPr>
            <w:r>
              <w:rPr>
                <w:rFonts w:cs="Arial"/>
                <w:color w:val="000000"/>
              </w:rPr>
              <w:t>40</w:t>
            </w:r>
          </w:p>
        </w:tc>
        <w:tc>
          <w:tcPr>
            <w:tcW w:w="1321" w:type="dxa"/>
            <w:vAlign w:val="bottom"/>
          </w:tcPr>
          <w:p w14:paraId="60A7414A" w14:textId="3BE71793" w:rsidR="00E37A95" w:rsidRPr="001814CE" w:rsidRDefault="00E37A95" w:rsidP="00E37A95">
            <w:pPr>
              <w:pStyle w:val="BodyText"/>
              <w:tabs>
                <w:tab w:val="left" w:pos="720"/>
              </w:tabs>
              <w:spacing w:after="0" w:line="300" w:lineRule="auto"/>
              <w:jc w:val="center"/>
              <w:rPr>
                <w:rFonts w:cs="Arial"/>
              </w:rPr>
            </w:pPr>
            <w:r>
              <w:rPr>
                <w:rFonts w:cs="Arial"/>
                <w:color w:val="000000"/>
              </w:rPr>
              <w:t>65</w:t>
            </w:r>
          </w:p>
        </w:tc>
      </w:tr>
      <w:tr w:rsidR="00E37A95" w:rsidRPr="001814CE" w14:paraId="0591B7F4" w14:textId="77777777" w:rsidTr="002E2A9C">
        <w:trPr>
          <w:jc w:val="center"/>
        </w:trPr>
        <w:tc>
          <w:tcPr>
            <w:tcW w:w="1705" w:type="dxa"/>
            <w:vAlign w:val="center"/>
          </w:tcPr>
          <w:p w14:paraId="60FFDEE4" w14:textId="77777777" w:rsidR="00E37A95" w:rsidRPr="008D4A27" w:rsidRDefault="00E37A95" w:rsidP="00E37A95">
            <w:pPr>
              <w:pStyle w:val="BodyText"/>
              <w:tabs>
                <w:tab w:val="left" w:pos="720"/>
              </w:tabs>
              <w:spacing w:after="0" w:line="300" w:lineRule="auto"/>
              <w:rPr>
                <w:rFonts w:cs="Arial"/>
              </w:rPr>
            </w:pPr>
            <w:r w:rsidRPr="008D4A27">
              <w:rPr>
                <w:rFonts w:cs="Arial"/>
                <w:color w:val="000000"/>
              </w:rPr>
              <w:t>Kirkham</w:t>
            </w:r>
          </w:p>
        </w:tc>
        <w:tc>
          <w:tcPr>
            <w:tcW w:w="1319" w:type="dxa"/>
            <w:vAlign w:val="center"/>
          </w:tcPr>
          <w:p w14:paraId="5316B4DB"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61</w:t>
            </w:r>
          </w:p>
        </w:tc>
        <w:tc>
          <w:tcPr>
            <w:tcW w:w="1321" w:type="dxa"/>
            <w:vAlign w:val="center"/>
          </w:tcPr>
          <w:p w14:paraId="29252235"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99</w:t>
            </w:r>
          </w:p>
        </w:tc>
        <w:tc>
          <w:tcPr>
            <w:tcW w:w="1321" w:type="dxa"/>
            <w:vAlign w:val="center"/>
          </w:tcPr>
          <w:p w14:paraId="109E0D45"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75</w:t>
            </w:r>
          </w:p>
        </w:tc>
        <w:tc>
          <w:tcPr>
            <w:tcW w:w="1320" w:type="dxa"/>
            <w:vAlign w:val="center"/>
          </w:tcPr>
          <w:p w14:paraId="1A6FC485" w14:textId="77777777" w:rsidR="00E37A95" w:rsidRPr="001814CE" w:rsidRDefault="00E37A95" w:rsidP="00E37A95">
            <w:pPr>
              <w:pStyle w:val="BodyText"/>
              <w:tabs>
                <w:tab w:val="left" w:pos="720"/>
              </w:tabs>
              <w:spacing w:after="0" w:line="300" w:lineRule="auto"/>
              <w:jc w:val="center"/>
              <w:rPr>
                <w:rFonts w:cs="Arial"/>
              </w:rPr>
            </w:pPr>
            <w:r w:rsidRPr="00A04623">
              <w:rPr>
                <w:rFonts w:cs="Arial"/>
                <w:color w:val="000000"/>
              </w:rPr>
              <w:t>235</w:t>
            </w:r>
          </w:p>
        </w:tc>
        <w:tc>
          <w:tcPr>
            <w:tcW w:w="1321" w:type="dxa"/>
            <w:vAlign w:val="bottom"/>
          </w:tcPr>
          <w:p w14:paraId="4CD2DB7C" w14:textId="6F3E0318" w:rsidR="00E37A95" w:rsidRPr="001814CE" w:rsidRDefault="00E37A95" w:rsidP="00E37A95">
            <w:pPr>
              <w:pStyle w:val="BodyText"/>
              <w:tabs>
                <w:tab w:val="left" w:pos="720"/>
              </w:tabs>
              <w:spacing w:after="0" w:line="300" w:lineRule="auto"/>
              <w:jc w:val="center"/>
              <w:rPr>
                <w:rFonts w:cs="Arial"/>
              </w:rPr>
            </w:pPr>
            <w:r>
              <w:rPr>
                <w:rFonts w:cs="Arial"/>
                <w:color w:val="000000"/>
              </w:rPr>
              <w:t>100</w:t>
            </w:r>
          </w:p>
        </w:tc>
        <w:tc>
          <w:tcPr>
            <w:tcW w:w="1321" w:type="dxa"/>
            <w:vAlign w:val="bottom"/>
          </w:tcPr>
          <w:p w14:paraId="503B1497" w14:textId="3FD7AEB6" w:rsidR="00E37A95" w:rsidRPr="001814CE" w:rsidRDefault="00E37A95" w:rsidP="00E37A95">
            <w:pPr>
              <w:pStyle w:val="BodyText"/>
              <w:tabs>
                <w:tab w:val="left" w:pos="720"/>
              </w:tabs>
              <w:spacing w:after="0" w:line="300" w:lineRule="auto"/>
              <w:jc w:val="center"/>
              <w:rPr>
                <w:rFonts w:cs="Arial"/>
              </w:rPr>
            </w:pPr>
            <w:r>
              <w:rPr>
                <w:rFonts w:cs="Arial"/>
                <w:color w:val="000000"/>
              </w:rPr>
              <w:t>135</w:t>
            </w:r>
          </w:p>
        </w:tc>
      </w:tr>
      <w:tr w:rsidR="00E37A95" w:rsidRPr="001814CE" w14:paraId="30D31891" w14:textId="77777777" w:rsidTr="002E2A9C">
        <w:trPr>
          <w:jc w:val="center"/>
        </w:trPr>
        <w:tc>
          <w:tcPr>
            <w:tcW w:w="1705" w:type="dxa"/>
            <w:vAlign w:val="center"/>
          </w:tcPr>
          <w:p w14:paraId="424ACFFA" w14:textId="77777777" w:rsidR="00E37A95" w:rsidRPr="008D4A27" w:rsidRDefault="00E37A95" w:rsidP="00E37A95">
            <w:pPr>
              <w:pStyle w:val="BodyText"/>
              <w:tabs>
                <w:tab w:val="left" w:pos="720"/>
              </w:tabs>
              <w:spacing w:after="0" w:line="300" w:lineRule="auto"/>
              <w:rPr>
                <w:rFonts w:cs="Arial"/>
                <w:color w:val="000000"/>
              </w:rPr>
            </w:pPr>
            <w:r w:rsidRPr="008D4A27">
              <w:rPr>
                <w:rFonts w:cs="Arial"/>
                <w:color w:val="000000"/>
              </w:rPr>
              <w:t>Wesham</w:t>
            </w:r>
          </w:p>
        </w:tc>
        <w:tc>
          <w:tcPr>
            <w:tcW w:w="1319" w:type="dxa"/>
            <w:vAlign w:val="center"/>
          </w:tcPr>
          <w:p w14:paraId="4B197679"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0</w:t>
            </w:r>
          </w:p>
        </w:tc>
        <w:tc>
          <w:tcPr>
            <w:tcW w:w="1321" w:type="dxa"/>
            <w:vAlign w:val="center"/>
          </w:tcPr>
          <w:p w14:paraId="2AE2D2D4"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69</w:t>
            </w:r>
          </w:p>
        </w:tc>
        <w:tc>
          <w:tcPr>
            <w:tcW w:w="1321" w:type="dxa"/>
            <w:vAlign w:val="center"/>
          </w:tcPr>
          <w:p w14:paraId="5ABEE4CF"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74</w:t>
            </w:r>
          </w:p>
        </w:tc>
        <w:tc>
          <w:tcPr>
            <w:tcW w:w="1320" w:type="dxa"/>
            <w:vAlign w:val="center"/>
          </w:tcPr>
          <w:p w14:paraId="685CB236"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143</w:t>
            </w:r>
          </w:p>
        </w:tc>
        <w:tc>
          <w:tcPr>
            <w:tcW w:w="1321" w:type="dxa"/>
            <w:vAlign w:val="bottom"/>
          </w:tcPr>
          <w:p w14:paraId="472DB9BA" w14:textId="1AA54FC2" w:rsidR="00E37A95" w:rsidRPr="001814CE" w:rsidRDefault="00E37A95" w:rsidP="00E37A95">
            <w:pPr>
              <w:pStyle w:val="BodyText"/>
              <w:tabs>
                <w:tab w:val="left" w:pos="720"/>
              </w:tabs>
              <w:spacing w:after="0" w:line="300" w:lineRule="auto"/>
              <w:jc w:val="center"/>
              <w:rPr>
                <w:rFonts w:cs="Arial"/>
                <w:color w:val="000000"/>
              </w:rPr>
            </w:pPr>
            <w:r>
              <w:rPr>
                <w:rFonts w:cs="Arial"/>
                <w:color w:val="000000"/>
              </w:rPr>
              <w:t>70</w:t>
            </w:r>
          </w:p>
        </w:tc>
        <w:tc>
          <w:tcPr>
            <w:tcW w:w="1321" w:type="dxa"/>
            <w:vAlign w:val="bottom"/>
          </w:tcPr>
          <w:p w14:paraId="403AF4EE" w14:textId="14F097DC" w:rsidR="00E37A95" w:rsidRPr="001814CE" w:rsidRDefault="00E37A95" w:rsidP="00E37A95">
            <w:pPr>
              <w:pStyle w:val="BodyText"/>
              <w:tabs>
                <w:tab w:val="left" w:pos="720"/>
              </w:tabs>
              <w:spacing w:after="0" w:line="300" w:lineRule="auto"/>
              <w:jc w:val="center"/>
              <w:rPr>
                <w:rFonts w:cs="Arial"/>
                <w:color w:val="000000"/>
              </w:rPr>
            </w:pPr>
            <w:r>
              <w:rPr>
                <w:rFonts w:cs="Arial"/>
                <w:color w:val="000000"/>
              </w:rPr>
              <w:t>73</w:t>
            </w:r>
          </w:p>
        </w:tc>
      </w:tr>
      <w:tr w:rsidR="00E37A95" w:rsidRPr="001814CE" w14:paraId="2668934F" w14:textId="77777777" w:rsidTr="002E2A9C">
        <w:trPr>
          <w:jc w:val="center"/>
        </w:trPr>
        <w:tc>
          <w:tcPr>
            <w:tcW w:w="1705" w:type="dxa"/>
            <w:vAlign w:val="center"/>
          </w:tcPr>
          <w:p w14:paraId="2D623ECE" w14:textId="77777777" w:rsidR="00E37A95" w:rsidRPr="008D4A27" w:rsidRDefault="00E37A95" w:rsidP="00E37A95">
            <w:pPr>
              <w:pStyle w:val="BodyText"/>
              <w:tabs>
                <w:tab w:val="left" w:pos="720"/>
              </w:tabs>
              <w:spacing w:after="0" w:line="300" w:lineRule="auto"/>
              <w:rPr>
                <w:rFonts w:cs="Arial"/>
                <w:color w:val="000000"/>
              </w:rPr>
            </w:pPr>
            <w:r w:rsidRPr="008D4A27">
              <w:rPr>
                <w:rFonts w:cs="Arial"/>
                <w:color w:val="000000"/>
              </w:rPr>
              <w:t>Freckleton</w:t>
            </w:r>
          </w:p>
        </w:tc>
        <w:tc>
          <w:tcPr>
            <w:tcW w:w="1319" w:type="dxa"/>
            <w:vAlign w:val="center"/>
          </w:tcPr>
          <w:p w14:paraId="2D102D4B"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0</w:t>
            </w:r>
          </w:p>
        </w:tc>
        <w:tc>
          <w:tcPr>
            <w:tcW w:w="1321" w:type="dxa"/>
            <w:vAlign w:val="center"/>
          </w:tcPr>
          <w:p w14:paraId="60A66285"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23</w:t>
            </w:r>
          </w:p>
        </w:tc>
        <w:tc>
          <w:tcPr>
            <w:tcW w:w="1321" w:type="dxa"/>
            <w:vAlign w:val="center"/>
          </w:tcPr>
          <w:p w14:paraId="6A1E8512"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58</w:t>
            </w:r>
          </w:p>
        </w:tc>
        <w:tc>
          <w:tcPr>
            <w:tcW w:w="1320" w:type="dxa"/>
            <w:vAlign w:val="center"/>
          </w:tcPr>
          <w:p w14:paraId="2FE3EDF0"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81</w:t>
            </w:r>
          </w:p>
        </w:tc>
        <w:tc>
          <w:tcPr>
            <w:tcW w:w="1321" w:type="dxa"/>
            <w:vAlign w:val="bottom"/>
          </w:tcPr>
          <w:p w14:paraId="562BE754" w14:textId="7B292C37" w:rsidR="00E37A95" w:rsidRPr="001814CE" w:rsidRDefault="00E37A95" w:rsidP="00E37A95">
            <w:pPr>
              <w:pStyle w:val="BodyText"/>
              <w:tabs>
                <w:tab w:val="left" w:pos="720"/>
              </w:tabs>
              <w:spacing w:after="0" w:line="300" w:lineRule="auto"/>
              <w:jc w:val="center"/>
              <w:rPr>
                <w:rFonts w:cs="Arial"/>
                <w:color w:val="000000"/>
              </w:rPr>
            </w:pPr>
            <w:r>
              <w:rPr>
                <w:rFonts w:cs="Arial"/>
                <w:color w:val="000000"/>
              </w:rPr>
              <w:t>50</w:t>
            </w:r>
          </w:p>
        </w:tc>
        <w:tc>
          <w:tcPr>
            <w:tcW w:w="1321" w:type="dxa"/>
            <w:vAlign w:val="bottom"/>
          </w:tcPr>
          <w:p w14:paraId="6D5664DE" w14:textId="052DF611" w:rsidR="00E37A95" w:rsidRPr="001814CE" w:rsidRDefault="00E37A95" w:rsidP="00E37A95">
            <w:pPr>
              <w:pStyle w:val="BodyText"/>
              <w:tabs>
                <w:tab w:val="left" w:pos="720"/>
              </w:tabs>
              <w:spacing w:after="0" w:line="300" w:lineRule="auto"/>
              <w:jc w:val="center"/>
              <w:rPr>
                <w:rFonts w:cs="Arial"/>
                <w:color w:val="000000"/>
              </w:rPr>
            </w:pPr>
            <w:r>
              <w:rPr>
                <w:rFonts w:cs="Arial"/>
                <w:color w:val="000000"/>
              </w:rPr>
              <w:t>31</w:t>
            </w:r>
          </w:p>
        </w:tc>
      </w:tr>
      <w:tr w:rsidR="00E37A95" w:rsidRPr="001814CE" w14:paraId="2762B5D1" w14:textId="77777777" w:rsidTr="002E2A9C">
        <w:trPr>
          <w:jc w:val="center"/>
        </w:trPr>
        <w:tc>
          <w:tcPr>
            <w:tcW w:w="1705" w:type="dxa"/>
            <w:vAlign w:val="center"/>
          </w:tcPr>
          <w:p w14:paraId="14E7FE84" w14:textId="77777777" w:rsidR="00E37A95" w:rsidRPr="008D4A27" w:rsidRDefault="00E37A95" w:rsidP="00E37A95">
            <w:pPr>
              <w:pStyle w:val="BodyText"/>
              <w:tabs>
                <w:tab w:val="left" w:pos="720"/>
              </w:tabs>
              <w:spacing w:after="0" w:line="300" w:lineRule="auto"/>
              <w:rPr>
                <w:rFonts w:cs="Arial"/>
                <w:color w:val="000000"/>
              </w:rPr>
            </w:pPr>
            <w:r w:rsidRPr="008D4A27">
              <w:rPr>
                <w:rFonts w:cs="Arial"/>
                <w:color w:val="000000"/>
              </w:rPr>
              <w:t>Rural North</w:t>
            </w:r>
          </w:p>
        </w:tc>
        <w:tc>
          <w:tcPr>
            <w:tcW w:w="1319" w:type="dxa"/>
            <w:vAlign w:val="center"/>
          </w:tcPr>
          <w:p w14:paraId="231BC600"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37</w:t>
            </w:r>
          </w:p>
        </w:tc>
        <w:tc>
          <w:tcPr>
            <w:tcW w:w="1321" w:type="dxa"/>
            <w:vAlign w:val="center"/>
          </w:tcPr>
          <w:p w14:paraId="7B87C2BE"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57</w:t>
            </w:r>
          </w:p>
        </w:tc>
        <w:tc>
          <w:tcPr>
            <w:tcW w:w="1321" w:type="dxa"/>
            <w:vAlign w:val="center"/>
          </w:tcPr>
          <w:p w14:paraId="2246DD93"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25</w:t>
            </w:r>
          </w:p>
        </w:tc>
        <w:tc>
          <w:tcPr>
            <w:tcW w:w="1320" w:type="dxa"/>
            <w:vAlign w:val="center"/>
          </w:tcPr>
          <w:p w14:paraId="13AF0F45"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119</w:t>
            </w:r>
          </w:p>
        </w:tc>
        <w:tc>
          <w:tcPr>
            <w:tcW w:w="1321" w:type="dxa"/>
            <w:vAlign w:val="bottom"/>
          </w:tcPr>
          <w:p w14:paraId="3DE98CC1" w14:textId="3DD1D4ED" w:rsidR="00E37A95" w:rsidRPr="001814CE" w:rsidRDefault="00E37A95" w:rsidP="00E37A95">
            <w:pPr>
              <w:pStyle w:val="BodyText"/>
              <w:tabs>
                <w:tab w:val="left" w:pos="720"/>
              </w:tabs>
              <w:spacing w:after="0" w:line="300" w:lineRule="auto"/>
              <w:jc w:val="center"/>
              <w:rPr>
                <w:rFonts w:cs="Arial"/>
                <w:color w:val="000000"/>
              </w:rPr>
            </w:pPr>
            <w:r>
              <w:rPr>
                <w:rFonts w:cs="Arial"/>
                <w:color w:val="000000"/>
              </w:rPr>
              <w:t>30</w:t>
            </w:r>
          </w:p>
        </w:tc>
        <w:tc>
          <w:tcPr>
            <w:tcW w:w="1321" w:type="dxa"/>
            <w:vAlign w:val="bottom"/>
          </w:tcPr>
          <w:p w14:paraId="43C994EA" w14:textId="46F6DB54" w:rsidR="00E37A95" w:rsidRPr="001814CE" w:rsidRDefault="00E37A95" w:rsidP="00E37A95">
            <w:pPr>
              <w:pStyle w:val="BodyText"/>
              <w:tabs>
                <w:tab w:val="left" w:pos="720"/>
              </w:tabs>
              <w:spacing w:after="0" w:line="300" w:lineRule="auto"/>
              <w:jc w:val="center"/>
              <w:rPr>
                <w:rFonts w:cs="Arial"/>
                <w:color w:val="000000"/>
              </w:rPr>
            </w:pPr>
            <w:r>
              <w:rPr>
                <w:rFonts w:cs="Arial"/>
                <w:color w:val="000000"/>
              </w:rPr>
              <w:t>89</w:t>
            </w:r>
          </w:p>
        </w:tc>
      </w:tr>
      <w:tr w:rsidR="00E37A95" w:rsidRPr="001814CE" w14:paraId="60D24E18" w14:textId="77777777" w:rsidTr="002E2A9C">
        <w:trPr>
          <w:jc w:val="center"/>
        </w:trPr>
        <w:tc>
          <w:tcPr>
            <w:tcW w:w="1705" w:type="dxa"/>
            <w:vAlign w:val="center"/>
          </w:tcPr>
          <w:p w14:paraId="10E5E07B" w14:textId="77777777" w:rsidR="00E37A95" w:rsidRPr="008D4A27" w:rsidRDefault="00E37A95" w:rsidP="00E37A95">
            <w:pPr>
              <w:pStyle w:val="BodyText"/>
              <w:tabs>
                <w:tab w:val="left" w:pos="720"/>
              </w:tabs>
              <w:spacing w:after="0" w:line="300" w:lineRule="auto"/>
              <w:rPr>
                <w:rFonts w:cs="Arial"/>
                <w:color w:val="000000"/>
              </w:rPr>
            </w:pPr>
            <w:r w:rsidRPr="008D4A27">
              <w:rPr>
                <w:rFonts w:cs="Arial"/>
                <w:color w:val="000000"/>
              </w:rPr>
              <w:t>Rural West</w:t>
            </w:r>
          </w:p>
        </w:tc>
        <w:tc>
          <w:tcPr>
            <w:tcW w:w="1319" w:type="dxa"/>
            <w:vAlign w:val="center"/>
          </w:tcPr>
          <w:p w14:paraId="5DE18215"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13</w:t>
            </w:r>
          </w:p>
        </w:tc>
        <w:tc>
          <w:tcPr>
            <w:tcW w:w="1321" w:type="dxa"/>
            <w:vAlign w:val="center"/>
          </w:tcPr>
          <w:p w14:paraId="2F4850B2"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55</w:t>
            </w:r>
          </w:p>
        </w:tc>
        <w:tc>
          <w:tcPr>
            <w:tcW w:w="1321" w:type="dxa"/>
            <w:vAlign w:val="center"/>
          </w:tcPr>
          <w:p w14:paraId="044C9A2E"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18</w:t>
            </w:r>
          </w:p>
        </w:tc>
        <w:tc>
          <w:tcPr>
            <w:tcW w:w="1320" w:type="dxa"/>
            <w:vAlign w:val="center"/>
          </w:tcPr>
          <w:p w14:paraId="09C37E34"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86</w:t>
            </w:r>
          </w:p>
        </w:tc>
        <w:tc>
          <w:tcPr>
            <w:tcW w:w="1321" w:type="dxa"/>
            <w:vAlign w:val="bottom"/>
          </w:tcPr>
          <w:p w14:paraId="2BCD39CE" w14:textId="1570A3A2" w:rsidR="00E37A95" w:rsidRPr="001814CE" w:rsidRDefault="00E37A95" w:rsidP="00E37A95">
            <w:pPr>
              <w:pStyle w:val="BodyText"/>
              <w:tabs>
                <w:tab w:val="left" w:pos="720"/>
              </w:tabs>
              <w:spacing w:after="0" w:line="300" w:lineRule="auto"/>
              <w:jc w:val="center"/>
              <w:rPr>
                <w:rFonts w:cs="Arial"/>
                <w:color w:val="000000"/>
              </w:rPr>
            </w:pPr>
            <w:r>
              <w:rPr>
                <w:rFonts w:cs="Arial"/>
                <w:color w:val="000000"/>
              </w:rPr>
              <w:t>10</w:t>
            </w:r>
          </w:p>
        </w:tc>
        <w:tc>
          <w:tcPr>
            <w:tcW w:w="1321" w:type="dxa"/>
            <w:vAlign w:val="bottom"/>
          </w:tcPr>
          <w:p w14:paraId="7B2F4E0D" w14:textId="0EAD7DBA" w:rsidR="00E37A95" w:rsidRPr="001814CE" w:rsidRDefault="00E37A95" w:rsidP="00E37A95">
            <w:pPr>
              <w:pStyle w:val="BodyText"/>
              <w:tabs>
                <w:tab w:val="left" w:pos="720"/>
              </w:tabs>
              <w:spacing w:after="0" w:line="300" w:lineRule="auto"/>
              <w:jc w:val="center"/>
              <w:rPr>
                <w:rFonts w:cs="Arial"/>
                <w:color w:val="000000"/>
              </w:rPr>
            </w:pPr>
            <w:r>
              <w:rPr>
                <w:rFonts w:cs="Arial"/>
                <w:color w:val="000000"/>
              </w:rPr>
              <w:t>76</w:t>
            </w:r>
          </w:p>
        </w:tc>
      </w:tr>
      <w:tr w:rsidR="00E37A95" w:rsidRPr="001814CE" w14:paraId="6F0E0F69" w14:textId="77777777" w:rsidTr="002E2A9C">
        <w:trPr>
          <w:jc w:val="center"/>
        </w:trPr>
        <w:tc>
          <w:tcPr>
            <w:tcW w:w="1705" w:type="dxa"/>
            <w:vAlign w:val="center"/>
          </w:tcPr>
          <w:p w14:paraId="7F0AD4D8" w14:textId="77777777" w:rsidR="00E37A95" w:rsidRPr="008D4A27" w:rsidRDefault="00E37A95" w:rsidP="00E37A95">
            <w:pPr>
              <w:pStyle w:val="BodyText"/>
              <w:tabs>
                <w:tab w:val="left" w:pos="720"/>
              </w:tabs>
              <w:spacing w:after="0" w:line="300" w:lineRule="auto"/>
              <w:rPr>
                <w:rFonts w:cs="Arial"/>
                <w:color w:val="000000"/>
              </w:rPr>
            </w:pPr>
            <w:r w:rsidRPr="008D4A27">
              <w:rPr>
                <w:rFonts w:cs="Arial"/>
                <w:color w:val="000000"/>
              </w:rPr>
              <w:t>Rural East</w:t>
            </w:r>
          </w:p>
        </w:tc>
        <w:tc>
          <w:tcPr>
            <w:tcW w:w="1319" w:type="dxa"/>
            <w:vAlign w:val="center"/>
          </w:tcPr>
          <w:p w14:paraId="5D945269"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0</w:t>
            </w:r>
          </w:p>
        </w:tc>
        <w:tc>
          <w:tcPr>
            <w:tcW w:w="1321" w:type="dxa"/>
            <w:vAlign w:val="center"/>
          </w:tcPr>
          <w:p w14:paraId="1E2A6E5F"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46</w:t>
            </w:r>
          </w:p>
        </w:tc>
        <w:tc>
          <w:tcPr>
            <w:tcW w:w="1321" w:type="dxa"/>
            <w:vAlign w:val="center"/>
          </w:tcPr>
          <w:p w14:paraId="5CD8FF63"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12</w:t>
            </w:r>
          </w:p>
        </w:tc>
        <w:tc>
          <w:tcPr>
            <w:tcW w:w="1320" w:type="dxa"/>
            <w:vAlign w:val="center"/>
          </w:tcPr>
          <w:p w14:paraId="0BCA60BE"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58</w:t>
            </w:r>
          </w:p>
        </w:tc>
        <w:tc>
          <w:tcPr>
            <w:tcW w:w="1321" w:type="dxa"/>
            <w:vAlign w:val="bottom"/>
          </w:tcPr>
          <w:p w14:paraId="6DEE2273" w14:textId="5D9124DB" w:rsidR="00E37A95" w:rsidRPr="001814CE" w:rsidRDefault="00E37A95" w:rsidP="00E37A95">
            <w:pPr>
              <w:pStyle w:val="BodyText"/>
              <w:tabs>
                <w:tab w:val="left" w:pos="720"/>
              </w:tabs>
              <w:spacing w:after="0" w:line="300" w:lineRule="auto"/>
              <w:jc w:val="center"/>
              <w:rPr>
                <w:rFonts w:cs="Arial"/>
                <w:color w:val="000000"/>
              </w:rPr>
            </w:pPr>
            <w:r>
              <w:rPr>
                <w:rFonts w:cs="Arial"/>
                <w:color w:val="000000"/>
              </w:rPr>
              <w:t>25</w:t>
            </w:r>
          </w:p>
        </w:tc>
        <w:tc>
          <w:tcPr>
            <w:tcW w:w="1321" w:type="dxa"/>
            <w:vAlign w:val="bottom"/>
          </w:tcPr>
          <w:p w14:paraId="63AC9647" w14:textId="40980FF2" w:rsidR="00E37A95" w:rsidRPr="001814CE" w:rsidRDefault="00E37A95" w:rsidP="00E37A95">
            <w:pPr>
              <w:pStyle w:val="BodyText"/>
              <w:tabs>
                <w:tab w:val="left" w:pos="720"/>
              </w:tabs>
              <w:spacing w:after="0" w:line="300" w:lineRule="auto"/>
              <w:jc w:val="center"/>
              <w:rPr>
                <w:rFonts w:cs="Arial"/>
                <w:color w:val="000000"/>
              </w:rPr>
            </w:pPr>
            <w:r>
              <w:rPr>
                <w:rFonts w:cs="Arial"/>
                <w:color w:val="000000"/>
              </w:rPr>
              <w:t>33</w:t>
            </w:r>
          </w:p>
        </w:tc>
      </w:tr>
      <w:tr w:rsidR="00E37A95" w:rsidRPr="001814CE" w14:paraId="4EB0DEFB" w14:textId="77777777" w:rsidTr="002E2A9C">
        <w:trPr>
          <w:jc w:val="center"/>
        </w:trPr>
        <w:tc>
          <w:tcPr>
            <w:tcW w:w="1705" w:type="dxa"/>
            <w:vAlign w:val="center"/>
          </w:tcPr>
          <w:p w14:paraId="09722563" w14:textId="77777777" w:rsidR="00E37A95" w:rsidRPr="008D4A27" w:rsidRDefault="00E37A95" w:rsidP="00E37A95">
            <w:pPr>
              <w:pStyle w:val="BodyText"/>
              <w:tabs>
                <w:tab w:val="left" w:pos="720"/>
              </w:tabs>
              <w:spacing w:after="0" w:line="300" w:lineRule="auto"/>
              <w:rPr>
                <w:rFonts w:cs="Arial"/>
                <w:color w:val="000000"/>
              </w:rPr>
            </w:pPr>
            <w:r w:rsidRPr="008D4A27">
              <w:rPr>
                <w:rFonts w:cs="Arial"/>
                <w:color w:val="000000"/>
              </w:rPr>
              <w:t>TOTAL</w:t>
            </w:r>
          </w:p>
        </w:tc>
        <w:tc>
          <w:tcPr>
            <w:tcW w:w="1319" w:type="dxa"/>
            <w:vAlign w:val="center"/>
          </w:tcPr>
          <w:p w14:paraId="7B10EC5A"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527</w:t>
            </w:r>
          </w:p>
        </w:tc>
        <w:tc>
          <w:tcPr>
            <w:tcW w:w="1321" w:type="dxa"/>
            <w:vAlign w:val="center"/>
          </w:tcPr>
          <w:p w14:paraId="53482B09"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1,024</w:t>
            </w:r>
          </w:p>
        </w:tc>
        <w:tc>
          <w:tcPr>
            <w:tcW w:w="1321" w:type="dxa"/>
            <w:vAlign w:val="center"/>
          </w:tcPr>
          <w:p w14:paraId="12A7D94E"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1,165</w:t>
            </w:r>
          </w:p>
        </w:tc>
        <w:tc>
          <w:tcPr>
            <w:tcW w:w="1320" w:type="dxa"/>
            <w:vAlign w:val="center"/>
          </w:tcPr>
          <w:p w14:paraId="4C48416E" w14:textId="77777777" w:rsidR="00E37A95" w:rsidRPr="001814CE" w:rsidRDefault="00E37A95" w:rsidP="00E37A95">
            <w:pPr>
              <w:pStyle w:val="BodyText"/>
              <w:tabs>
                <w:tab w:val="left" w:pos="720"/>
              </w:tabs>
              <w:spacing w:after="0" w:line="300" w:lineRule="auto"/>
              <w:jc w:val="center"/>
              <w:rPr>
                <w:rFonts w:cs="Arial"/>
                <w:color w:val="000000"/>
              </w:rPr>
            </w:pPr>
            <w:r w:rsidRPr="00A04623">
              <w:rPr>
                <w:rFonts w:cs="Arial"/>
                <w:color w:val="000000"/>
              </w:rPr>
              <w:t>2,716</w:t>
            </w:r>
          </w:p>
        </w:tc>
        <w:tc>
          <w:tcPr>
            <w:tcW w:w="1321" w:type="dxa"/>
            <w:vAlign w:val="bottom"/>
          </w:tcPr>
          <w:p w14:paraId="0B02E65E" w14:textId="718C905E" w:rsidR="00E37A95" w:rsidRPr="001814CE" w:rsidRDefault="00E37A95" w:rsidP="00E37A95">
            <w:pPr>
              <w:pStyle w:val="BodyText"/>
              <w:tabs>
                <w:tab w:val="left" w:pos="720"/>
              </w:tabs>
              <w:spacing w:after="0" w:line="300" w:lineRule="auto"/>
              <w:jc w:val="center"/>
              <w:rPr>
                <w:rFonts w:cs="Arial"/>
                <w:color w:val="000000"/>
              </w:rPr>
            </w:pPr>
            <w:r>
              <w:rPr>
                <w:rFonts w:cs="Arial"/>
                <w:color w:val="000000"/>
              </w:rPr>
              <w:t>625</w:t>
            </w:r>
          </w:p>
        </w:tc>
        <w:tc>
          <w:tcPr>
            <w:tcW w:w="1321" w:type="dxa"/>
            <w:vAlign w:val="bottom"/>
          </w:tcPr>
          <w:p w14:paraId="094C499E" w14:textId="57AB9363" w:rsidR="00E37A95" w:rsidRPr="001814CE" w:rsidRDefault="00E37A95" w:rsidP="00E37A95">
            <w:pPr>
              <w:pStyle w:val="BodyText"/>
              <w:tabs>
                <w:tab w:val="left" w:pos="720"/>
              </w:tabs>
              <w:spacing w:after="0" w:line="300" w:lineRule="auto"/>
              <w:jc w:val="center"/>
              <w:rPr>
                <w:rFonts w:cs="Arial"/>
                <w:color w:val="000000"/>
              </w:rPr>
            </w:pPr>
            <w:r>
              <w:rPr>
                <w:rFonts w:cs="Arial"/>
                <w:color w:val="000000"/>
              </w:rPr>
              <w:t>2,091</w:t>
            </w:r>
          </w:p>
        </w:tc>
      </w:tr>
    </w:tbl>
    <w:p w14:paraId="5147DC7B" w14:textId="77777777" w:rsidR="00FA78B1" w:rsidRPr="00251085" w:rsidRDefault="00FA78B1" w:rsidP="00FA78B1">
      <w:pPr>
        <w:spacing w:line="300" w:lineRule="auto"/>
        <w:jc w:val="center"/>
        <w:rPr>
          <w:rFonts w:ascii="Arial" w:hAnsi="Arial" w:cs="Arial"/>
          <w:sz w:val="20"/>
          <w:szCs w:val="20"/>
          <w:lang w:eastAsia="ja-JP"/>
        </w:rPr>
      </w:pPr>
      <w:r w:rsidRPr="00251085">
        <w:rPr>
          <w:rFonts w:ascii="Arial" w:hAnsi="Arial" w:cs="Arial"/>
          <w:sz w:val="20"/>
          <w:szCs w:val="20"/>
          <w:lang w:eastAsia="ja-JP"/>
        </w:rPr>
        <w:t>Source: Derived from a range of sources, including household survey</w:t>
      </w:r>
    </w:p>
    <w:p w14:paraId="4D05C63F" w14:textId="77777777" w:rsidR="00FA78B1" w:rsidRPr="00251085" w:rsidRDefault="00FA78B1" w:rsidP="00172F56">
      <w:pPr>
        <w:spacing w:line="300" w:lineRule="auto"/>
        <w:jc w:val="both"/>
        <w:rPr>
          <w:rFonts w:ascii="Arial" w:hAnsi="Arial" w:cs="Arial"/>
          <w:sz w:val="20"/>
          <w:szCs w:val="20"/>
          <w:lang w:eastAsia="ja-JP"/>
        </w:rPr>
      </w:pPr>
    </w:p>
    <w:p w14:paraId="3599D3D7" w14:textId="6B4C4460" w:rsidR="00B139D2" w:rsidRPr="00251085" w:rsidRDefault="00B139D2">
      <w:pPr>
        <w:pStyle w:val="Bodytextwithindent"/>
        <w:numPr>
          <w:ilvl w:val="0"/>
          <w:numId w:val="26"/>
        </w:numPr>
        <w:spacing w:before="0" w:after="0" w:line="300" w:lineRule="auto"/>
        <w:ind w:hanging="720"/>
        <w:rPr>
          <w:spacing w:val="0"/>
        </w:rPr>
      </w:pPr>
      <w:r w:rsidRPr="4EBF7615">
        <w:rPr>
          <w:spacing w:val="0"/>
        </w:rPr>
        <w:t xml:space="preserve">When looking at the need for AHO products, the analysis also suggests a need across the Borough, albeit (at </w:t>
      </w:r>
      <w:r w:rsidR="00FA78B1">
        <w:rPr>
          <w:spacing w:val="0"/>
        </w:rPr>
        <w:t xml:space="preserve">874 </w:t>
      </w:r>
      <w:r w:rsidR="00FA78B1" w:rsidRPr="4EBF7615">
        <w:rPr>
          <w:spacing w:val="0"/>
        </w:rPr>
        <w:t xml:space="preserve">dwellings </w:t>
      </w:r>
      <w:r w:rsidR="00FA78B1">
        <w:rPr>
          <w:spacing w:val="0"/>
        </w:rPr>
        <w:t xml:space="preserve">over five-years (175 </w:t>
      </w:r>
      <w:r w:rsidRPr="4EBF7615">
        <w:rPr>
          <w:spacing w:val="0"/>
        </w:rPr>
        <w:t>per annum) the need is lower than for rented housing.</w:t>
      </w:r>
    </w:p>
    <w:p w14:paraId="6405B378" w14:textId="1BBB92CF" w:rsidR="00B139D2" w:rsidRDefault="00B139D2" w:rsidP="00172F56">
      <w:pPr>
        <w:spacing w:line="300" w:lineRule="auto"/>
        <w:jc w:val="both"/>
        <w:rPr>
          <w:rFonts w:ascii="Arial" w:hAnsi="Arial" w:cs="Arial"/>
          <w:sz w:val="20"/>
          <w:szCs w:val="20"/>
          <w:lang w:eastAsia="ja-JP"/>
        </w:rPr>
      </w:pPr>
    </w:p>
    <w:tbl>
      <w:tblPr>
        <w:tblStyle w:val="TableTheme"/>
        <w:tblW w:w="5000" w:type="pct"/>
        <w:tblLayout w:type="fixed"/>
        <w:tblLook w:val="04A0" w:firstRow="1" w:lastRow="0" w:firstColumn="1" w:lastColumn="0" w:noHBand="0" w:noVBand="1"/>
      </w:tblPr>
      <w:tblGrid>
        <w:gridCol w:w="1705"/>
        <w:gridCol w:w="1319"/>
        <w:gridCol w:w="1321"/>
        <w:gridCol w:w="1321"/>
        <w:gridCol w:w="1320"/>
        <w:gridCol w:w="1321"/>
        <w:gridCol w:w="1321"/>
      </w:tblGrid>
      <w:tr w:rsidR="00FA78B1" w:rsidRPr="00B30804" w14:paraId="41423FB9" w14:textId="77777777" w:rsidTr="00172F56">
        <w:tc>
          <w:tcPr>
            <w:tcW w:w="9628" w:type="dxa"/>
            <w:gridSpan w:val="7"/>
            <w:vAlign w:val="center"/>
          </w:tcPr>
          <w:p w14:paraId="55A1F509" w14:textId="1E41A884" w:rsidR="00FA78B1" w:rsidRPr="00B30804" w:rsidRDefault="00FA78B1" w:rsidP="00172F56">
            <w:pPr>
              <w:pStyle w:val="BodyText"/>
              <w:keepNext/>
              <w:tabs>
                <w:tab w:val="left" w:pos="720"/>
              </w:tabs>
              <w:spacing w:before="60" w:after="60" w:line="300" w:lineRule="auto"/>
              <w:jc w:val="center"/>
              <w:rPr>
                <w:rFonts w:cs="Arial"/>
                <w:b/>
                <w:bCs/>
              </w:rPr>
            </w:pPr>
            <w:r w:rsidRPr="00B30804">
              <w:rPr>
                <w:rFonts w:cs="Arial"/>
                <w:b/>
                <w:bCs/>
              </w:rPr>
              <w:t xml:space="preserve">Figure 3: Estimated Need for </w:t>
            </w:r>
            <w:r>
              <w:rPr>
                <w:rFonts w:cs="Arial"/>
                <w:b/>
                <w:bCs/>
              </w:rPr>
              <w:t>Affordable Home Ownership</w:t>
            </w:r>
            <w:r w:rsidRPr="00B30804">
              <w:rPr>
                <w:rFonts w:cs="Arial"/>
                <w:b/>
                <w:bCs/>
              </w:rPr>
              <w:t xml:space="preserve"> by sub-area (</w:t>
            </w:r>
            <w:r>
              <w:rPr>
                <w:rFonts w:cs="Arial"/>
                <w:b/>
                <w:bCs/>
              </w:rPr>
              <w:t>5-years</w:t>
            </w:r>
            <w:r w:rsidRPr="00B30804">
              <w:rPr>
                <w:rFonts w:cs="Arial"/>
                <w:b/>
                <w:bCs/>
              </w:rPr>
              <w:t>)</w:t>
            </w:r>
          </w:p>
        </w:tc>
      </w:tr>
      <w:tr w:rsidR="00FA78B1" w:rsidRPr="008D4A27" w14:paraId="16A04CB3" w14:textId="77777777" w:rsidTr="00172F56">
        <w:tc>
          <w:tcPr>
            <w:tcW w:w="1705" w:type="dxa"/>
            <w:vAlign w:val="center"/>
          </w:tcPr>
          <w:p w14:paraId="259373CD" w14:textId="77777777" w:rsidR="00FA78B1" w:rsidRPr="008D4A27" w:rsidRDefault="00FA78B1" w:rsidP="00172F56">
            <w:pPr>
              <w:pStyle w:val="BodyText"/>
              <w:keepNext/>
              <w:tabs>
                <w:tab w:val="left" w:pos="720"/>
              </w:tabs>
              <w:spacing w:after="0" w:line="300" w:lineRule="auto"/>
              <w:rPr>
                <w:rFonts w:cs="Arial"/>
                <w:b/>
              </w:rPr>
            </w:pPr>
          </w:p>
        </w:tc>
        <w:tc>
          <w:tcPr>
            <w:tcW w:w="1319" w:type="dxa"/>
            <w:vAlign w:val="center"/>
            <w:hideMark/>
          </w:tcPr>
          <w:p w14:paraId="24CE3FEA" w14:textId="77777777" w:rsidR="00FA78B1" w:rsidRPr="008D4A27" w:rsidRDefault="00FA78B1" w:rsidP="00172F56">
            <w:pPr>
              <w:pStyle w:val="BodyText"/>
              <w:keepNext/>
              <w:tabs>
                <w:tab w:val="left" w:pos="720"/>
              </w:tabs>
              <w:spacing w:after="0" w:line="300" w:lineRule="auto"/>
              <w:jc w:val="center"/>
              <w:rPr>
                <w:rFonts w:cs="Arial"/>
              </w:rPr>
            </w:pPr>
            <w:r w:rsidRPr="008D4A27">
              <w:rPr>
                <w:rFonts w:cs="Arial"/>
              </w:rPr>
              <w:t>Current need</w:t>
            </w:r>
          </w:p>
        </w:tc>
        <w:tc>
          <w:tcPr>
            <w:tcW w:w="1321" w:type="dxa"/>
            <w:vAlign w:val="center"/>
            <w:hideMark/>
          </w:tcPr>
          <w:p w14:paraId="1776AF94" w14:textId="77777777" w:rsidR="00FA78B1" w:rsidRPr="008D4A27" w:rsidRDefault="00FA78B1" w:rsidP="00172F56">
            <w:pPr>
              <w:pStyle w:val="BodyText"/>
              <w:keepNext/>
              <w:tabs>
                <w:tab w:val="left" w:pos="720"/>
              </w:tabs>
              <w:spacing w:after="0" w:line="300" w:lineRule="auto"/>
              <w:jc w:val="center"/>
              <w:rPr>
                <w:rFonts w:cs="Arial"/>
              </w:rPr>
            </w:pPr>
            <w:r w:rsidRPr="008D4A27">
              <w:rPr>
                <w:rFonts w:cs="Arial"/>
              </w:rPr>
              <w:t>Newly forming households</w:t>
            </w:r>
          </w:p>
        </w:tc>
        <w:tc>
          <w:tcPr>
            <w:tcW w:w="1321" w:type="dxa"/>
            <w:vAlign w:val="center"/>
            <w:hideMark/>
          </w:tcPr>
          <w:p w14:paraId="3F3A83C0" w14:textId="77777777" w:rsidR="00FA78B1" w:rsidRPr="008D4A27" w:rsidRDefault="00FA78B1" w:rsidP="00172F56">
            <w:pPr>
              <w:pStyle w:val="BodyText"/>
              <w:keepNext/>
              <w:tabs>
                <w:tab w:val="left" w:pos="720"/>
              </w:tabs>
              <w:spacing w:after="0" w:line="300" w:lineRule="auto"/>
              <w:jc w:val="center"/>
              <w:rPr>
                <w:rFonts w:cs="Arial"/>
              </w:rPr>
            </w:pPr>
            <w:r w:rsidRPr="008D4A27">
              <w:rPr>
                <w:rFonts w:cs="Arial"/>
              </w:rPr>
              <w:t>Existing households falling into need</w:t>
            </w:r>
          </w:p>
        </w:tc>
        <w:tc>
          <w:tcPr>
            <w:tcW w:w="1320" w:type="dxa"/>
            <w:vAlign w:val="center"/>
            <w:hideMark/>
          </w:tcPr>
          <w:p w14:paraId="42DD456D" w14:textId="77777777" w:rsidR="00FA78B1" w:rsidRPr="008D4A27" w:rsidRDefault="00FA78B1" w:rsidP="00172F56">
            <w:pPr>
              <w:pStyle w:val="BodyText"/>
              <w:keepNext/>
              <w:tabs>
                <w:tab w:val="left" w:pos="720"/>
              </w:tabs>
              <w:spacing w:after="0" w:line="300" w:lineRule="auto"/>
              <w:jc w:val="center"/>
              <w:rPr>
                <w:rFonts w:cs="Arial"/>
              </w:rPr>
            </w:pPr>
            <w:r w:rsidRPr="008D4A27">
              <w:rPr>
                <w:rFonts w:cs="Arial"/>
              </w:rPr>
              <w:t>Total Gross Need</w:t>
            </w:r>
          </w:p>
        </w:tc>
        <w:tc>
          <w:tcPr>
            <w:tcW w:w="1321" w:type="dxa"/>
            <w:vAlign w:val="center"/>
            <w:hideMark/>
          </w:tcPr>
          <w:p w14:paraId="3DBD36EC" w14:textId="77777777" w:rsidR="00FA78B1" w:rsidRPr="008D4A27" w:rsidRDefault="00FA78B1" w:rsidP="00172F56">
            <w:pPr>
              <w:pStyle w:val="BodyText"/>
              <w:keepNext/>
              <w:tabs>
                <w:tab w:val="left" w:pos="720"/>
              </w:tabs>
              <w:spacing w:after="0" w:line="300" w:lineRule="auto"/>
              <w:jc w:val="center"/>
              <w:rPr>
                <w:rFonts w:cs="Arial"/>
              </w:rPr>
            </w:pPr>
            <w:r w:rsidRPr="008D4A27">
              <w:rPr>
                <w:rFonts w:cs="Arial"/>
              </w:rPr>
              <w:t>Resales Supply</w:t>
            </w:r>
          </w:p>
        </w:tc>
        <w:tc>
          <w:tcPr>
            <w:tcW w:w="1321" w:type="dxa"/>
            <w:vAlign w:val="center"/>
            <w:hideMark/>
          </w:tcPr>
          <w:p w14:paraId="1EF0CAC9" w14:textId="77777777" w:rsidR="00FA78B1" w:rsidRPr="008D4A27" w:rsidRDefault="00FA78B1" w:rsidP="00172F56">
            <w:pPr>
              <w:pStyle w:val="BodyText"/>
              <w:keepNext/>
              <w:tabs>
                <w:tab w:val="left" w:pos="720"/>
              </w:tabs>
              <w:spacing w:after="0" w:line="300" w:lineRule="auto"/>
              <w:jc w:val="center"/>
              <w:rPr>
                <w:rFonts w:cs="Arial"/>
              </w:rPr>
            </w:pPr>
            <w:r w:rsidRPr="008D4A27">
              <w:rPr>
                <w:rFonts w:cs="Arial"/>
              </w:rPr>
              <w:t>Net Need</w:t>
            </w:r>
          </w:p>
        </w:tc>
      </w:tr>
      <w:tr w:rsidR="00FA78B1" w:rsidRPr="003551DF" w14:paraId="3373E0FF" w14:textId="77777777" w:rsidTr="00172F56">
        <w:tc>
          <w:tcPr>
            <w:tcW w:w="1705" w:type="dxa"/>
            <w:vAlign w:val="center"/>
          </w:tcPr>
          <w:p w14:paraId="1EAB340A" w14:textId="77777777" w:rsidR="00FA78B1" w:rsidRPr="008D4A27" w:rsidRDefault="00FA78B1" w:rsidP="00172F56">
            <w:pPr>
              <w:pStyle w:val="BodyText"/>
              <w:keepNext/>
              <w:tabs>
                <w:tab w:val="left" w:pos="720"/>
              </w:tabs>
              <w:spacing w:after="0" w:line="300" w:lineRule="auto"/>
              <w:rPr>
                <w:rFonts w:cs="Arial"/>
              </w:rPr>
            </w:pPr>
            <w:r>
              <w:rPr>
                <w:rFonts w:cs="Arial"/>
                <w:color w:val="000000"/>
              </w:rPr>
              <w:t>St. Annes</w:t>
            </w:r>
          </w:p>
        </w:tc>
        <w:tc>
          <w:tcPr>
            <w:tcW w:w="1319" w:type="dxa"/>
            <w:vAlign w:val="center"/>
          </w:tcPr>
          <w:p w14:paraId="28F82246"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212</w:t>
            </w:r>
          </w:p>
        </w:tc>
        <w:tc>
          <w:tcPr>
            <w:tcW w:w="1321" w:type="dxa"/>
            <w:vAlign w:val="center"/>
          </w:tcPr>
          <w:p w14:paraId="5247AB93"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180</w:t>
            </w:r>
          </w:p>
        </w:tc>
        <w:tc>
          <w:tcPr>
            <w:tcW w:w="1321" w:type="dxa"/>
            <w:vAlign w:val="center"/>
          </w:tcPr>
          <w:p w14:paraId="228DFF92"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600</w:t>
            </w:r>
          </w:p>
        </w:tc>
        <w:tc>
          <w:tcPr>
            <w:tcW w:w="1320" w:type="dxa"/>
            <w:vAlign w:val="center"/>
          </w:tcPr>
          <w:p w14:paraId="3C923D5C"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992</w:t>
            </w:r>
          </w:p>
        </w:tc>
        <w:tc>
          <w:tcPr>
            <w:tcW w:w="1321" w:type="dxa"/>
            <w:vAlign w:val="center"/>
          </w:tcPr>
          <w:p w14:paraId="5148CA89"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380</w:t>
            </w:r>
          </w:p>
        </w:tc>
        <w:tc>
          <w:tcPr>
            <w:tcW w:w="1321" w:type="dxa"/>
            <w:vAlign w:val="center"/>
          </w:tcPr>
          <w:p w14:paraId="708EDAFC"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612</w:t>
            </w:r>
          </w:p>
        </w:tc>
      </w:tr>
      <w:tr w:rsidR="00FA78B1" w:rsidRPr="003551DF" w14:paraId="1B798BD7" w14:textId="77777777" w:rsidTr="00172F56">
        <w:tc>
          <w:tcPr>
            <w:tcW w:w="1705" w:type="dxa"/>
            <w:vAlign w:val="center"/>
          </w:tcPr>
          <w:p w14:paraId="7F8B5C64" w14:textId="77777777" w:rsidR="00FA78B1" w:rsidRPr="008D4A27" w:rsidRDefault="00FA78B1" w:rsidP="00172F56">
            <w:pPr>
              <w:pStyle w:val="BodyText"/>
              <w:keepNext/>
              <w:tabs>
                <w:tab w:val="left" w:pos="720"/>
              </w:tabs>
              <w:spacing w:after="0" w:line="300" w:lineRule="auto"/>
              <w:rPr>
                <w:rFonts w:cs="Arial"/>
              </w:rPr>
            </w:pPr>
            <w:r w:rsidRPr="008D4A27">
              <w:rPr>
                <w:rFonts w:cs="Arial"/>
                <w:color w:val="000000"/>
              </w:rPr>
              <w:t>Lytham</w:t>
            </w:r>
          </w:p>
        </w:tc>
        <w:tc>
          <w:tcPr>
            <w:tcW w:w="1319" w:type="dxa"/>
            <w:vAlign w:val="center"/>
          </w:tcPr>
          <w:p w14:paraId="20646CA7"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0</w:t>
            </w:r>
          </w:p>
        </w:tc>
        <w:tc>
          <w:tcPr>
            <w:tcW w:w="1321" w:type="dxa"/>
            <w:vAlign w:val="center"/>
          </w:tcPr>
          <w:p w14:paraId="47A9141D"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233</w:t>
            </w:r>
          </w:p>
        </w:tc>
        <w:tc>
          <w:tcPr>
            <w:tcW w:w="1321" w:type="dxa"/>
            <w:vAlign w:val="center"/>
          </w:tcPr>
          <w:p w14:paraId="3C758762"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141</w:t>
            </w:r>
          </w:p>
        </w:tc>
        <w:tc>
          <w:tcPr>
            <w:tcW w:w="1320" w:type="dxa"/>
            <w:vAlign w:val="center"/>
          </w:tcPr>
          <w:p w14:paraId="03D79532"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374</w:t>
            </w:r>
          </w:p>
        </w:tc>
        <w:tc>
          <w:tcPr>
            <w:tcW w:w="1321" w:type="dxa"/>
            <w:vAlign w:val="center"/>
          </w:tcPr>
          <w:p w14:paraId="0083436F"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272</w:t>
            </w:r>
          </w:p>
        </w:tc>
        <w:tc>
          <w:tcPr>
            <w:tcW w:w="1321" w:type="dxa"/>
            <w:vAlign w:val="center"/>
          </w:tcPr>
          <w:p w14:paraId="46BEA981"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102</w:t>
            </w:r>
          </w:p>
        </w:tc>
      </w:tr>
      <w:tr w:rsidR="00FA78B1" w:rsidRPr="003551DF" w14:paraId="4DFB80F6" w14:textId="77777777" w:rsidTr="00172F56">
        <w:tc>
          <w:tcPr>
            <w:tcW w:w="1705" w:type="dxa"/>
            <w:vAlign w:val="center"/>
          </w:tcPr>
          <w:p w14:paraId="20F66B1C" w14:textId="77777777" w:rsidR="00FA78B1" w:rsidRPr="008D4A27" w:rsidRDefault="00FA78B1" w:rsidP="00172F56">
            <w:pPr>
              <w:pStyle w:val="BodyText"/>
              <w:keepNext/>
              <w:tabs>
                <w:tab w:val="left" w:pos="720"/>
              </w:tabs>
              <w:spacing w:after="0" w:line="300" w:lineRule="auto"/>
              <w:rPr>
                <w:rFonts w:cs="Arial"/>
              </w:rPr>
            </w:pPr>
            <w:r w:rsidRPr="008D4A27">
              <w:rPr>
                <w:rFonts w:cs="Arial"/>
                <w:color w:val="000000"/>
              </w:rPr>
              <w:t>Warton</w:t>
            </w:r>
          </w:p>
        </w:tc>
        <w:tc>
          <w:tcPr>
            <w:tcW w:w="1319" w:type="dxa"/>
            <w:vAlign w:val="center"/>
          </w:tcPr>
          <w:p w14:paraId="2877C6E6"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19</w:t>
            </w:r>
          </w:p>
        </w:tc>
        <w:tc>
          <w:tcPr>
            <w:tcW w:w="1321" w:type="dxa"/>
            <w:vAlign w:val="center"/>
          </w:tcPr>
          <w:p w14:paraId="1616221A"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38</w:t>
            </w:r>
          </w:p>
        </w:tc>
        <w:tc>
          <w:tcPr>
            <w:tcW w:w="1321" w:type="dxa"/>
            <w:vAlign w:val="center"/>
          </w:tcPr>
          <w:p w14:paraId="6A26E9ED"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14</w:t>
            </w:r>
          </w:p>
        </w:tc>
        <w:tc>
          <w:tcPr>
            <w:tcW w:w="1320" w:type="dxa"/>
            <w:vAlign w:val="center"/>
          </w:tcPr>
          <w:p w14:paraId="71E928EC"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71</w:t>
            </w:r>
          </w:p>
        </w:tc>
        <w:tc>
          <w:tcPr>
            <w:tcW w:w="1321" w:type="dxa"/>
            <w:vAlign w:val="center"/>
          </w:tcPr>
          <w:p w14:paraId="18D3E14B"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43</w:t>
            </w:r>
          </w:p>
        </w:tc>
        <w:tc>
          <w:tcPr>
            <w:tcW w:w="1321" w:type="dxa"/>
            <w:vAlign w:val="center"/>
          </w:tcPr>
          <w:p w14:paraId="1376C1F5"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28</w:t>
            </w:r>
          </w:p>
        </w:tc>
      </w:tr>
      <w:tr w:rsidR="00FA78B1" w:rsidRPr="003551DF" w14:paraId="5904F221" w14:textId="77777777" w:rsidTr="00172F56">
        <w:tc>
          <w:tcPr>
            <w:tcW w:w="1705" w:type="dxa"/>
            <w:vAlign w:val="center"/>
          </w:tcPr>
          <w:p w14:paraId="448F369B" w14:textId="77777777" w:rsidR="00FA78B1" w:rsidRPr="008D4A27" w:rsidRDefault="00FA78B1" w:rsidP="00172F56">
            <w:pPr>
              <w:pStyle w:val="BodyText"/>
              <w:keepNext/>
              <w:tabs>
                <w:tab w:val="left" w:pos="720"/>
              </w:tabs>
              <w:spacing w:after="0" w:line="300" w:lineRule="auto"/>
              <w:rPr>
                <w:rFonts w:cs="Arial"/>
              </w:rPr>
            </w:pPr>
            <w:r w:rsidRPr="008D4A27">
              <w:rPr>
                <w:rFonts w:cs="Arial"/>
                <w:color w:val="000000"/>
              </w:rPr>
              <w:t>FB Periphery</w:t>
            </w:r>
          </w:p>
        </w:tc>
        <w:tc>
          <w:tcPr>
            <w:tcW w:w="1319" w:type="dxa"/>
            <w:vAlign w:val="center"/>
          </w:tcPr>
          <w:p w14:paraId="452EBEF6"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0</w:t>
            </w:r>
          </w:p>
        </w:tc>
        <w:tc>
          <w:tcPr>
            <w:tcW w:w="1321" w:type="dxa"/>
            <w:vAlign w:val="center"/>
          </w:tcPr>
          <w:p w14:paraId="2D60B75D"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7</w:t>
            </w:r>
          </w:p>
        </w:tc>
        <w:tc>
          <w:tcPr>
            <w:tcW w:w="1321" w:type="dxa"/>
            <w:vAlign w:val="center"/>
          </w:tcPr>
          <w:p w14:paraId="72673603"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18</w:t>
            </w:r>
          </w:p>
        </w:tc>
        <w:tc>
          <w:tcPr>
            <w:tcW w:w="1320" w:type="dxa"/>
            <w:vAlign w:val="center"/>
          </w:tcPr>
          <w:p w14:paraId="7C8FF903"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25</w:t>
            </w:r>
          </w:p>
        </w:tc>
        <w:tc>
          <w:tcPr>
            <w:tcW w:w="1321" w:type="dxa"/>
            <w:vAlign w:val="center"/>
          </w:tcPr>
          <w:p w14:paraId="3A50E5E5"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26</w:t>
            </w:r>
          </w:p>
        </w:tc>
        <w:tc>
          <w:tcPr>
            <w:tcW w:w="1321" w:type="dxa"/>
            <w:vAlign w:val="center"/>
          </w:tcPr>
          <w:p w14:paraId="4C905B21"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-1</w:t>
            </w:r>
          </w:p>
        </w:tc>
      </w:tr>
      <w:tr w:rsidR="00FA78B1" w:rsidRPr="003551DF" w14:paraId="4990D8C4" w14:textId="77777777" w:rsidTr="00172F56">
        <w:tc>
          <w:tcPr>
            <w:tcW w:w="1705" w:type="dxa"/>
            <w:vAlign w:val="center"/>
          </w:tcPr>
          <w:p w14:paraId="2DC9C078" w14:textId="77777777" w:rsidR="00FA78B1" w:rsidRPr="008D4A27" w:rsidRDefault="00FA78B1" w:rsidP="00172F56">
            <w:pPr>
              <w:pStyle w:val="BodyText"/>
              <w:keepNext/>
              <w:tabs>
                <w:tab w:val="left" w:pos="720"/>
              </w:tabs>
              <w:spacing w:after="0" w:line="300" w:lineRule="auto"/>
              <w:rPr>
                <w:rFonts w:cs="Arial"/>
              </w:rPr>
            </w:pPr>
            <w:r w:rsidRPr="008D4A27">
              <w:rPr>
                <w:rFonts w:cs="Arial"/>
                <w:color w:val="000000"/>
              </w:rPr>
              <w:t>Kirkham</w:t>
            </w:r>
          </w:p>
        </w:tc>
        <w:tc>
          <w:tcPr>
            <w:tcW w:w="1319" w:type="dxa"/>
            <w:vAlign w:val="center"/>
          </w:tcPr>
          <w:p w14:paraId="2FE98553"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0</w:t>
            </w:r>
          </w:p>
        </w:tc>
        <w:tc>
          <w:tcPr>
            <w:tcW w:w="1321" w:type="dxa"/>
            <w:vAlign w:val="center"/>
          </w:tcPr>
          <w:p w14:paraId="2CAC90CD"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112</w:t>
            </w:r>
          </w:p>
        </w:tc>
        <w:tc>
          <w:tcPr>
            <w:tcW w:w="1321" w:type="dxa"/>
            <w:vAlign w:val="center"/>
          </w:tcPr>
          <w:p w14:paraId="733BE588"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61</w:t>
            </w:r>
          </w:p>
        </w:tc>
        <w:tc>
          <w:tcPr>
            <w:tcW w:w="1320" w:type="dxa"/>
            <w:vAlign w:val="center"/>
          </w:tcPr>
          <w:p w14:paraId="5BE1832C"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173</w:t>
            </w:r>
          </w:p>
        </w:tc>
        <w:tc>
          <w:tcPr>
            <w:tcW w:w="1321" w:type="dxa"/>
            <w:vAlign w:val="center"/>
          </w:tcPr>
          <w:p w14:paraId="7572170F"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74</w:t>
            </w:r>
          </w:p>
        </w:tc>
        <w:tc>
          <w:tcPr>
            <w:tcW w:w="1321" w:type="dxa"/>
            <w:vAlign w:val="center"/>
          </w:tcPr>
          <w:p w14:paraId="34EB7FC1" w14:textId="77777777" w:rsidR="00FA78B1" w:rsidRPr="003551DF" w:rsidRDefault="00FA78B1" w:rsidP="00172F56">
            <w:pPr>
              <w:pStyle w:val="BodyText"/>
              <w:keepNext/>
              <w:tabs>
                <w:tab w:val="left" w:pos="720"/>
              </w:tabs>
              <w:spacing w:after="0" w:line="300" w:lineRule="auto"/>
              <w:jc w:val="center"/>
              <w:rPr>
                <w:rFonts w:cs="Arial"/>
              </w:rPr>
            </w:pPr>
            <w:r w:rsidRPr="00A04623">
              <w:rPr>
                <w:rFonts w:cs="Arial"/>
                <w:color w:val="000000"/>
              </w:rPr>
              <w:t>99</w:t>
            </w:r>
          </w:p>
        </w:tc>
      </w:tr>
      <w:tr w:rsidR="00FA78B1" w:rsidRPr="003551DF" w14:paraId="712D418B" w14:textId="77777777" w:rsidTr="00172F56">
        <w:tc>
          <w:tcPr>
            <w:tcW w:w="1705" w:type="dxa"/>
            <w:vAlign w:val="center"/>
          </w:tcPr>
          <w:p w14:paraId="54D8C63F" w14:textId="77777777" w:rsidR="00FA78B1" w:rsidRPr="008D4A27" w:rsidRDefault="00FA78B1" w:rsidP="00172F56">
            <w:pPr>
              <w:pStyle w:val="BodyText"/>
              <w:keepNext/>
              <w:tabs>
                <w:tab w:val="left" w:pos="720"/>
              </w:tabs>
              <w:spacing w:after="0" w:line="300" w:lineRule="auto"/>
              <w:rPr>
                <w:rFonts w:cs="Arial"/>
                <w:color w:val="000000"/>
              </w:rPr>
            </w:pPr>
            <w:r w:rsidRPr="008D4A27">
              <w:rPr>
                <w:rFonts w:cs="Arial"/>
                <w:color w:val="000000"/>
              </w:rPr>
              <w:t>Wesham</w:t>
            </w:r>
          </w:p>
        </w:tc>
        <w:tc>
          <w:tcPr>
            <w:tcW w:w="1319" w:type="dxa"/>
            <w:vAlign w:val="center"/>
          </w:tcPr>
          <w:p w14:paraId="1B3A4012"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0</w:t>
            </w:r>
          </w:p>
        </w:tc>
        <w:tc>
          <w:tcPr>
            <w:tcW w:w="1321" w:type="dxa"/>
            <w:vAlign w:val="center"/>
          </w:tcPr>
          <w:p w14:paraId="24B8BC92"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28</w:t>
            </w:r>
          </w:p>
        </w:tc>
        <w:tc>
          <w:tcPr>
            <w:tcW w:w="1321" w:type="dxa"/>
            <w:vAlign w:val="center"/>
          </w:tcPr>
          <w:p w14:paraId="5E26F232"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12</w:t>
            </w:r>
          </w:p>
        </w:tc>
        <w:tc>
          <w:tcPr>
            <w:tcW w:w="1320" w:type="dxa"/>
            <w:vAlign w:val="center"/>
          </w:tcPr>
          <w:p w14:paraId="17265B1B"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40</w:t>
            </w:r>
          </w:p>
        </w:tc>
        <w:tc>
          <w:tcPr>
            <w:tcW w:w="1321" w:type="dxa"/>
            <w:vAlign w:val="center"/>
          </w:tcPr>
          <w:p w14:paraId="3581E6B6"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24</w:t>
            </w:r>
          </w:p>
        </w:tc>
        <w:tc>
          <w:tcPr>
            <w:tcW w:w="1321" w:type="dxa"/>
            <w:vAlign w:val="center"/>
          </w:tcPr>
          <w:p w14:paraId="537CAE08"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16</w:t>
            </w:r>
          </w:p>
        </w:tc>
      </w:tr>
      <w:tr w:rsidR="00FA78B1" w:rsidRPr="003551DF" w14:paraId="59FB4CFF" w14:textId="77777777" w:rsidTr="00172F56">
        <w:tc>
          <w:tcPr>
            <w:tcW w:w="1705" w:type="dxa"/>
            <w:vAlign w:val="center"/>
          </w:tcPr>
          <w:p w14:paraId="70386D20" w14:textId="77777777" w:rsidR="00FA78B1" w:rsidRPr="008D4A27" w:rsidRDefault="00FA78B1" w:rsidP="00172F56">
            <w:pPr>
              <w:pStyle w:val="BodyText"/>
              <w:keepNext/>
              <w:tabs>
                <w:tab w:val="left" w:pos="720"/>
              </w:tabs>
              <w:spacing w:after="0" w:line="300" w:lineRule="auto"/>
              <w:rPr>
                <w:rFonts w:cs="Arial"/>
                <w:color w:val="000000"/>
              </w:rPr>
            </w:pPr>
            <w:r w:rsidRPr="008D4A27">
              <w:rPr>
                <w:rFonts w:cs="Arial"/>
                <w:color w:val="000000"/>
              </w:rPr>
              <w:t>Freckleton</w:t>
            </w:r>
          </w:p>
        </w:tc>
        <w:tc>
          <w:tcPr>
            <w:tcW w:w="1319" w:type="dxa"/>
            <w:vAlign w:val="center"/>
          </w:tcPr>
          <w:p w14:paraId="3FBF59BD"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0</w:t>
            </w:r>
          </w:p>
        </w:tc>
        <w:tc>
          <w:tcPr>
            <w:tcW w:w="1321" w:type="dxa"/>
            <w:vAlign w:val="center"/>
          </w:tcPr>
          <w:p w14:paraId="2AE27DE7"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21</w:t>
            </w:r>
          </w:p>
        </w:tc>
        <w:tc>
          <w:tcPr>
            <w:tcW w:w="1321" w:type="dxa"/>
            <w:vAlign w:val="center"/>
          </w:tcPr>
          <w:p w14:paraId="4E04E361"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0</w:t>
            </w:r>
          </w:p>
        </w:tc>
        <w:tc>
          <w:tcPr>
            <w:tcW w:w="1320" w:type="dxa"/>
            <w:vAlign w:val="center"/>
          </w:tcPr>
          <w:p w14:paraId="2C93DFA0"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21</w:t>
            </w:r>
          </w:p>
        </w:tc>
        <w:tc>
          <w:tcPr>
            <w:tcW w:w="1321" w:type="dxa"/>
            <w:vAlign w:val="center"/>
          </w:tcPr>
          <w:p w14:paraId="3FF6B95E"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60</w:t>
            </w:r>
          </w:p>
        </w:tc>
        <w:tc>
          <w:tcPr>
            <w:tcW w:w="1321" w:type="dxa"/>
            <w:vAlign w:val="center"/>
          </w:tcPr>
          <w:p w14:paraId="7732267C"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-39</w:t>
            </w:r>
          </w:p>
        </w:tc>
      </w:tr>
      <w:tr w:rsidR="00FA78B1" w:rsidRPr="003551DF" w14:paraId="3B1BC716" w14:textId="77777777" w:rsidTr="00172F56">
        <w:tc>
          <w:tcPr>
            <w:tcW w:w="1705" w:type="dxa"/>
            <w:vAlign w:val="center"/>
          </w:tcPr>
          <w:p w14:paraId="18C5A67C" w14:textId="77777777" w:rsidR="00FA78B1" w:rsidRPr="008D4A27" w:rsidRDefault="00FA78B1" w:rsidP="00172F56">
            <w:pPr>
              <w:pStyle w:val="BodyText"/>
              <w:keepNext/>
              <w:tabs>
                <w:tab w:val="left" w:pos="720"/>
              </w:tabs>
              <w:spacing w:after="0" w:line="300" w:lineRule="auto"/>
              <w:rPr>
                <w:rFonts w:cs="Arial"/>
                <w:color w:val="000000"/>
              </w:rPr>
            </w:pPr>
            <w:r w:rsidRPr="008D4A27">
              <w:rPr>
                <w:rFonts w:cs="Arial"/>
                <w:color w:val="000000"/>
              </w:rPr>
              <w:t>Rural North</w:t>
            </w:r>
          </w:p>
        </w:tc>
        <w:tc>
          <w:tcPr>
            <w:tcW w:w="1319" w:type="dxa"/>
            <w:vAlign w:val="center"/>
          </w:tcPr>
          <w:p w14:paraId="7190A056"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0</w:t>
            </w:r>
          </w:p>
        </w:tc>
        <w:tc>
          <w:tcPr>
            <w:tcW w:w="1321" w:type="dxa"/>
            <w:vAlign w:val="center"/>
          </w:tcPr>
          <w:p w14:paraId="5463F369"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95</w:t>
            </w:r>
          </w:p>
        </w:tc>
        <w:tc>
          <w:tcPr>
            <w:tcW w:w="1321" w:type="dxa"/>
            <w:vAlign w:val="center"/>
          </w:tcPr>
          <w:p w14:paraId="197DD9D7"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11</w:t>
            </w:r>
          </w:p>
        </w:tc>
        <w:tc>
          <w:tcPr>
            <w:tcW w:w="1320" w:type="dxa"/>
            <w:vAlign w:val="center"/>
          </w:tcPr>
          <w:p w14:paraId="0C1AC6A7"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106</w:t>
            </w:r>
          </w:p>
        </w:tc>
        <w:tc>
          <w:tcPr>
            <w:tcW w:w="1321" w:type="dxa"/>
            <w:vAlign w:val="center"/>
          </w:tcPr>
          <w:p w14:paraId="7A43BB52"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60</w:t>
            </w:r>
          </w:p>
        </w:tc>
        <w:tc>
          <w:tcPr>
            <w:tcW w:w="1321" w:type="dxa"/>
            <w:vAlign w:val="center"/>
          </w:tcPr>
          <w:p w14:paraId="13764402"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46</w:t>
            </w:r>
          </w:p>
        </w:tc>
      </w:tr>
      <w:tr w:rsidR="00FA78B1" w:rsidRPr="003551DF" w14:paraId="68092E2E" w14:textId="77777777" w:rsidTr="00172F56">
        <w:tc>
          <w:tcPr>
            <w:tcW w:w="1705" w:type="dxa"/>
            <w:vAlign w:val="center"/>
          </w:tcPr>
          <w:p w14:paraId="33B15FF9" w14:textId="77777777" w:rsidR="00FA78B1" w:rsidRPr="008D4A27" w:rsidRDefault="00FA78B1" w:rsidP="00172F56">
            <w:pPr>
              <w:pStyle w:val="BodyText"/>
              <w:keepNext/>
              <w:tabs>
                <w:tab w:val="left" w:pos="720"/>
              </w:tabs>
              <w:spacing w:after="0" w:line="300" w:lineRule="auto"/>
              <w:rPr>
                <w:rFonts w:cs="Arial"/>
                <w:color w:val="000000"/>
              </w:rPr>
            </w:pPr>
            <w:r w:rsidRPr="008D4A27">
              <w:rPr>
                <w:rFonts w:cs="Arial"/>
                <w:color w:val="000000"/>
              </w:rPr>
              <w:t>Rural West</w:t>
            </w:r>
          </w:p>
        </w:tc>
        <w:tc>
          <w:tcPr>
            <w:tcW w:w="1319" w:type="dxa"/>
            <w:vAlign w:val="center"/>
          </w:tcPr>
          <w:p w14:paraId="36BBAA26"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0</w:t>
            </w:r>
          </w:p>
        </w:tc>
        <w:tc>
          <w:tcPr>
            <w:tcW w:w="1321" w:type="dxa"/>
            <w:vAlign w:val="center"/>
          </w:tcPr>
          <w:p w14:paraId="587B53B6"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39</w:t>
            </w:r>
          </w:p>
        </w:tc>
        <w:tc>
          <w:tcPr>
            <w:tcW w:w="1321" w:type="dxa"/>
            <w:vAlign w:val="center"/>
          </w:tcPr>
          <w:p w14:paraId="0E475A24"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0</w:t>
            </w:r>
          </w:p>
        </w:tc>
        <w:tc>
          <w:tcPr>
            <w:tcW w:w="1320" w:type="dxa"/>
            <w:vAlign w:val="center"/>
          </w:tcPr>
          <w:p w14:paraId="6259D591"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39</w:t>
            </w:r>
          </w:p>
        </w:tc>
        <w:tc>
          <w:tcPr>
            <w:tcW w:w="1321" w:type="dxa"/>
            <w:vAlign w:val="center"/>
          </w:tcPr>
          <w:p w14:paraId="2B630840"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34</w:t>
            </w:r>
          </w:p>
        </w:tc>
        <w:tc>
          <w:tcPr>
            <w:tcW w:w="1321" w:type="dxa"/>
            <w:vAlign w:val="center"/>
          </w:tcPr>
          <w:p w14:paraId="11403A4C"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5</w:t>
            </w:r>
          </w:p>
        </w:tc>
      </w:tr>
      <w:tr w:rsidR="00FA78B1" w:rsidRPr="003551DF" w14:paraId="01CB3584" w14:textId="77777777" w:rsidTr="00172F56">
        <w:tc>
          <w:tcPr>
            <w:tcW w:w="1705" w:type="dxa"/>
            <w:vAlign w:val="center"/>
          </w:tcPr>
          <w:p w14:paraId="433D79DF" w14:textId="77777777" w:rsidR="00FA78B1" w:rsidRPr="008D4A27" w:rsidRDefault="00FA78B1" w:rsidP="00172F56">
            <w:pPr>
              <w:pStyle w:val="BodyText"/>
              <w:keepNext/>
              <w:tabs>
                <w:tab w:val="left" w:pos="720"/>
              </w:tabs>
              <w:spacing w:after="0" w:line="300" w:lineRule="auto"/>
              <w:rPr>
                <w:rFonts w:cs="Arial"/>
                <w:color w:val="000000"/>
              </w:rPr>
            </w:pPr>
            <w:r w:rsidRPr="008D4A27">
              <w:rPr>
                <w:rFonts w:cs="Arial"/>
                <w:color w:val="000000"/>
              </w:rPr>
              <w:t>Rural East</w:t>
            </w:r>
          </w:p>
        </w:tc>
        <w:tc>
          <w:tcPr>
            <w:tcW w:w="1319" w:type="dxa"/>
            <w:vAlign w:val="center"/>
          </w:tcPr>
          <w:p w14:paraId="28792DB7"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0</w:t>
            </w:r>
          </w:p>
        </w:tc>
        <w:tc>
          <w:tcPr>
            <w:tcW w:w="1321" w:type="dxa"/>
            <w:vAlign w:val="center"/>
          </w:tcPr>
          <w:p w14:paraId="4BDB86D1"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28</w:t>
            </w:r>
          </w:p>
        </w:tc>
        <w:tc>
          <w:tcPr>
            <w:tcW w:w="1321" w:type="dxa"/>
            <w:vAlign w:val="center"/>
          </w:tcPr>
          <w:p w14:paraId="3FCFE8C0"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0</w:t>
            </w:r>
          </w:p>
        </w:tc>
        <w:tc>
          <w:tcPr>
            <w:tcW w:w="1320" w:type="dxa"/>
            <w:vAlign w:val="center"/>
          </w:tcPr>
          <w:p w14:paraId="2620EC03"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28</w:t>
            </w:r>
          </w:p>
        </w:tc>
        <w:tc>
          <w:tcPr>
            <w:tcW w:w="1321" w:type="dxa"/>
            <w:vAlign w:val="center"/>
          </w:tcPr>
          <w:p w14:paraId="580AF5E5"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24</w:t>
            </w:r>
          </w:p>
        </w:tc>
        <w:tc>
          <w:tcPr>
            <w:tcW w:w="1321" w:type="dxa"/>
            <w:vAlign w:val="center"/>
          </w:tcPr>
          <w:p w14:paraId="378844FB"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4</w:t>
            </w:r>
          </w:p>
        </w:tc>
      </w:tr>
      <w:tr w:rsidR="00FA78B1" w:rsidRPr="003551DF" w14:paraId="3DEA3510" w14:textId="77777777" w:rsidTr="00172F56">
        <w:tc>
          <w:tcPr>
            <w:tcW w:w="1705" w:type="dxa"/>
            <w:vAlign w:val="center"/>
          </w:tcPr>
          <w:p w14:paraId="6BD0C4BE" w14:textId="77777777" w:rsidR="00FA78B1" w:rsidRPr="008D4A27" w:rsidRDefault="00FA78B1" w:rsidP="00172F56">
            <w:pPr>
              <w:pStyle w:val="BodyText"/>
              <w:keepNext/>
              <w:tabs>
                <w:tab w:val="left" w:pos="720"/>
              </w:tabs>
              <w:spacing w:after="0" w:line="300" w:lineRule="auto"/>
              <w:rPr>
                <w:rFonts w:cs="Arial"/>
                <w:color w:val="000000"/>
              </w:rPr>
            </w:pPr>
            <w:r w:rsidRPr="008D4A27">
              <w:rPr>
                <w:rFonts w:cs="Arial"/>
                <w:color w:val="000000"/>
              </w:rPr>
              <w:t>TOTAL</w:t>
            </w:r>
          </w:p>
        </w:tc>
        <w:tc>
          <w:tcPr>
            <w:tcW w:w="1319" w:type="dxa"/>
            <w:vAlign w:val="center"/>
          </w:tcPr>
          <w:p w14:paraId="4318AB48"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232</w:t>
            </w:r>
          </w:p>
        </w:tc>
        <w:tc>
          <w:tcPr>
            <w:tcW w:w="1321" w:type="dxa"/>
            <w:vAlign w:val="center"/>
          </w:tcPr>
          <w:p w14:paraId="246FB61C"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782</w:t>
            </w:r>
          </w:p>
        </w:tc>
        <w:tc>
          <w:tcPr>
            <w:tcW w:w="1321" w:type="dxa"/>
            <w:vAlign w:val="center"/>
          </w:tcPr>
          <w:p w14:paraId="6CAA188D"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857</w:t>
            </w:r>
          </w:p>
        </w:tc>
        <w:tc>
          <w:tcPr>
            <w:tcW w:w="1320" w:type="dxa"/>
            <w:vAlign w:val="center"/>
          </w:tcPr>
          <w:p w14:paraId="547CC4E5"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1,871</w:t>
            </w:r>
          </w:p>
        </w:tc>
        <w:tc>
          <w:tcPr>
            <w:tcW w:w="1321" w:type="dxa"/>
            <w:vAlign w:val="center"/>
          </w:tcPr>
          <w:p w14:paraId="519A5FC7"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997</w:t>
            </w:r>
          </w:p>
        </w:tc>
        <w:tc>
          <w:tcPr>
            <w:tcW w:w="1321" w:type="dxa"/>
            <w:vAlign w:val="center"/>
          </w:tcPr>
          <w:p w14:paraId="2A594649" w14:textId="77777777" w:rsidR="00FA78B1" w:rsidRPr="003551DF" w:rsidRDefault="00FA78B1" w:rsidP="00172F56">
            <w:pPr>
              <w:pStyle w:val="BodyText"/>
              <w:keepNext/>
              <w:tabs>
                <w:tab w:val="left" w:pos="720"/>
              </w:tabs>
              <w:spacing w:after="0" w:line="300" w:lineRule="auto"/>
              <w:jc w:val="center"/>
              <w:rPr>
                <w:rFonts w:cs="Arial"/>
                <w:color w:val="000000"/>
              </w:rPr>
            </w:pPr>
            <w:r w:rsidRPr="00A04623">
              <w:rPr>
                <w:rFonts w:cs="Arial"/>
                <w:color w:val="000000"/>
              </w:rPr>
              <w:t>874</w:t>
            </w:r>
          </w:p>
        </w:tc>
      </w:tr>
    </w:tbl>
    <w:p w14:paraId="1C20D6AB" w14:textId="77777777" w:rsidR="00FA78B1" w:rsidRPr="00251085" w:rsidRDefault="00FA78B1" w:rsidP="00FA78B1">
      <w:pPr>
        <w:spacing w:line="300" w:lineRule="auto"/>
        <w:jc w:val="center"/>
        <w:rPr>
          <w:rFonts w:ascii="Arial" w:hAnsi="Arial" w:cs="Arial"/>
          <w:sz w:val="20"/>
          <w:szCs w:val="20"/>
          <w:lang w:eastAsia="ja-JP"/>
        </w:rPr>
      </w:pPr>
      <w:r w:rsidRPr="00251085">
        <w:rPr>
          <w:rFonts w:ascii="Arial" w:hAnsi="Arial" w:cs="Arial"/>
          <w:sz w:val="20"/>
          <w:szCs w:val="20"/>
          <w:lang w:eastAsia="ja-JP"/>
        </w:rPr>
        <w:t>Source: Derived from a range of sources, including household survey</w:t>
      </w:r>
    </w:p>
    <w:p w14:paraId="34806C45" w14:textId="58BD3656" w:rsidR="00620FE9" w:rsidRDefault="00620FE9" w:rsidP="00172F56">
      <w:pPr>
        <w:spacing w:line="300" w:lineRule="auto"/>
        <w:jc w:val="both"/>
        <w:rPr>
          <w:rFonts w:ascii="Arial" w:hAnsi="Arial" w:cs="Arial"/>
          <w:sz w:val="20"/>
          <w:szCs w:val="20"/>
          <w:lang w:eastAsia="ja-JP"/>
        </w:rPr>
      </w:pPr>
    </w:p>
    <w:p w14:paraId="49C2E845" w14:textId="65BF0C6D" w:rsidR="00B139D2" w:rsidRPr="00251085" w:rsidRDefault="00B139D2">
      <w:pPr>
        <w:pStyle w:val="Bodytextwithindent"/>
        <w:numPr>
          <w:ilvl w:val="0"/>
          <w:numId w:val="26"/>
        </w:numPr>
        <w:spacing w:before="0" w:after="0" w:line="300" w:lineRule="auto"/>
        <w:ind w:hanging="720"/>
        <w:rPr>
          <w:spacing w:val="0"/>
        </w:rPr>
      </w:pPr>
      <w:r w:rsidRPr="4EBF7615">
        <w:rPr>
          <w:spacing w:val="0"/>
        </w:rPr>
        <w:t>Analysis suggest</w:t>
      </w:r>
      <w:r w:rsidR="00AA4421">
        <w:rPr>
          <w:spacing w:val="0"/>
        </w:rPr>
        <w:t>s</w:t>
      </w:r>
      <w:r w:rsidRPr="4EBF7615">
        <w:rPr>
          <w:spacing w:val="0"/>
        </w:rPr>
        <w:t xml:space="preserve"> that there are many households in Fylde who are being excluded from the owner-occupied sector (as evidenced by </w:t>
      </w:r>
      <w:r w:rsidR="00535602">
        <w:rPr>
          <w:spacing w:val="0"/>
        </w:rPr>
        <w:t xml:space="preserve">a reduction in the number </w:t>
      </w:r>
      <w:r w:rsidR="00E32715">
        <w:rPr>
          <w:spacing w:val="0"/>
        </w:rPr>
        <w:t xml:space="preserve">of households who own with a mortgage </w:t>
      </w:r>
      <w:r w:rsidRPr="4EBF7615">
        <w:rPr>
          <w:spacing w:val="0"/>
        </w:rPr>
        <w:t xml:space="preserve">and </w:t>
      </w:r>
      <w:r w:rsidR="00E32715">
        <w:rPr>
          <w:spacing w:val="0"/>
        </w:rPr>
        <w:t xml:space="preserve">an </w:t>
      </w:r>
      <w:r w:rsidRPr="4EBF7615">
        <w:rPr>
          <w:spacing w:val="0"/>
        </w:rPr>
        <w:t>increase in the size of the private rented sector). This suggests that a key issue in the Borough is about access to capital (e.g. for deposits, stamp duty, legal costs) as well as potential</w:t>
      </w:r>
      <w:r w:rsidR="00E32715">
        <w:rPr>
          <w:spacing w:val="0"/>
        </w:rPr>
        <w:t xml:space="preserve"> difficulties in accessing mortgages</w:t>
      </w:r>
      <w:r w:rsidRPr="4EBF7615">
        <w:rPr>
          <w:spacing w:val="0"/>
        </w:rPr>
        <w:t xml:space="preserve"> (e.g. where employment is temporary) rather than simply the cost of housing to buy.</w:t>
      </w:r>
    </w:p>
    <w:p w14:paraId="55558B90" w14:textId="77777777" w:rsidR="00B139D2" w:rsidRPr="00251085" w:rsidRDefault="00B139D2" w:rsidP="00172F56">
      <w:pPr>
        <w:spacing w:line="300" w:lineRule="auto"/>
        <w:jc w:val="both"/>
        <w:rPr>
          <w:rFonts w:ascii="Arial" w:hAnsi="Arial" w:cs="Arial"/>
          <w:sz w:val="20"/>
          <w:szCs w:val="20"/>
          <w:lang w:eastAsia="ja-JP"/>
        </w:rPr>
      </w:pPr>
    </w:p>
    <w:p w14:paraId="4DD7EDC0" w14:textId="6D4CA642" w:rsidR="00B139D2" w:rsidRPr="00B139D2" w:rsidRDefault="00B139D2">
      <w:pPr>
        <w:pStyle w:val="ListParagraph"/>
        <w:numPr>
          <w:ilvl w:val="0"/>
          <w:numId w:val="26"/>
        </w:numPr>
        <w:spacing w:line="300" w:lineRule="auto"/>
        <w:ind w:hanging="720"/>
        <w:jc w:val="both"/>
        <w:rPr>
          <w:rFonts w:ascii="Arial" w:hAnsi="Arial" w:cs="Arial"/>
          <w:sz w:val="20"/>
          <w:szCs w:val="20"/>
          <w:lang w:eastAsia="ja-JP"/>
        </w:rPr>
      </w:pPr>
      <w:r w:rsidRPr="5E98B394">
        <w:rPr>
          <w:rFonts w:ascii="Arial" w:hAnsi="Arial" w:cs="Arial"/>
          <w:sz w:val="20"/>
          <w:szCs w:val="20"/>
        </w:rPr>
        <w:t xml:space="preserve">The evidence does however point to a clear and acute need for rented affordable housing for lower income households rather than </w:t>
      </w:r>
      <w:r w:rsidR="00CC4676" w:rsidRPr="5E98B394">
        <w:rPr>
          <w:rFonts w:ascii="Arial" w:hAnsi="Arial" w:cs="Arial"/>
          <w:sz w:val="20"/>
          <w:szCs w:val="20"/>
        </w:rPr>
        <w:t xml:space="preserve">affordable </w:t>
      </w:r>
      <w:r w:rsidRPr="5E98B394">
        <w:rPr>
          <w:rFonts w:ascii="Arial" w:hAnsi="Arial" w:cs="Arial"/>
          <w:sz w:val="20"/>
          <w:szCs w:val="20"/>
        </w:rPr>
        <w:t xml:space="preserve">home ownership products, and it is important that a supply of rented affordable housing is maintained to meet the needs of this group including those to which the </w:t>
      </w:r>
      <w:r w:rsidR="00E32715">
        <w:rPr>
          <w:rFonts w:ascii="Arial" w:hAnsi="Arial" w:cs="Arial"/>
          <w:sz w:val="20"/>
          <w:szCs w:val="20"/>
        </w:rPr>
        <w:t>Council has</w:t>
      </w:r>
      <w:r w:rsidRPr="5E98B394">
        <w:rPr>
          <w:rFonts w:ascii="Arial" w:hAnsi="Arial" w:cs="Arial"/>
          <w:sz w:val="20"/>
          <w:szCs w:val="20"/>
        </w:rPr>
        <w:t xml:space="preserve"> a statutory housing duty. Such housing is notably cheaper than that available in the open market and can be accessed by many more households (some of whom may be supported by benefit payments).</w:t>
      </w:r>
    </w:p>
    <w:p w14:paraId="6FC8C1CD" w14:textId="77777777" w:rsidR="00B139D2" w:rsidRPr="00251085" w:rsidRDefault="00B139D2" w:rsidP="00172F56">
      <w:pPr>
        <w:spacing w:line="300" w:lineRule="auto"/>
        <w:jc w:val="both"/>
        <w:rPr>
          <w:rFonts w:ascii="Arial" w:hAnsi="Arial" w:cs="Arial"/>
          <w:sz w:val="20"/>
          <w:szCs w:val="20"/>
          <w:lang w:eastAsia="ja-JP"/>
        </w:rPr>
      </w:pPr>
    </w:p>
    <w:p w14:paraId="03BFDAA0" w14:textId="30932B10" w:rsidR="00B139D2" w:rsidRPr="00251085" w:rsidRDefault="00B139D2">
      <w:pPr>
        <w:pStyle w:val="Bodytextwithindent"/>
        <w:numPr>
          <w:ilvl w:val="0"/>
          <w:numId w:val="26"/>
        </w:numPr>
        <w:spacing w:before="0" w:after="0" w:line="300" w:lineRule="auto"/>
        <w:ind w:hanging="720"/>
      </w:pPr>
      <w:r w:rsidRPr="4EBF7615">
        <w:rPr>
          <w:spacing w:val="0"/>
        </w:rPr>
        <w:t>Overall, the analysis identifies a notable need for affordable housing, and it is clear that provision of new affordable housing is an important and pressing issue in the Borough. It does however need to be stressed that this report does not provide an affordable housing target; the amount of affordable housing delivered will be limited to the amount that can viably be provided. The evidence does however suggest that affordable housing delivery should be maximised where opportunities arise.</w:t>
      </w:r>
    </w:p>
    <w:p w14:paraId="7232D70E" w14:textId="62D3EF8A" w:rsidR="00B139D2" w:rsidRDefault="00B139D2">
      <w:pPr>
        <w:spacing w:line="300" w:lineRule="auto"/>
        <w:jc w:val="both"/>
        <w:rPr>
          <w:rFonts w:ascii="Arial" w:hAnsi="Arial" w:cs="Arial"/>
          <w:sz w:val="20"/>
          <w:szCs w:val="20"/>
        </w:rPr>
      </w:pPr>
    </w:p>
    <w:p w14:paraId="77996323" w14:textId="6417D619" w:rsidR="00177D13" w:rsidRDefault="00177D13">
      <w:pPr>
        <w:spacing w:line="300" w:lineRule="auto"/>
        <w:jc w:val="both"/>
        <w:rPr>
          <w:rFonts w:ascii="Arial" w:hAnsi="Arial" w:cs="Arial"/>
          <w:sz w:val="20"/>
          <w:szCs w:val="20"/>
        </w:rPr>
      </w:pPr>
    </w:p>
    <w:p w14:paraId="017D77D2" w14:textId="0731AF8C" w:rsidR="00177D13" w:rsidRDefault="00177D13">
      <w:pPr>
        <w:spacing w:line="300" w:lineRule="auto"/>
        <w:jc w:val="both"/>
        <w:rPr>
          <w:rFonts w:ascii="Arial" w:hAnsi="Arial" w:cs="Arial"/>
          <w:sz w:val="20"/>
          <w:szCs w:val="20"/>
        </w:rPr>
      </w:pPr>
    </w:p>
    <w:p w14:paraId="18284E3A" w14:textId="2BDE5096" w:rsidR="00177D13" w:rsidRDefault="00177D13">
      <w:pPr>
        <w:spacing w:line="300" w:lineRule="auto"/>
        <w:jc w:val="both"/>
        <w:rPr>
          <w:rFonts w:ascii="Arial" w:hAnsi="Arial" w:cs="Arial"/>
          <w:sz w:val="20"/>
          <w:szCs w:val="20"/>
        </w:rPr>
      </w:pPr>
    </w:p>
    <w:p w14:paraId="0AC65DBE" w14:textId="658C737D" w:rsidR="00177D13" w:rsidRDefault="00177D13">
      <w:pPr>
        <w:spacing w:line="300" w:lineRule="auto"/>
        <w:jc w:val="both"/>
        <w:rPr>
          <w:rFonts w:ascii="Arial" w:hAnsi="Arial" w:cs="Arial"/>
          <w:sz w:val="20"/>
          <w:szCs w:val="20"/>
        </w:rPr>
      </w:pPr>
    </w:p>
    <w:p w14:paraId="58376DE5" w14:textId="77777777" w:rsidR="00177D13" w:rsidRPr="00251085" w:rsidRDefault="00177D13" w:rsidP="00172F56">
      <w:pPr>
        <w:spacing w:line="300" w:lineRule="auto"/>
        <w:jc w:val="both"/>
        <w:rPr>
          <w:rFonts w:ascii="Arial" w:hAnsi="Arial" w:cs="Arial"/>
          <w:sz w:val="20"/>
          <w:szCs w:val="20"/>
        </w:rPr>
      </w:pPr>
    </w:p>
    <w:p w14:paraId="2371375D" w14:textId="77777777" w:rsidR="00B139D2" w:rsidRPr="00B139D2" w:rsidRDefault="00B139D2" w:rsidP="00172F56">
      <w:pPr>
        <w:spacing w:line="300" w:lineRule="auto"/>
        <w:jc w:val="both"/>
        <w:rPr>
          <w:rFonts w:ascii="Arial" w:hAnsi="Arial" w:cs="Arial"/>
          <w:b/>
          <w:bCs/>
        </w:rPr>
      </w:pPr>
      <w:r w:rsidRPr="00B139D2">
        <w:rPr>
          <w:rFonts w:ascii="Arial" w:hAnsi="Arial" w:cs="Arial"/>
          <w:b/>
          <w:bCs/>
        </w:rPr>
        <w:t>Types of Affordable Housing</w:t>
      </w:r>
    </w:p>
    <w:p w14:paraId="4965A741" w14:textId="77777777" w:rsidR="00B139D2" w:rsidRPr="00251085" w:rsidRDefault="00B139D2" w:rsidP="00172F56">
      <w:pPr>
        <w:spacing w:line="300" w:lineRule="auto"/>
        <w:jc w:val="both"/>
        <w:rPr>
          <w:rFonts w:ascii="Arial" w:hAnsi="Arial" w:cs="Arial"/>
          <w:sz w:val="20"/>
          <w:szCs w:val="20"/>
        </w:rPr>
      </w:pPr>
    </w:p>
    <w:p w14:paraId="5BCE327E" w14:textId="62A0BEF5" w:rsidR="00B139D2" w:rsidRP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The previous section has estimated the need for affordable housing split into two broad categories (rented affordable housing and affordable home ownership). This section looks at these tenures in more detail, considering specific products within each of those two categories. The main focus is on the pricing of different types of housing.</w:t>
      </w:r>
    </w:p>
    <w:p w14:paraId="1073E95D" w14:textId="77777777" w:rsidR="00B139D2" w:rsidRPr="00251085" w:rsidRDefault="00B139D2" w:rsidP="00172F56">
      <w:pPr>
        <w:spacing w:line="300" w:lineRule="auto"/>
        <w:jc w:val="both"/>
        <w:rPr>
          <w:rFonts w:ascii="Arial" w:hAnsi="Arial" w:cs="Arial"/>
          <w:sz w:val="20"/>
          <w:szCs w:val="20"/>
        </w:rPr>
      </w:pPr>
    </w:p>
    <w:p w14:paraId="49CC433E" w14:textId="18E7CCAC" w:rsidR="00B139D2" w:rsidRP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Analysis was carried out to look at housing costs for rented products (social and affordable rents). It is notable that current social rents are significantly cheaper than affordable</w:t>
      </w:r>
      <w:r w:rsidR="00B92319" w:rsidRPr="5E98B394">
        <w:rPr>
          <w:rFonts w:ascii="Arial" w:hAnsi="Arial" w:cs="Arial"/>
          <w:sz w:val="20"/>
          <w:szCs w:val="20"/>
        </w:rPr>
        <w:t xml:space="preserve"> rent</w:t>
      </w:r>
      <w:r w:rsidR="009724C6" w:rsidRPr="5E98B394">
        <w:rPr>
          <w:rFonts w:ascii="Arial" w:hAnsi="Arial" w:cs="Arial"/>
          <w:sz w:val="20"/>
          <w:szCs w:val="20"/>
        </w:rPr>
        <w:t>s</w:t>
      </w:r>
      <w:r w:rsidRPr="5E98B394">
        <w:rPr>
          <w:rFonts w:ascii="Arial" w:hAnsi="Arial" w:cs="Arial"/>
          <w:sz w:val="20"/>
          <w:szCs w:val="20"/>
        </w:rPr>
        <w:t xml:space="preserve"> or market rents. Focussing on 2-bedroom homes, a social rent is about 70% the cost of a lower quartile market rent, whereas  affordable rents are at 90% of lower quartile market rents).</w:t>
      </w:r>
      <w:r w:rsidR="00973C9F">
        <w:rPr>
          <w:rFonts w:ascii="Arial" w:hAnsi="Arial" w:cs="Arial"/>
          <w:sz w:val="20"/>
          <w:szCs w:val="20"/>
        </w:rPr>
        <w:t xml:space="preserve"> Local Housing Allowance (LHA) rates are generally similar to affordable rents, but it is notable that LHA rates are generally lower than market rents (both lower quartile and median) – this means </w:t>
      </w:r>
      <w:r w:rsidR="00973C9F" w:rsidRPr="007D6369">
        <w:rPr>
          <w:rFonts w:ascii="Arial" w:hAnsi="Arial" w:cs="Arial"/>
          <w:sz w:val="20"/>
          <w:szCs w:val="20"/>
        </w:rPr>
        <w:t>households seeking accommodation in some locations (notably those areas with higher rents) may struggle to secure sufficient benefits to cover their rent</w:t>
      </w:r>
      <w:r w:rsidR="00973C9F">
        <w:rPr>
          <w:rFonts w:ascii="Arial" w:hAnsi="Arial" w:cs="Arial"/>
          <w:sz w:val="20"/>
          <w:szCs w:val="20"/>
        </w:rPr>
        <w:t>.</w:t>
      </w:r>
    </w:p>
    <w:p w14:paraId="3C3C6CAD" w14:textId="77777777" w:rsidR="00B139D2" w:rsidRPr="00251085" w:rsidRDefault="00B139D2" w:rsidP="00172F56">
      <w:pPr>
        <w:spacing w:line="300" w:lineRule="auto"/>
        <w:jc w:val="both"/>
        <w:rPr>
          <w:rFonts w:ascii="Arial" w:hAnsi="Arial" w:cs="Arial"/>
          <w:sz w:val="20"/>
          <w:szCs w:val="20"/>
        </w:rPr>
      </w:pPr>
    </w:p>
    <w:p w14:paraId="752209CD" w14:textId="38C0DC33" w:rsidR="00B139D2" w:rsidRP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On the basis of current market and affordable rents, only around 18% of households in need could afford an affordable rent (without claiming benefits or spending more than 30% of their income on housing)</w:t>
      </w:r>
      <w:r w:rsidR="00973C9F">
        <w:rPr>
          <w:rFonts w:ascii="Arial" w:hAnsi="Arial" w:cs="Arial"/>
          <w:sz w:val="20"/>
          <w:szCs w:val="20"/>
        </w:rPr>
        <w:t xml:space="preserve">. Therefore, </w:t>
      </w:r>
      <w:r w:rsidRPr="5E98B394">
        <w:rPr>
          <w:rFonts w:ascii="Arial" w:hAnsi="Arial" w:cs="Arial"/>
          <w:sz w:val="20"/>
          <w:szCs w:val="20"/>
        </w:rPr>
        <w:t>it is considered the Council should prioritise the provision of social rents where possible</w:t>
      </w:r>
      <w:r w:rsidR="004D0D9B" w:rsidRPr="5E98B394">
        <w:rPr>
          <w:rFonts w:ascii="Arial" w:hAnsi="Arial" w:cs="Arial"/>
          <w:sz w:val="20"/>
          <w:szCs w:val="20"/>
        </w:rPr>
        <w:t>:</w:t>
      </w:r>
      <w:r w:rsidRPr="5E98B394">
        <w:rPr>
          <w:rFonts w:ascii="Arial" w:hAnsi="Arial" w:cs="Arial"/>
          <w:sz w:val="20"/>
          <w:szCs w:val="20"/>
        </w:rPr>
        <w:t xml:space="preserve"> such rents will be the cheapest available and will therefore be accessible to a greater number of households. However, it will be important that seeking social rent</w:t>
      </w:r>
      <w:r w:rsidR="00973C9F">
        <w:rPr>
          <w:rFonts w:ascii="Arial" w:hAnsi="Arial" w:cs="Arial"/>
          <w:sz w:val="20"/>
          <w:szCs w:val="20"/>
        </w:rPr>
        <w:t>ed provision</w:t>
      </w:r>
      <w:r w:rsidRPr="5E98B394">
        <w:rPr>
          <w:rFonts w:ascii="Arial" w:hAnsi="Arial" w:cs="Arial"/>
          <w:sz w:val="20"/>
          <w:szCs w:val="20"/>
        </w:rPr>
        <w:t xml:space="preserve"> does not prejudice the overall delivery of rented affordable housing, and affordable rents should be allowed where these can help delivery of on-site provision – it will however be important to ensure that affordable rents are truly affordable in a local context.</w:t>
      </w:r>
    </w:p>
    <w:p w14:paraId="35DEFF53" w14:textId="77777777" w:rsidR="00B139D2" w:rsidRPr="00251085" w:rsidRDefault="00B139D2" w:rsidP="00172F56">
      <w:pPr>
        <w:spacing w:line="300" w:lineRule="auto"/>
        <w:jc w:val="both"/>
        <w:rPr>
          <w:rFonts w:ascii="Arial" w:hAnsi="Arial" w:cs="Arial"/>
          <w:sz w:val="20"/>
          <w:szCs w:val="20"/>
        </w:rPr>
      </w:pPr>
    </w:p>
    <w:p w14:paraId="46F5E4C0" w14:textId="2678DC90" w:rsidR="00B139D2" w:rsidRP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Analysis has been carried out to look at the affordability of Affordable Home Ownership (AHO). This includes Discounted Market Sales Housing (which will include First Homes)</w:t>
      </w:r>
      <w:r w:rsidR="00973C9F">
        <w:rPr>
          <w:rFonts w:ascii="Arial" w:hAnsi="Arial" w:cs="Arial"/>
          <w:sz w:val="20"/>
          <w:szCs w:val="20"/>
        </w:rPr>
        <w:t>,</w:t>
      </w:r>
      <w:r w:rsidRPr="5E98B394">
        <w:rPr>
          <w:rFonts w:ascii="Arial" w:hAnsi="Arial" w:cs="Arial"/>
          <w:sz w:val="20"/>
          <w:szCs w:val="20"/>
        </w:rPr>
        <w:t xml:space="preserve"> shared ownership </w:t>
      </w:r>
      <w:r w:rsidR="00973C9F">
        <w:rPr>
          <w:rFonts w:ascii="Arial" w:hAnsi="Arial" w:cs="Arial"/>
          <w:sz w:val="20"/>
          <w:szCs w:val="20"/>
        </w:rPr>
        <w:t xml:space="preserve">and Rent-to-Buy housing - </w:t>
      </w:r>
      <w:r w:rsidRPr="5E98B394">
        <w:rPr>
          <w:rFonts w:ascii="Arial" w:hAnsi="Arial" w:cs="Arial"/>
          <w:sz w:val="20"/>
          <w:szCs w:val="20"/>
        </w:rPr>
        <w:t>these are likely to be the main tenures of AHO moving forward.</w:t>
      </w:r>
    </w:p>
    <w:p w14:paraId="62556C2B" w14:textId="77777777" w:rsidR="00B139D2" w:rsidRPr="00251085" w:rsidRDefault="00B139D2" w:rsidP="00172F56">
      <w:pPr>
        <w:spacing w:line="300" w:lineRule="auto"/>
        <w:jc w:val="both"/>
        <w:rPr>
          <w:rFonts w:ascii="Arial" w:hAnsi="Arial" w:cs="Arial"/>
          <w:sz w:val="20"/>
          <w:szCs w:val="20"/>
        </w:rPr>
      </w:pPr>
    </w:p>
    <w:p w14:paraId="0223A656" w14:textId="4FA0D7CB" w:rsidR="00B139D2" w:rsidRP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Given current housing costs in the Borough</w:t>
      </w:r>
      <w:r w:rsidR="000F41C6" w:rsidRPr="5E98B394">
        <w:rPr>
          <w:rFonts w:ascii="Arial" w:hAnsi="Arial" w:cs="Arial"/>
          <w:sz w:val="20"/>
          <w:szCs w:val="20"/>
        </w:rPr>
        <w:t>,</w:t>
      </w:r>
      <w:r w:rsidRPr="5E98B394">
        <w:rPr>
          <w:rFonts w:ascii="Arial" w:hAnsi="Arial" w:cs="Arial"/>
          <w:sz w:val="20"/>
          <w:szCs w:val="20"/>
        </w:rPr>
        <w:t xml:space="preserve"> it is suggested </w:t>
      </w:r>
      <w:r w:rsidR="000F41C6" w:rsidRPr="5E98B394">
        <w:rPr>
          <w:rFonts w:ascii="Arial" w:hAnsi="Arial" w:cs="Arial"/>
          <w:sz w:val="20"/>
          <w:szCs w:val="20"/>
        </w:rPr>
        <w:t xml:space="preserve">that </w:t>
      </w:r>
      <w:r w:rsidRPr="5E98B394">
        <w:rPr>
          <w:rFonts w:ascii="Arial" w:hAnsi="Arial" w:cs="Arial"/>
          <w:sz w:val="20"/>
          <w:szCs w:val="20"/>
        </w:rPr>
        <w:t>to make 2-bedroom homes affordable</w:t>
      </w:r>
      <w:r w:rsidR="007B12F4" w:rsidRPr="5E98B394">
        <w:rPr>
          <w:rFonts w:ascii="Arial" w:hAnsi="Arial" w:cs="Arial"/>
          <w:sz w:val="20"/>
          <w:szCs w:val="20"/>
        </w:rPr>
        <w:t>,</w:t>
      </w:r>
      <w:r w:rsidRPr="5E98B394">
        <w:rPr>
          <w:rFonts w:ascii="Arial" w:hAnsi="Arial" w:cs="Arial"/>
          <w:sz w:val="20"/>
          <w:szCs w:val="20"/>
        </w:rPr>
        <w:t xml:space="preserve"> a discount of up to around 30% would be required; for 3-bedroom homes</w:t>
      </w:r>
      <w:r w:rsidR="007B12F4" w:rsidRPr="5E98B394">
        <w:rPr>
          <w:rFonts w:ascii="Arial" w:hAnsi="Arial" w:cs="Arial"/>
          <w:sz w:val="20"/>
          <w:szCs w:val="20"/>
        </w:rPr>
        <w:t>,</w:t>
      </w:r>
      <w:r w:rsidRPr="5E98B394">
        <w:rPr>
          <w:rFonts w:ascii="Arial" w:hAnsi="Arial" w:cs="Arial"/>
          <w:sz w:val="20"/>
          <w:szCs w:val="20"/>
        </w:rPr>
        <w:t xml:space="preserve"> a discount up to 40% would be needed. The Council could investigate a higher than 30% discount for First Homes (maybe 40%), however as this might impact viability a higher figure should only be considered if this would not prejudice the provision of other forms of affordable housing (notably rented accommodation).</w:t>
      </w:r>
    </w:p>
    <w:p w14:paraId="2CB0D642" w14:textId="77777777" w:rsidR="00B139D2" w:rsidRPr="00251085" w:rsidRDefault="00B139D2" w:rsidP="00172F56">
      <w:pPr>
        <w:spacing w:line="300" w:lineRule="auto"/>
        <w:jc w:val="both"/>
        <w:rPr>
          <w:rFonts w:ascii="Arial" w:hAnsi="Arial" w:cs="Arial"/>
          <w:sz w:val="20"/>
          <w:szCs w:val="20"/>
        </w:rPr>
      </w:pPr>
    </w:p>
    <w:p w14:paraId="1718717B" w14:textId="05B243FA" w:rsidR="00B139D2" w:rsidRP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 xml:space="preserve">Survey data about households’ financial situation also highlights the potential difficulty for many in accessing even discounted homes; for the group of households identified by the survey as being able to privately rent but not buy a home, some 33% can afford no more than £80,000 (which is about half the lower quartile prices of existing homes). The main reason for low values </w:t>
      </w:r>
      <w:r w:rsidR="00613D7C">
        <w:rPr>
          <w:rFonts w:ascii="Arial" w:hAnsi="Arial" w:cs="Arial"/>
          <w:sz w:val="20"/>
          <w:szCs w:val="20"/>
        </w:rPr>
        <w:t xml:space="preserve">that can be </w:t>
      </w:r>
      <w:r w:rsidRPr="5E98B394">
        <w:rPr>
          <w:rFonts w:ascii="Arial" w:hAnsi="Arial" w:cs="Arial"/>
          <w:sz w:val="20"/>
          <w:szCs w:val="20"/>
        </w:rPr>
        <w:t xml:space="preserve">afforded </w:t>
      </w:r>
      <w:r w:rsidR="00613D7C">
        <w:rPr>
          <w:rFonts w:ascii="Arial" w:hAnsi="Arial" w:cs="Arial"/>
          <w:sz w:val="20"/>
          <w:szCs w:val="20"/>
        </w:rPr>
        <w:t>tends</w:t>
      </w:r>
      <w:r w:rsidR="00613D7C" w:rsidRPr="5E98B394">
        <w:rPr>
          <w:rFonts w:ascii="Arial" w:hAnsi="Arial" w:cs="Arial"/>
          <w:sz w:val="20"/>
          <w:szCs w:val="20"/>
        </w:rPr>
        <w:t xml:space="preserve"> </w:t>
      </w:r>
      <w:r w:rsidRPr="5E98B394">
        <w:rPr>
          <w:rFonts w:ascii="Arial" w:hAnsi="Arial" w:cs="Arial"/>
          <w:sz w:val="20"/>
          <w:szCs w:val="20"/>
        </w:rPr>
        <w:t>to be driven by levels of debt rather than income being the main barrier. Such households are unlikely to be able to raise a large deposit and may be suited to other forms of affordable home ownership, notably shared ownership</w:t>
      </w:r>
      <w:r w:rsidR="00AA4421">
        <w:rPr>
          <w:rFonts w:ascii="Arial" w:hAnsi="Arial" w:cs="Arial"/>
          <w:sz w:val="20"/>
          <w:szCs w:val="20"/>
        </w:rPr>
        <w:t xml:space="preserve"> and rent to buy</w:t>
      </w:r>
      <w:r w:rsidRPr="5E98B394">
        <w:rPr>
          <w:rFonts w:ascii="Arial" w:hAnsi="Arial" w:cs="Arial"/>
          <w:sz w:val="20"/>
          <w:szCs w:val="20"/>
        </w:rPr>
        <w:t>.</w:t>
      </w:r>
    </w:p>
    <w:p w14:paraId="1FC63B73" w14:textId="77777777" w:rsidR="00B139D2" w:rsidRPr="00251085" w:rsidRDefault="00B139D2" w:rsidP="00172F56">
      <w:pPr>
        <w:spacing w:line="300" w:lineRule="auto"/>
        <w:jc w:val="both"/>
        <w:rPr>
          <w:rFonts w:ascii="Arial" w:hAnsi="Arial" w:cs="Arial"/>
          <w:sz w:val="20"/>
          <w:szCs w:val="20"/>
        </w:rPr>
      </w:pPr>
    </w:p>
    <w:tbl>
      <w:tblPr>
        <w:tblStyle w:val="TableTheme"/>
        <w:tblW w:w="8199" w:type="dxa"/>
        <w:jc w:val="center"/>
        <w:tblLook w:val="04A0" w:firstRow="1" w:lastRow="0" w:firstColumn="1" w:lastColumn="0" w:noHBand="0" w:noVBand="1"/>
      </w:tblPr>
      <w:tblGrid>
        <w:gridCol w:w="8199"/>
      </w:tblGrid>
      <w:tr w:rsidR="00B139D2" w:rsidRPr="00251085" w14:paraId="3AF3AF22" w14:textId="77777777" w:rsidTr="008469E3">
        <w:trPr>
          <w:jc w:val="center"/>
        </w:trPr>
        <w:tc>
          <w:tcPr>
            <w:tcW w:w="9628" w:type="dxa"/>
          </w:tcPr>
          <w:p w14:paraId="12E3745C" w14:textId="4DEDB06A" w:rsidR="00B139D2" w:rsidRPr="00251085" w:rsidRDefault="00B139D2" w:rsidP="00613D7C">
            <w:pPr>
              <w:pStyle w:val="11Bodytext"/>
              <w:keepNext/>
              <w:numPr>
                <w:ilvl w:val="0"/>
                <w:numId w:val="0"/>
              </w:numPr>
              <w:tabs>
                <w:tab w:val="num" w:pos="0"/>
              </w:tabs>
              <w:spacing w:before="60" w:after="60" w:line="300" w:lineRule="auto"/>
              <w:jc w:val="center"/>
              <w:rPr>
                <w:b/>
                <w:bCs w:val="0"/>
              </w:rPr>
            </w:pPr>
            <w:r w:rsidRPr="00251085">
              <w:rPr>
                <w:b/>
                <w:bCs w:val="0"/>
              </w:rPr>
              <w:t>Figure 4: House price affordable to those able to rent but not buy</w:t>
            </w:r>
          </w:p>
        </w:tc>
      </w:tr>
      <w:tr w:rsidR="00B139D2" w:rsidRPr="00251085" w14:paraId="5EC446AF" w14:textId="77777777" w:rsidTr="008469E3">
        <w:trPr>
          <w:jc w:val="center"/>
        </w:trPr>
        <w:tc>
          <w:tcPr>
            <w:tcW w:w="9628" w:type="dxa"/>
          </w:tcPr>
          <w:p w14:paraId="319290A8" w14:textId="77777777" w:rsidR="00B139D2" w:rsidRPr="00251085" w:rsidRDefault="00B139D2" w:rsidP="00172F56">
            <w:pPr>
              <w:pStyle w:val="11Bodytext"/>
              <w:keepNext/>
              <w:numPr>
                <w:ilvl w:val="0"/>
                <w:numId w:val="0"/>
              </w:numPr>
              <w:tabs>
                <w:tab w:val="num" w:pos="0"/>
              </w:tabs>
              <w:spacing w:before="0" w:after="0" w:line="300" w:lineRule="auto"/>
            </w:pPr>
            <w:r w:rsidRPr="00251085">
              <w:rPr>
                <w:noProof/>
              </w:rPr>
              <w:drawing>
                <wp:inline distT="0" distB="0" distL="0" distR="0" wp14:anchorId="6059D51A" wp14:editId="71513842">
                  <wp:extent cx="5040000" cy="2880000"/>
                  <wp:effectExtent l="0" t="0" r="8255" b="1587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2AD8969F" w14:textId="77777777" w:rsidR="00B139D2" w:rsidRPr="00251085" w:rsidRDefault="00B139D2" w:rsidP="00613D7C">
      <w:pPr>
        <w:pStyle w:val="11Bodytext"/>
        <w:numPr>
          <w:ilvl w:val="0"/>
          <w:numId w:val="0"/>
        </w:numPr>
        <w:tabs>
          <w:tab w:val="num" w:pos="0"/>
        </w:tabs>
        <w:spacing w:before="0" w:after="0" w:line="300" w:lineRule="auto"/>
        <w:jc w:val="center"/>
      </w:pPr>
      <w:r w:rsidRPr="00251085">
        <w:t>Source: Household survey</w:t>
      </w:r>
    </w:p>
    <w:p w14:paraId="52170C94" w14:textId="77777777" w:rsidR="00B139D2" w:rsidRPr="00251085" w:rsidRDefault="00B139D2" w:rsidP="00172F56">
      <w:pPr>
        <w:spacing w:line="300" w:lineRule="auto"/>
        <w:jc w:val="both"/>
        <w:rPr>
          <w:rFonts w:ascii="Arial" w:hAnsi="Arial" w:cs="Arial"/>
          <w:sz w:val="20"/>
          <w:szCs w:val="20"/>
        </w:rPr>
      </w:pPr>
    </w:p>
    <w:p w14:paraId="594A7A28" w14:textId="001AB0DD" w:rsid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 xml:space="preserve">Regarding shared ownership, the analysis suggests that equity shares of less than 50% will be needed to make this tenure affordable (for 2- and 3-bedroom homes). It also looks difficult to make larger (4+-bedroom) homes affordable in a local context. The Council should therefore investigate the viability of providing shared ownership with lower equity shares, but again it is noted that this would potentially mean </w:t>
      </w:r>
      <w:r w:rsidR="00613D7C">
        <w:rPr>
          <w:rFonts w:ascii="Arial" w:hAnsi="Arial" w:cs="Arial"/>
          <w:sz w:val="20"/>
          <w:szCs w:val="20"/>
        </w:rPr>
        <w:t>Registered</w:t>
      </w:r>
      <w:r w:rsidRPr="5E98B394">
        <w:rPr>
          <w:rFonts w:ascii="Arial" w:hAnsi="Arial" w:cs="Arial"/>
          <w:sz w:val="20"/>
          <w:szCs w:val="20"/>
        </w:rPr>
        <w:t xml:space="preserve"> Providers are less able to cross-subsidise other forms of (rented) affordable housing. It is  recommended that the provision of rented products is not jeopardised where viability is an issue.</w:t>
      </w:r>
    </w:p>
    <w:p w14:paraId="6D758F4F" w14:textId="77777777" w:rsidR="00973C9F" w:rsidRPr="00172F56" w:rsidRDefault="00973C9F" w:rsidP="00172F56">
      <w:pPr>
        <w:spacing w:line="300" w:lineRule="auto"/>
        <w:jc w:val="both"/>
        <w:rPr>
          <w:rFonts w:ascii="Arial" w:hAnsi="Arial" w:cs="Arial"/>
          <w:sz w:val="20"/>
          <w:szCs w:val="20"/>
        </w:rPr>
      </w:pPr>
    </w:p>
    <w:p w14:paraId="5F6385ED" w14:textId="5F9C9451" w:rsidR="00613D7C" w:rsidRPr="00613D7C" w:rsidRDefault="00973C9F">
      <w:pPr>
        <w:pStyle w:val="ListParagraph"/>
        <w:numPr>
          <w:ilvl w:val="0"/>
          <w:numId w:val="26"/>
        </w:numPr>
        <w:spacing w:line="300" w:lineRule="auto"/>
        <w:ind w:hanging="720"/>
        <w:jc w:val="both"/>
        <w:rPr>
          <w:rFonts w:ascii="Arial" w:hAnsi="Arial" w:cs="Arial"/>
          <w:sz w:val="20"/>
          <w:szCs w:val="20"/>
        </w:rPr>
      </w:pPr>
      <w:r w:rsidRPr="00613D7C">
        <w:rPr>
          <w:rFonts w:ascii="Arial" w:hAnsi="Arial" w:cs="Arial"/>
          <w:sz w:val="20"/>
          <w:szCs w:val="20"/>
        </w:rPr>
        <w:t xml:space="preserve">Finally, given clear issues raised in the survey about levels of debt and lack of money for deposits to buy a home, the Council should </w:t>
      </w:r>
      <w:r w:rsidR="00AA4421">
        <w:rPr>
          <w:rFonts w:ascii="Arial" w:hAnsi="Arial" w:cs="Arial"/>
          <w:sz w:val="20"/>
          <w:szCs w:val="20"/>
        </w:rPr>
        <w:t>encourage and enable</w:t>
      </w:r>
      <w:r w:rsidRPr="00613D7C">
        <w:rPr>
          <w:rFonts w:ascii="Arial" w:hAnsi="Arial" w:cs="Arial"/>
          <w:sz w:val="20"/>
          <w:szCs w:val="20"/>
        </w:rPr>
        <w:t xml:space="preserve"> Rent-to-Buy housing as an option</w:t>
      </w:r>
      <w:r w:rsidR="00613D7C" w:rsidRPr="00613D7C">
        <w:rPr>
          <w:rFonts w:ascii="Arial" w:hAnsi="Arial" w:cs="Arial"/>
          <w:sz w:val="20"/>
          <w:szCs w:val="20"/>
        </w:rPr>
        <w:t xml:space="preserve">. These </w:t>
      </w:r>
      <w:r w:rsidR="00613D7C" w:rsidRPr="00172F56">
        <w:rPr>
          <w:rFonts w:ascii="Arial" w:hAnsi="Arial" w:cs="Arial"/>
          <w:sz w:val="20"/>
          <w:szCs w:val="20"/>
        </w:rPr>
        <w:t>schemes are designed to ease the transition from renting to buying the same home. Initially (typically five years) the newly built home will be provided at the equivalent of an affordable rent (approximately 20% below the market rate). The expectation is that the discount provided in that first five years is saved in order to put towards a deposit on the purchase of the same property. Rent to Buy can be advantageous for some households as it allows for a smaller ‘step’ to be taken on to the home ownership ladder</w:t>
      </w:r>
    </w:p>
    <w:p w14:paraId="38C07620" w14:textId="77777777" w:rsidR="00613D7C" w:rsidRPr="00613D7C" w:rsidRDefault="00613D7C" w:rsidP="00172F56">
      <w:pPr>
        <w:spacing w:line="300" w:lineRule="auto"/>
        <w:jc w:val="both"/>
        <w:rPr>
          <w:rFonts w:ascii="Arial" w:hAnsi="Arial" w:cs="Arial"/>
          <w:sz w:val="20"/>
          <w:szCs w:val="20"/>
        </w:rPr>
      </w:pPr>
    </w:p>
    <w:p w14:paraId="5D35B1A9" w14:textId="77777777" w:rsidR="00B139D2" w:rsidRPr="00B139D2" w:rsidRDefault="00B139D2" w:rsidP="00172F56">
      <w:pPr>
        <w:spacing w:line="300" w:lineRule="auto"/>
        <w:jc w:val="both"/>
        <w:rPr>
          <w:rFonts w:ascii="Arial" w:hAnsi="Arial" w:cs="Arial"/>
          <w:b/>
          <w:bCs/>
        </w:rPr>
      </w:pPr>
      <w:r w:rsidRPr="00B139D2">
        <w:rPr>
          <w:rFonts w:ascii="Arial" w:hAnsi="Arial" w:cs="Arial"/>
          <w:b/>
          <w:bCs/>
        </w:rPr>
        <w:t>Housing History and Future Aspirations</w:t>
      </w:r>
    </w:p>
    <w:p w14:paraId="6FED92A8" w14:textId="77777777" w:rsidR="00B139D2" w:rsidRPr="00251085" w:rsidRDefault="00B139D2" w:rsidP="00172F56">
      <w:pPr>
        <w:spacing w:line="300" w:lineRule="auto"/>
        <w:jc w:val="both"/>
        <w:rPr>
          <w:rFonts w:ascii="Arial" w:hAnsi="Arial" w:cs="Arial"/>
          <w:sz w:val="20"/>
          <w:szCs w:val="20"/>
        </w:rPr>
      </w:pPr>
    </w:p>
    <w:p w14:paraId="08203750" w14:textId="34AA2109" w:rsidR="00B139D2" w:rsidRP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 xml:space="preserve">The analysis moves on from affordable housing need to look at survey questions housing history (previous </w:t>
      </w:r>
      <w:r w:rsidR="00AA4421">
        <w:rPr>
          <w:rFonts w:ascii="Arial" w:hAnsi="Arial" w:cs="Arial"/>
          <w:sz w:val="20"/>
          <w:szCs w:val="20"/>
        </w:rPr>
        <w:t xml:space="preserve">house </w:t>
      </w:r>
      <w:r w:rsidRPr="5E98B394">
        <w:rPr>
          <w:rFonts w:ascii="Arial" w:hAnsi="Arial" w:cs="Arial"/>
          <w:sz w:val="20"/>
          <w:szCs w:val="20"/>
        </w:rPr>
        <w:t>moves, including locations and tenure of accommodation) and future housing intentions – similar questions being asked of existing and newly forming households.</w:t>
      </w:r>
    </w:p>
    <w:p w14:paraId="56F6AA57" w14:textId="1B729CFE" w:rsidR="00B139D2" w:rsidRDefault="00B139D2">
      <w:pPr>
        <w:spacing w:line="300" w:lineRule="auto"/>
        <w:jc w:val="both"/>
        <w:rPr>
          <w:rFonts w:ascii="Arial" w:hAnsi="Arial" w:cs="Arial"/>
          <w:sz w:val="20"/>
          <w:szCs w:val="20"/>
        </w:rPr>
      </w:pPr>
    </w:p>
    <w:p w14:paraId="16FD8209" w14:textId="04F61739" w:rsidR="00177D13" w:rsidRDefault="00177D13">
      <w:pPr>
        <w:spacing w:line="300" w:lineRule="auto"/>
        <w:jc w:val="both"/>
        <w:rPr>
          <w:rFonts w:ascii="Arial" w:hAnsi="Arial" w:cs="Arial"/>
          <w:sz w:val="20"/>
          <w:szCs w:val="20"/>
        </w:rPr>
      </w:pPr>
    </w:p>
    <w:p w14:paraId="6FE58BD8" w14:textId="7B141B55" w:rsidR="00177D13" w:rsidRDefault="00177D13">
      <w:pPr>
        <w:spacing w:line="300" w:lineRule="auto"/>
        <w:jc w:val="both"/>
        <w:rPr>
          <w:rFonts w:ascii="Arial" w:hAnsi="Arial" w:cs="Arial"/>
          <w:sz w:val="20"/>
          <w:szCs w:val="20"/>
        </w:rPr>
      </w:pPr>
    </w:p>
    <w:p w14:paraId="4D699419" w14:textId="50AE73A4" w:rsidR="00177D13" w:rsidRDefault="00177D13">
      <w:pPr>
        <w:spacing w:line="300" w:lineRule="auto"/>
        <w:jc w:val="both"/>
        <w:rPr>
          <w:rFonts w:ascii="Arial" w:hAnsi="Arial" w:cs="Arial"/>
          <w:sz w:val="20"/>
          <w:szCs w:val="20"/>
        </w:rPr>
      </w:pPr>
    </w:p>
    <w:p w14:paraId="4F973A09" w14:textId="6ED98767" w:rsidR="00177D13" w:rsidRDefault="00177D13">
      <w:pPr>
        <w:spacing w:line="300" w:lineRule="auto"/>
        <w:jc w:val="both"/>
        <w:rPr>
          <w:rFonts w:ascii="Arial" w:hAnsi="Arial" w:cs="Arial"/>
          <w:sz w:val="20"/>
          <w:szCs w:val="20"/>
        </w:rPr>
      </w:pPr>
    </w:p>
    <w:p w14:paraId="0B967EB7" w14:textId="77777777" w:rsidR="00177D13" w:rsidRPr="00251085" w:rsidRDefault="00177D13" w:rsidP="00172F56">
      <w:pPr>
        <w:spacing w:line="300" w:lineRule="auto"/>
        <w:jc w:val="both"/>
        <w:rPr>
          <w:rFonts w:ascii="Arial" w:hAnsi="Arial" w:cs="Arial"/>
          <w:sz w:val="20"/>
          <w:szCs w:val="20"/>
        </w:rPr>
      </w:pPr>
    </w:p>
    <w:p w14:paraId="4FF1A0E0" w14:textId="61200830" w:rsidR="00B139D2" w:rsidRP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The analysis shows the relatively high mobility of households living in the private rented sector and also that most households when moving remain in the same tenure (e.g. households moving from one owner-occupied home to another or one private rented home to another) -</w:t>
      </w:r>
      <w:r w:rsidR="000B4E94" w:rsidRPr="5E98B394">
        <w:rPr>
          <w:rFonts w:ascii="Arial" w:hAnsi="Arial" w:cs="Arial"/>
          <w:sz w:val="20"/>
          <w:szCs w:val="20"/>
        </w:rPr>
        <w:t xml:space="preserve"> </w:t>
      </w:r>
      <w:r w:rsidRPr="5E98B394">
        <w:rPr>
          <w:rFonts w:ascii="Arial" w:hAnsi="Arial" w:cs="Arial"/>
          <w:sz w:val="20"/>
          <w:szCs w:val="20"/>
        </w:rPr>
        <w:t>the survey highlighted very low mobility from social rented housing into owner-occupation. Some 55% of moving households had previously lived in the Borough, with 7% having moved from Blackpool and 14% from outside the North West region.</w:t>
      </w:r>
      <w:r w:rsidR="00613D7C">
        <w:rPr>
          <w:rFonts w:ascii="Arial" w:hAnsi="Arial" w:cs="Arial"/>
          <w:sz w:val="20"/>
          <w:szCs w:val="20"/>
        </w:rPr>
        <w:t xml:space="preserve"> Whilst there is clearly a degree of self-containment (households moving within the Borough) this does also show the importance of inward migration (45% of moves being from outside the Borough).</w:t>
      </w:r>
    </w:p>
    <w:p w14:paraId="03B57FFB" w14:textId="77777777" w:rsidR="00B139D2" w:rsidRPr="00251085" w:rsidRDefault="00B139D2" w:rsidP="00172F56">
      <w:pPr>
        <w:spacing w:line="300" w:lineRule="auto"/>
        <w:jc w:val="both"/>
        <w:rPr>
          <w:rFonts w:ascii="Arial" w:hAnsi="Arial" w:cs="Arial"/>
          <w:sz w:val="20"/>
          <w:szCs w:val="20"/>
        </w:rPr>
      </w:pPr>
    </w:p>
    <w:p w14:paraId="64FB620D" w14:textId="14F2C131" w:rsidR="00B139D2" w:rsidRP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A total of 25% of households stated they need or are likely to move over the next 5-years, with the main reason for moving being that the current home is too small. Whilst the majority of households would like to become (or remain) owner-occupiers, there is a notable demand for social rented housing – this demand is particularly for 2-bedroom homes as well as some 1- and 3-bedroom properties. There are also a number of households who expect to move to private rented accommodation (although fewer want to) with again a particular focus on 2-bedroom homes.</w:t>
      </w:r>
    </w:p>
    <w:p w14:paraId="1AED6A76" w14:textId="77777777" w:rsidR="00B139D2" w:rsidRPr="00251085" w:rsidRDefault="00B139D2" w:rsidP="00172F56">
      <w:pPr>
        <w:spacing w:line="300" w:lineRule="auto"/>
        <w:jc w:val="both"/>
        <w:rPr>
          <w:rFonts w:ascii="Arial" w:hAnsi="Arial" w:cs="Arial"/>
          <w:sz w:val="20"/>
          <w:szCs w:val="20"/>
        </w:rPr>
      </w:pPr>
    </w:p>
    <w:p w14:paraId="2119ED43" w14:textId="1C9ACF43" w:rsidR="00B139D2" w:rsidRP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For potential newly-forming households similar findings were shown by the survey with a preference for owner-occupation. For those who would like or expect rented tenures, there was again a particular focus on 2-bedroom homes.</w:t>
      </w:r>
    </w:p>
    <w:p w14:paraId="7AAFE63F" w14:textId="77777777" w:rsidR="00B139D2" w:rsidRPr="00251085" w:rsidRDefault="00B139D2" w:rsidP="00172F56">
      <w:pPr>
        <w:spacing w:line="300" w:lineRule="auto"/>
        <w:jc w:val="both"/>
        <w:rPr>
          <w:rFonts w:ascii="Arial" w:hAnsi="Arial" w:cs="Arial"/>
          <w:sz w:val="20"/>
          <w:szCs w:val="20"/>
        </w:rPr>
      </w:pPr>
    </w:p>
    <w:p w14:paraId="492106F5" w14:textId="77777777" w:rsidR="00B139D2" w:rsidRPr="00B139D2" w:rsidRDefault="00B139D2" w:rsidP="00172F56">
      <w:pPr>
        <w:spacing w:line="300" w:lineRule="auto"/>
        <w:jc w:val="both"/>
        <w:rPr>
          <w:rFonts w:ascii="Arial" w:hAnsi="Arial" w:cs="Arial"/>
          <w:b/>
          <w:bCs/>
        </w:rPr>
      </w:pPr>
      <w:r w:rsidRPr="00B139D2">
        <w:rPr>
          <w:rFonts w:ascii="Arial" w:hAnsi="Arial" w:cs="Arial"/>
          <w:b/>
          <w:bCs/>
        </w:rPr>
        <w:t>Needs of Specific Groups</w:t>
      </w:r>
    </w:p>
    <w:p w14:paraId="1314B973" w14:textId="77777777" w:rsidR="00B139D2" w:rsidRPr="00251085" w:rsidRDefault="00B139D2" w:rsidP="00172F56">
      <w:pPr>
        <w:spacing w:line="300" w:lineRule="auto"/>
        <w:jc w:val="both"/>
        <w:rPr>
          <w:rFonts w:ascii="Arial" w:hAnsi="Arial" w:cs="Arial"/>
          <w:sz w:val="20"/>
          <w:szCs w:val="20"/>
        </w:rPr>
      </w:pPr>
    </w:p>
    <w:p w14:paraId="1D1B3F74" w14:textId="036A931E" w:rsidR="00B139D2" w:rsidRPr="00B139D2" w:rsidRDefault="00B139D2">
      <w:pPr>
        <w:pStyle w:val="11Bodytext"/>
        <w:numPr>
          <w:ilvl w:val="0"/>
          <w:numId w:val="26"/>
        </w:numPr>
        <w:spacing w:before="0" w:after="0" w:line="300" w:lineRule="auto"/>
        <w:ind w:hanging="720"/>
        <w:rPr>
          <w:color w:val="auto"/>
        </w:rPr>
      </w:pPr>
      <w:r>
        <w:t>The final section of the report considers survey data about a range of different household groups within Fylde. In particular the information focus</w:t>
      </w:r>
      <w:r w:rsidR="00B33483">
        <w:t>s</w:t>
      </w:r>
      <w:r>
        <w:t>es on the key characteristics of each group and contrasts data with other households in the Borough. For the purposes of the study</w:t>
      </w:r>
      <w:r w:rsidR="00B33483">
        <w:t>,</w:t>
      </w:r>
      <w:r>
        <w:t xml:space="preserve"> we have studied the following groups:</w:t>
      </w:r>
    </w:p>
    <w:p w14:paraId="42B69683" w14:textId="77777777" w:rsidR="00B139D2" w:rsidRPr="00251085" w:rsidRDefault="00B139D2" w:rsidP="00172F56">
      <w:pPr>
        <w:pStyle w:val="11Bodytext"/>
        <w:numPr>
          <w:ilvl w:val="0"/>
          <w:numId w:val="0"/>
        </w:numPr>
        <w:spacing w:before="0" w:after="0" w:line="300" w:lineRule="auto"/>
        <w:ind w:left="794" w:hanging="794"/>
        <w:rPr>
          <w:color w:val="auto"/>
        </w:rPr>
      </w:pPr>
    </w:p>
    <w:p w14:paraId="11EAAB44" w14:textId="63C219C7" w:rsidR="00B139D2" w:rsidRDefault="00B139D2">
      <w:pPr>
        <w:pStyle w:val="Bulletblueplain"/>
        <w:numPr>
          <w:ilvl w:val="0"/>
          <w:numId w:val="74"/>
        </w:numPr>
        <w:spacing w:before="0" w:after="0" w:line="300" w:lineRule="auto"/>
        <w:rPr>
          <w:szCs w:val="20"/>
        </w:rPr>
      </w:pPr>
      <w:r w:rsidRPr="00251085">
        <w:rPr>
          <w:szCs w:val="20"/>
        </w:rPr>
        <w:t>Households with support needs</w:t>
      </w:r>
      <w:r w:rsidR="00AA4421">
        <w:rPr>
          <w:szCs w:val="20"/>
        </w:rPr>
        <w:t>;</w:t>
      </w:r>
    </w:p>
    <w:p w14:paraId="36D0727A" w14:textId="17D29891" w:rsidR="00B139D2" w:rsidRPr="00251085" w:rsidRDefault="00B139D2">
      <w:pPr>
        <w:pStyle w:val="Bulletblueplain"/>
        <w:numPr>
          <w:ilvl w:val="0"/>
          <w:numId w:val="74"/>
        </w:numPr>
        <w:spacing w:before="0" w:after="0" w:line="300" w:lineRule="auto"/>
        <w:rPr>
          <w:szCs w:val="20"/>
        </w:rPr>
      </w:pPr>
      <w:r w:rsidRPr="00251085">
        <w:rPr>
          <w:szCs w:val="20"/>
        </w:rPr>
        <w:t>Older person households</w:t>
      </w:r>
      <w:r w:rsidR="00AA4421">
        <w:rPr>
          <w:szCs w:val="20"/>
        </w:rPr>
        <w:t>;</w:t>
      </w:r>
    </w:p>
    <w:p w14:paraId="75C471B5" w14:textId="57E63670" w:rsidR="00B139D2" w:rsidRPr="00251085" w:rsidRDefault="00B139D2">
      <w:pPr>
        <w:pStyle w:val="Bulletblueplain"/>
        <w:numPr>
          <w:ilvl w:val="0"/>
          <w:numId w:val="74"/>
        </w:numPr>
        <w:spacing w:before="0" w:after="0" w:line="300" w:lineRule="auto"/>
        <w:rPr>
          <w:szCs w:val="20"/>
        </w:rPr>
      </w:pPr>
      <w:r w:rsidRPr="00251085">
        <w:rPr>
          <w:szCs w:val="20"/>
        </w:rPr>
        <w:t>Families (households with children)</w:t>
      </w:r>
      <w:r w:rsidR="00AA4421">
        <w:rPr>
          <w:szCs w:val="20"/>
        </w:rPr>
        <w:t>;</w:t>
      </w:r>
      <w:r w:rsidR="00243A09">
        <w:rPr>
          <w:szCs w:val="20"/>
        </w:rPr>
        <w:t xml:space="preserve"> and</w:t>
      </w:r>
    </w:p>
    <w:p w14:paraId="0C4B2039" w14:textId="247C5EB6" w:rsidR="00B139D2" w:rsidRPr="00251085" w:rsidRDefault="00B139D2">
      <w:pPr>
        <w:pStyle w:val="Bulletblueplain"/>
        <w:numPr>
          <w:ilvl w:val="0"/>
          <w:numId w:val="74"/>
        </w:numPr>
        <w:spacing w:before="0" w:after="0" w:line="300" w:lineRule="auto"/>
        <w:rPr>
          <w:szCs w:val="20"/>
        </w:rPr>
      </w:pPr>
      <w:r w:rsidRPr="00251085">
        <w:rPr>
          <w:szCs w:val="20"/>
        </w:rPr>
        <w:t>Young people (and first-time buyers)</w:t>
      </w:r>
      <w:r w:rsidR="00243A09">
        <w:rPr>
          <w:szCs w:val="20"/>
        </w:rPr>
        <w:t>.</w:t>
      </w:r>
    </w:p>
    <w:p w14:paraId="391FDABD" w14:textId="77777777" w:rsidR="00B139D2" w:rsidRPr="00251085" w:rsidRDefault="00B139D2" w:rsidP="0033047F">
      <w:pPr>
        <w:pStyle w:val="Bulletblueplain"/>
        <w:numPr>
          <w:ilvl w:val="0"/>
          <w:numId w:val="0"/>
        </w:numPr>
        <w:spacing w:before="0" w:after="0" w:line="300" w:lineRule="auto"/>
        <w:rPr>
          <w:szCs w:val="20"/>
        </w:rPr>
      </w:pPr>
    </w:p>
    <w:p w14:paraId="161748B3" w14:textId="3FEA3F81" w:rsidR="00B139D2" w:rsidRP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 xml:space="preserve">The survey identifies around a quarter of households as containing someone with a support need – in particular those with some form of physical disability. Support needs households see a high concentration in the social rented sector, are more likely to be living in </w:t>
      </w:r>
      <w:r w:rsidR="000D6295" w:rsidRPr="5E98B394">
        <w:rPr>
          <w:rFonts w:ascii="Arial" w:hAnsi="Arial" w:cs="Arial"/>
          <w:sz w:val="20"/>
          <w:szCs w:val="20"/>
        </w:rPr>
        <w:t xml:space="preserve">accommodation </w:t>
      </w:r>
      <w:r w:rsidRPr="5E98B394">
        <w:rPr>
          <w:rFonts w:ascii="Arial" w:hAnsi="Arial" w:cs="Arial"/>
          <w:sz w:val="20"/>
          <w:szCs w:val="20"/>
        </w:rPr>
        <w:t xml:space="preserve">that can be considered as unsuitable and typically have low income levels (and low savings) – the average income of a household with a support need is around £19,800, compared with a Borough average of </w:t>
      </w:r>
      <w:r w:rsidR="000D6295" w:rsidRPr="5E98B394">
        <w:rPr>
          <w:rFonts w:ascii="Arial" w:hAnsi="Arial" w:cs="Arial"/>
          <w:sz w:val="20"/>
          <w:szCs w:val="20"/>
        </w:rPr>
        <w:t>£</w:t>
      </w:r>
      <w:r w:rsidRPr="5E98B394">
        <w:rPr>
          <w:rFonts w:ascii="Arial" w:hAnsi="Arial" w:cs="Arial"/>
          <w:sz w:val="20"/>
          <w:szCs w:val="20"/>
        </w:rPr>
        <w:t>30,400. These households particularly highlighted a need for help in maintaining their home as the main improvement to their services.</w:t>
      </w:r>
    </w:p>
    <w:p w14:paraId="164CABCF" w14:textId="77777777" w:rsidR="00B139D2" w:rsidRPr="00251085" w:rsidRDefault="00B139D2" w:rsidP="00172F56">
      <w:pPr>
        <w:spacing w:line="300" w:lineRule="auto"/>
        <w:jc w:val="both"/>
        <w:rPr>
          <w:rFonts w:ascii="Arial" w:hAnsi="Arial" w:cs="Arial"/>
          <w:sz w:val="20"/>
          <w:szCs w:val="20"/>
        </w:rPr>
      </w:pPr>
    </w:p>
    <w:p w14:paraId="3F835A2A" w14:textId="5DA7D1B9" w:rsidR="00620FE9" w:rsidRDefault="00B139D2">
      <w:pPr>
        <w:pStyle w:val="ListParagraph"/>
        <w:numPr>
          <w:ilvl w:val="0"/>
          <w:numId w:val="26"/>
        </w:numPr>
        <w:spacing w:line="300" w:lineRule="auto"/>
        <w:ind w:hanging="720"/>
        <w:jc w:val="both"/>
      </w:pPr>
      <w:r w:rsidRPr="5E98B394">
        <w:rPr>
          <w:rFonts w:ascii="Arial" w:hAnsi="Arial" w:cs="Arial"/>
          <w:sz w:val="20"/>
          <w:szCs w:val="20"/>
        </w:rPr>
        <w:t>Around a third of households are made up entirely of people aged 65 and over (with a further 9% containing people aged 65+ and under 65). Older person households tend to be smaller and are highly likely to be an outright owner. There is also a considerable degree of under-occupation amongst these households, which could present an opportunity to release larger homes if suitable smaller homes (possibly bungalows) were available.</w:t>
      </w:r>
    </w:p>
    <w:p w14:paraId="37FF0B1D" w14:textId="77777777" w:rsidR="00620FE9" w:rsidRPr="00251085" w:rsidRDefault="00620FE9" w:rsidP="00172F56">
      <w:pPr>
        <w:spacing w:line="300" w:lineRule="auto"/>
        <w:jc w:val="both"/>
        <w:rPr>
          <w:rFonts w:ascii="Arial" w:hAnsi="Arial" w:cs="Arial"/>
          <w:sz w:val="20"/>
          <w:szCs w:val="20"/>
        </w:rPr>
      </w:pPr>
    </w:p>
    <w:p w14:paraId="179924D3" w14:textId="0A259BD9" w:rsidR="00B139D2" w:rsidRP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Around 21% of households contain children (aged under 16) with over a quarter of these being lone parent households. Overall</w:t>
      </w:r>
      <w:r w:rsidR="00243A09">
        <w:rPr>
          <w:rFonts w:ascii="Arial" w:hAnsi="Arial" w:cs="Arial"/>
          <w:sz w:val="20"/>
          <w:szCs w:val="20"/>
        </w:rPr>
        <w:t>,</w:t>
      </w:r>
      <w:r w:rsidRPr="5E98B394">
        <w:rPr>
          <w:rFonts w:ascii="Arial" w:hAnsi="Arial" w:cs="Arial"/>
          <w:sz w:val="20"/>
          <w:szCs w:val="20"/>
        </w:rPr>
        <w:t xml:space="preserve"> the lone parent households in the survey do show characteristics of being more disadvantaged than other households with children (and households generally) with a high dependency on private rented housing, high levels of housing considered as unsuitable (including overcrowding) and low incomes.</w:t>
      </w:r>
    </w:p>
    <w:p w14:paraId="692663BA" w14:textId="77777777" w:rsidR="00B139D2" w:rsidRPr="00251085" w:rsidRDefault="00B139D2" w:rsidP="00172F56">
      <w:pPr>
        <w:spacing w:line="300" w:lineRule="auto"/>
        <w:jc w:val="both"/>
        <w:rPr>
          <w:rFonts w:ascii="Arial" w:hAnsi="Arial" w:cs="Arial"/>
          <w:sz w:val="20"/>
          <w:szCs w:val="20"/>
        </w:rPr>
      </w:pPr>
    </w:p>
    <w:p w14:paraId="00CCD5CD" w14:textId="366E5710" w:rsidR="00B139D2" w:rsidRP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 xml:space="preserve">Around 12.5% of households in the survey are headed by someone aged </w:t>
      </w:r>
      <w:r w:rsidR="00243A09">
        <w:rPr>
          <w:rFonts w:ascii="Arial" w:hAnsi="Arial" w:cs="Arial"/>
          <w:sz w:val="20"/>
          <w:szCs w:val="20"/>
        </w:rPr>
        <w:t>u</w:t>
      </w:r>
      <w:r w:rsidRPr="5E98B394">
        <w:rPr>
          <w:rFonts w:ascii="Arial" w:hAnsi="Arial" w:cs="Arial"/>
          <w:sz w:val="20"/>
          <w:szCs w:val="20"/>
        </w:rPr>
        <w:t>nder 35</w:t>
      </w:r>
      <w:r w:rsidR="009671FD" w:rsidRPr="5E98B394">
        <w:rPr>
          <w:rFonts w:ascii="Arial" w:hAnsi="Arial" w:cs="Arial"/>
          <w:sz w:val="20"/>
          <w:szCs w:val="20"/>
        </w:rPr>
        <w:t xml:space="preserve">; </w:t>
      </w:r>
      <w:r w:rsidRPr="5E98B394">
        <w:rPr>
          <w:rFonts w:ascii="Arial" w:hAnsi="Arial" w:cs="Arial"/>
          <w:sz w:val="20"/>
          <w:szCs w:val="20"/>
        </w:rPr>
        <w:t>over half of these households contain children, along with a high proportion of lone parents. As with the analysis of families, the younger lone parent households look to be particularly disadvantaged. The survey also identifies that around 2,400 households have been first-time buyers over the past 5-years</w:t>
      </w:r>
      <w:r w:rsidR="006B2D9E" w:rsidRPr="5E98B394">
        <w:rPr>
          <w:rFonts w:ascii="Arial" w:hAnsi="Arial" w:cs="Arial"/>
          <w:sz w:val="20"/>
          <w:szCs w:val="20"/>
        </w:rPr>
        <w:t xml:space="preserve">; </w:t>
      </w:r>
      <w:r w:rsidRPr="5E98B394">
        <w:rPr>
          <w:rFonts w:ascii="Arial" w:hAnsi="Arial" w:cs="Arial"/>
          <w:sz w:val="20"/>
          <w:szCs w:val="20"/>
        </w:rPr>
        <w:t>these households have an average age of 37 and are mainly 2- (and 1-) person households.</w:t>
      </w:r>
    </w:p>
    <w:p w14:paraId="4D32DD48" w14:textId="60A352EA" w:rsidR="00B139D2" w:rsidRDefault="00B139D2">
      <w:pPr>
        <w:spacing w:line="300" w:lineRule="auto"/>
        <w:jc w:val="both"/>
        <w:rPr>
          <w:rFonts w:ascii="Arial" w:hAnsi="Arial" w:cs="Arial"/>
          <w:sz w:val="20"/>
          <w:szCs w:val="20"/>
        </w:rPr>
      </w:pPr>
    </w:p>
    <w:p w14:paraId="68AB66FE" w14:textId="50102363" w:rsidR="008B78A1" w:rsidRPr="00B139D2" w:rsidRDefault="008B78A1" w:rsidP="008B78A1">
      <w:pPr>
        <w:spacing w:line="300" w:lineRule="auto"/>
        <w:jc w:val="both"/>
        <w:rPr>
          <w:rFonts w:ascii="Arial" w:hAnsi="Arial" w:cs="Arial"/>
          <w:b/>
          <w:bCs/>
        </w:rPr>
      </w:pPr>
      <w:r>
        <w:rPr>
          <w:rFonts w:ascii="Arial" w:hAnsi="Arial" w:cs="Arial"/>
          <w:b/>
          <w:bCs/>
        </w:rPr>
        <w:t>Stakeholder Input</w:t>
      </w:r>
    </w:p>
    <w:p w14:paraId="48CD51C9" w14:textId="77777777" w:rsidR="008B78A1" w:rsidRDefault="008B78A1" w:rsidP="005F3C17">
      <w:pPr>
        <w:spacing w:line="300" w:lineRule="auto"/>
        <w:jc w:val="both"/>
        <w:rPr>
          <w:rFonts w:ascii="Arial" w:hAnsi="Arial" w:cs="Arial"/>
          <w:sz w:val="20"/>
          <w:szCs w:val="20"/>
        </w:rPr>
      </w:pPr>
    </w:p>
    <w:p w14:paraId="4C1A86F0" w14:textId="44732BBB" w:rsidR="008B78A1" w:rsidRDefault="008B78A1">
      <w:pPr>
        <w:pStyle w:val="11Bodytext"/>
        <w:numPr>
          <w:ilvl w:val="0"/>
          <w:numId w:val="26"/>
        </w:numPr>
        <w:spacing w:before="0" w:after="0" w:line="300" w:lineRule="auto"/>
        <w:ind w:hanging="720"/>
      </w:pPr>
      <w:r>
        <w:t>The project methodology involved seeking qualitative information from selected groups of stakeholders. The aim was to enable us to provide context to the HNS as well as nuance areas of the report. Stakeholder groups that were invited to participate were:</w:t>
      </w:r>
    </w:p>
    <w:p w14:paraId="116182E6" w14:textId="77777777" w:rsidR="005F3C17" w:rsidRDefault="005F3C17" w:rsidP="00172F56">
      <w:pPr>
        <w:pStyle w:val="11Bodytext"/>
        <w:numPr>
          <w:ilvl w:val="0"/>
          <w:numId w:val="0"/>
        </w:numPr>
        <w:spacing w:before="0" w:after="0" w:line="300" w:lineRule="auto"/>
      </w:pPr>
    </w:p>
    <w:p w14:paraId="30B78F96" w14:textId="77777777" w:rsidR="008B78A1" w:rsidRDefault="008B78A1">
      <w:pPr>
        <w:pStyle w:val="Bulletblueplain"/>
        <w:numPr>
          <w:ilvl w:val="0"/>
          <w:numId w:val="79"/>
        </w:numPr>
        <w:spacing w:before="0" w:after="0" w:line="300" w:lineRule="auto"/>
      </w:pPr>
      <w:r>
        <w:t>Estate and letting agents;</w:t>
      </w:r>
    </w:p>
    <w:p w14:paraId="0D0C44A3" w14:textId="77777777" w:rsidR="008B78A1" w:rsidRDefault="008B78A1">
      <w:pPr>
        <w:pStyle w:val="Bulletblueplain"/>
        <w:numPr>
          <w:ilvl w:val="0"/>
          <w:numId w:val="79"/>
        </w:numPr>
        <w:spacing w:before="0" w:after="0" w:line="300" w:lineRule="auto"/>
      </w:pPr>
      <w:r>
        <w:t>Registered providers;</w:t>
      </w:r>
    </w:p>
    <w:p w14:paraId="2AB1DE35" w14:textId="77777777" w:rsidR="008B78A1" w:rsidRDefault="008B78A1">
      <w:pPr>
        <w:pStyle w:val="Bulletblueplain"/>
        <w:numPr>
          <w:ilvl w:val="0"/>
          <w:numId w:val="79"/>
        </w:numPr>
        <w:spacing w:before="0" w:after="0" w:line="300" w:lineRule="auto"/>
      </w:pPr>
      <w:r>
        <w:t>Large employers including the NHS.</w:t>
      </w:r>
    </w:p>
    <w:p w14:paraId="6D4D0663" w14:textId="77777777" w:rsidR="005F3C17" w:rsidRDefault="005F3C17" w:rsidP="00172F56">
      <w:pPr>
        <w:pStyle w:val="11Bodytext"/>
        <w:numPr>
          <w:ilvl w:val="0"/>
          <w:numId w:val="0"/>
        </w:numPr>
        <w:spacing w:before="0" w:after="0" w:line="300" w:lineRule="auto"/>
        <w:ind w:left="794" w:hanging="794"/>
      </w:pPr>
    </w:p>
    <w:p w14:paraId="04A66B8D" w14:textId="49195E8C" w:rsidR="008B78A1" w:rsidRDefault="008B78A1">
      <w:pPr>
        <w:pStyle w:val="11Bodytext"/>
        <w:numPr>
          <w:ilvl w:val="0"/>
          <w:numId w:val="26"/>
        </w:numPr>
        <w:spacing w:before="0" w:after="0" w:line="300" w:lineRule="auto"/>
        <w:ind w:hanging="720"/>
      </w:pPr>
      <w:r>
        <w:t>The key messages from stakeholders are as follows.</w:t>
      </w:r>
    </w:p>
    <w:p w14:paraId="03B3ED2A" w14:textId="77777777" w:rsidR="005F3C17" w:rsidRDefault="005F3C17" w:rsidP="00172F56">
      <w:pPr>
        <w:pStyle w:val="11Bodytext"/>
        <w:numPr>
          <w:ilvl w:val="0"/>
          <w:numId w:val="0"/>
        </w:numPr>
        <w:spacing w:before="0" w:after="0" w:line="300" w:lineRule="auto"/>
      </w:pPr>
    </w:p>
    <w:p w14:paraId="7F78C0F5" w14:textId="0E0C2A00" w:rsidR="008B78A1" w:rsidRDefault="008B78A1">
      <w:pPr>
        <w:pStyle w:val="11Bodytext"/>
        <w:numPr>
          <w:ilvl w:val="0"/>
          <w:numId w:val="26"/>
        </w:numPr>
        <w:spacing w:before="0" w:after="0" w:line="300" w:lineRule="auto"/>
        <w:ind w:hanging="720"/>
      </w:pPr>
      <w:r>
        <w:t>Estate and Letting agents told us that in-migration occurred from many parts of the country and was not disproportionately from Blackpool. Drivers were retiring households and people relocating for employment. Agents believe that the main gap in supply is bungalow accommodation. There is also a need for age restricted leasehold apartments in Lytham. Agents consider that there is a significant undersupply of private rented housing due to landlords not investing sufficiently and demand from local residents unable to achieve affordable housing and incomers renting before buying.</w:t>
      </w:r>
    </w:p>
    <w:p w14:paraId="55D84D92" w14:textId="77777777" w:rsidR="005F3C17" w:rsidRDefault="005F3C17" w:rsidP="00172F56">
      <w:pPr>
        <w:pStyle w:val="11Bodytext"/>
        <w:numPr>
          <w:ilvl w:val="0"/>
          <w:numId w:val="0"/>
        </w:numPr>
        <w:spacing w:before="0" w:after="0" w:line="300" w:lineRule="auto"/>
      </w:pPr>
    </w:p>
    <w:p w14:paraId="568F74CF" w14:textId="48E66EC5" w:rsidR="008B78A1" w:rsidRDefault="006128D0">
      <w:pPr>
        <w:pStyle w:val="11Bodytext"/>
        <w:numPr>
          <w:ilvl w:val="0"/>
          <w:numId w:val="26"/>
        </w:numPr>
        <w:spacing w:before="0" w:after="0" w:line="300" w:lineRule="auto"/>
        <w:ind w:hanging="720"/>
      </w:pPr>
      <w:r w:rsidRPr="001851B2">
        <w:t xml:space="preserve">Registered providers told us that notwithstanding improved supply in recent years there still remained a shortage of affordable housing in the </w:t>
      </w:r>
      <w:r>
        <w:t>B</w:t>
      </w:r>
      <w:r w:rsidRPr="001851B2">
        <w:t>orough</w:t>
      </w:r>
      <w:r>
        <w:t xml:space="preserve">, particularly 1- and 4+-bedroom homes (due to recent development focussing on </w:t>
      </w:r>
      <w:r w:rsidRPr="001851B2">
        <w:t>2 and 3 bedroom housing</w:t>
      </w:r>
      <w:r>
        <w:t>)</w:t>
      </w:r>
      <w:r w:rsidRPr="001851B2">
        <w:t>. A number of respondents thought too much development had occurred in the rural areas and that particular needs in the urban areas were unmet. Respondents found the Fylde Coast Home Choice system to be effective and made constructive suggestions as to how it could be improved</w:t>
      </w:r>
      <w:r w:rsidR="008B78A1">
        <w:t>.</w:t>
      </w:r>
    </w:p>
    <w:p w14:paraId="578ABCEF" w14:textId="77777777" w:rsidR="005F3C17" w:rsidRDefault="005F3C17" w:rsidP="00172F56">
      <w:pPr>
        <w:pStyle w:val="11Bodytext"/>
        <w:numPr>
          <w:ilvl w:val="0"/>
          <w:numId w:val="0"/>
        </w:numPr>
        <w:spacing w:before="0" w:after="0" w:line="300" w:lineRule="auto"/>
      </w:pPr>
    </w:p>
    <w:p w14:paraId="58810223" w14:textId="6BA5ED3A" w:rsidR="008B78A1" w:rsidRPr="00DA03ED" w:rsidRDefault="008B78A1">
      <w:pPr>
        <w:pStyle w:val="11Bodytext"/>
        <w:numPr>
          <w:ilvl w:val="0"/>
          <w:numId w:val="26"/>
        </w:numPr>
        <w:spacing w:before="0" w:after="0" w:line="300" w:lineRule="auto"/>
        <w:ind w:hanging="720"/>
      </w:pPr>
      <w:r>
        <w:t>Large employers presented no evidence to suggest that any recruitment and retention problems they might be experiencing were due to a shortage of suitable housing in the borough.</w:t>
      </w:r>
    </w:p>
    <w:p w14:paraId="67D90AED" w14:textId="3DA93E88" w:rsidR="008B78A1" w:rsidRDefault="008B78A1" w:rsidP="005F3C17">
      <w:pPr>
        <w:spacing w:line="300" w:lineRule="auto"/>
        <w:jc w:val="both"/>
        <w:rPr>
          <w:rFonts w:ascii="Arial" w:hAnsi="Arial" w:cs="Arial"/>
          <w:sz w:val="20"/>
          <w:szCs w:val="20"/>
        </w:rPr>
      </w:pPr>
    </w:p>
    <w:p w14:paraId="20D0B5EF" w14:textId="27D8951D" w:rsidR="00177D13" w:rsidRDefault="00177D13" w:rsidP="005F3C17">
      <w:pPr>
        <w:spacing w:line="300" w:lineRule="auto"/>
        <w:jc w:val="both"/>
        <w:rPr>
          <w:rFonts w:ascii="Arial" w:hAnsi="Arial" w:cs="Arial"/>
          <w:sz w:val="20"/>
          <w:szCs w:val="20"/>
        </w:rPr>
      </w:pPr>
    </w:p>
    <w:p w14:paraId="3ADD3135" w14:textId="5A33718B" w:rsidR="00177D13" w:rsidRDefault="00177D13" w:rsidP="005F3C17">
      <w:pPr>
        <w:spacing w:line="300" w:lineRule="auto"/>
        <w:jc w:val="both"/>
        <w:rPr>
          <w:rFonts w:ascii="Arial" w:hAnsi="Arial" w:cs="Arial"/>
          <w:sz w:val="20"/>
          <w:szCs w:val="20"/>
        </w:rPr>
      </w:pPr>
    </w:p>
    <w:p w14:paraId="0297C827" w14:textId="4F6A123F" w:rsidR="00177D13" w:rsidRDefault="00177D13" w:rsidP="005F3C17">
      <w:pPr>
        <w:spacing w:line="300" w:lineRule="auto"/>
        <w:jc w:val="both"/>
        <w:rPr>
          <w:rFonts w:ascii="Arial" w:hAnsi="Arial" w:cs="Arial"/>
          <w:sz w:val="20"/>
          <w:szCs w:val="20"/>
        </w:rPr>
      </w:pPr>
    </w:p>
    <w:p w14:paraId="334AD33A" w14:textId="5C8C2F74" w:rsidR="00177D13" w:rsidRDefault="00177D13" w:rsidP="005F3C17">
      <w:pPr>
        <w:spacing w:line="300" w:lineRule="auto"/>
        <w:jc w:val="both"/>
        <w:rPr>
          <w:rFonts w:ascii="Arial" w:hAnsi="Arial" w:cs="Arial"/>
          <w:sz w:val="20"/>
          <w:szCs w:val="20"/>
        </w:rPr>
      </w:pPr>
    </w:p>
    <w:p w14:paraId="09054D1C" w14:textId="371928AE" w:rsidR="00177D13" w:rsidRDefault="00177D13" w:rsidP="005F3C17">
      <w:pPr>
        <w:spacing w:line="300" w:lineRule="auto"/>
        <w:jc w:val="both"/>
        <w:rPr>
          <w:rFonts w:ascii="Arial" w:hAnsi="Arial" w:cs="Arial"/>
          <w:sz w:val="20"/>
          <w:szCs w:val="20"/>
        </w:rPr>
      </w:pPr>
    </w:p>
    <w:p w14:paraId="5B3A76D9" w14:textId="77777777" w:rsidR="00177D13" w:rsidRPr="00251085" w:rsidRDefault="00177D13" w:rsidP="00172F56">
      <w:pPr>
        <w:spacing w:line="300" w:lineRule="auto"/>
        <w:jc w:val="both"/>
        <w:rPr>
          <w:rFonts w:ascii="Arial" w:hAnsi="Arial" w:cs="Arial"/>
          <w:sz w:val="20"/>
          <w:szCs w:val="20"/>
        </w:rPr>
      </w:pPr>
    </w:p>
    <w:p w14:paraId="335FFBC2" w14:textId="77777777" w:rsidR="00B139D2" w:rsidRPr="00B139D2" w:rsidRDefault="00B139D2" w:rsidP="00172F56">
      <w:pPr>
        <w:spacing w:line="300" w:lineRule="auto"/>
        <w:jc w:val="both"/>
        <w:rPr>
          <w:rFonts w:ascii="Arial" w:hAnsi="Arial" w:cs="Arial"/>
          <w:b/>
          <w:bCs/>
        </w:rPr>
      </w:pPr>
      <w:r w:rsidRPr="00B139D2">
        <w:rPr>
          <w:rFonts w:ascii="Arial" w:hAnsi="Arial" w:cs="Arial"/>
          <w:b/>
          <w:bCs/>
        </w:rPr>
        <w:t>Overall Summary</w:t>
      </w:r>
    </w:p>
    <w:p w14:paraId="044A164D" w14:textId="77777777" w:rsidR="00B139D2" w:rsidRPr="00251085" w:rsidRDefault="00B139D2" w:rsidP="00172F56">
      <w:pPr>
        <w:spacing w:line="300" w:lineRule="auto"/>
        <w:jc w:val="both"/>
        <w:rPr>
          <w:rFonts w:ascii="Arial" w:hAnsi="Arial" w:cs="Arial"/>
          <w:sz w:val="20"/>
          <w:szCs w:val="20"/>
        </w:rPr>
      </w:pPr>
    </w:p>
    <w:p w14:paraId="29462CC4" w14:textId="420ECA64" w:rsidR="00B139D2" w:rsidRDefault="00B139D2">
      <w:pPr>
        <w:pStyle w:val="ListParagraph"/>
        <w:numPr>
          <w:ilvl w:val="0"/>
          <w:numId w:val="26"/>
        </w:numPr>
        <w:spacing w:line="300" w:lineRule="auto"/>
        <w:ind w:hanging="720"/>
        <w:jc w:val="both"/>
        <w:rPr>
          <w:rFonts w:ascii="Arial" w:hAnsi="Arial" w:cs="Arial"/>
          <w:sz w:val="20"/>
          <w:szCs w:val="20"/>
        </w:rPr>
      </w:pPr>
      <w:r w:rsidRPr="5E98B394">
        <w:rPr>
          <w:rFonts w:ascii="Arial" w:hAnsi="Arial" w:cs="Arial"/>
          <w:sz w:val="20"/>
          <w:szCs w:val="20"/>
        </w:rPr>
        <w:t>The Fylde Housing Needs Survey has looked at a range of topics with a particular focus on the need for affordable housing. The findings are clear; there is a notable need for affordable homes, particularly for rent, across the Borough. The survey also highlights likely difficulties for many households in accessing owner-occupied housing (or even discounted market housing) due to low levels of deposits which again points to the Council prioritising the delivery of rented products where opportunities arise.</w:t>
      </w:r>
    </w:p>
    <w:p w14:paraId="6B9E097C" w14:textId="77777777" w:rsidR="006128D0" w:rsidRPr="00172F56" w:rsidRDefault="006128D0" w:rsidP="00172F56">
      <w:pPr>
        <w:spacing w:line="300" w:lineRule="auto"/>
        <w:jc w:val="both"/>
        <w:rPr>
          <w:rFonts w:ascii="Arial" w:hAnsi="Arial" w:cs="Arial"/>
          <w:sz w:val="20"/>
          <w:szCs w:val="20"/>
        </w:rPr>
      </w:pPr>
    </w:p>
    <w:p w14:paraId="2FDAA47B" w14:textId="10FF5208" w:rsidR="006128D0" w:rsidRDefault="006128D0">
      <w:pPr>
        <w:pStyle w:val="ListParagraph"/>
        <w:numPr>
          <w:ilvl w:val="0"/>
          <w:numId w:val="26"/>
        </w:numPr>
        <w:spacing w:line="300" w:lineRule="auto"/>
        <w:ind w:hanging="720"/>
        <w:jc w:val="both"/>
        <w:rPr>
          <w:rFonts w:ascii="Arial" w:hAnsi="Arial" w:cs="Arial"/>
          <w:sz w:val="20"/>
          <w:szCs w:val="20"/>
        </w:rPr>
      </w:pPr>
      <w:r>
        <w:rPr>
          <w:rFonts w:ascii="Arial" w:hAnsi="Arial" w:cs="Arial"/>
          <w:sz w:val="20"/>
          <w:szCs w:val="20"/>
        </w:rPr>
        <w:t>One key message is the high level of debt of households living in rented accommodation (including the private rented sector). It is understood from conversations with the Council that households with rent arrears would be ineligible for social housing and this does seem to be driving a highly benefit dependent private rented sector (around 40% of all private tenants are claiming Housing Benefit or Universal Credit with a housing element).</w:t>
      </w:r>
    </w:p>
    <w:p w14:paraId="2DFAAE36" w14:textId="77777777" w:rsidR="006128D0" w:rsidRPr="00172F56" w:rsidRDefault="006128D0" w:rsidP="00172F56">
      <w:pPr>
        <w:spacing w:line="300" w:lineRule="auto"/>
        <w:jc w:val="both"/>
        <w:rPr>
          <w:rFonts w:ascii="Arial" w:hAnsi="Arial" w:cs="Arial"/>
          <w:sz w:val="20"/>
          <w:szCs w:val="20"/>
        </w:rPr>
      </w:pPr>
    </w:p>
    <w:p w14:paraId="48EE4F89" w14:textId="32686F98" w:rsidR="006128D0" w:rsidRDefault="006128D0">
      <w:pPr>
        <w:pStyle w:val="ListParagraph"/>
        <w:numPr>
          <w:ilvl w:val="0"/>
          <w:numId w:val="26"/>
        </w:numPr>
        <w:spacing w:line="300" w:lineRule="auto"/>
        <w:ind w:hanging="720"/>
        <w:jc w:val="both"/>
        <w:rPr>
          <w:rFonts w:ascii="Arial" w:hAnsi="Arial" w:cs="Arial"/>
          <w:sz w:val="20"/>
          <w:szCs w:val="20"/>
        </w:rPr>
      </w:pPr>
      <w:r>
        <w:rPr>
          <w:rFonts w:ascii="Arial" w:hAnsi="Arial" w:cs="Arial"/>
          <w:sz w:val="20"/>
          <w:szCs w:val="20"/>
        </w:rPr>
        <w:t>As a priority, the Council should consider if changes need to be made to allocations policies to enable some households with debt to move into the social sector – such housing would provide a better security of tenure, lower rents, and quite likely be in better condition than housing in the private rented sector. The Council’s Housing Register appears at face value to show low levels of need (just 138 in a reasonable preference category) and this seems likely to be, at least in part, due to many households either not being eligible or believing they have little chance of being housed; and therefore not applying.</w:t>
      </w:r>
    </w:p>
    <w:p w14:paraId="6B8DF03C" w14:textId="77777777" w:rsidR="006128D0" w:rsidRPr="00172F56" w:rsidRDefault="006128D0" w:rsidP="00172F56">
      <w:pPr>
        <w:spacing w:line="300" w:lineRule="auto"/>
        <w:jc w:val="both"/>
        <w:rPr>
          <w:rFonts w:ascii="Arial" w:hAnsi="Arial" w:cs="Arial"/>
          <w:sz w:val="20"/>
          <w:szCs w:val="20"/>
        </w:rPr>
      </w:pPr>
    </w:p>
    <w:p w14:paraId="69BED780" w14:textId="1AB481D1" w:rsidR="006128D0" w:rsidRPr="00B139D2" w:rsidRDefault="006128D0">
      <w:pPr>
        <w:pStyle w:val="ListParagraph"/>
        <w:numPr>
          <w:ilvl w:val="0"/>
          <w:numId w:val="26"/>
        </w:numPr>
        <w:spacing w:line="300" w:lineRule="auto"/>
        <w:ind w:hanging="720"/>
        <w:jc w:val="both"/>
        <w:rPr>
          <w:rFonts w:ascii="Arial" w:hAnsi="Arial" w:cs="Arial"/>
          <w:sz w:val="20"/>
          <w:szCs w:val="20"/>
        </w:rPr>
      </w:pPr>
      <w:r>
        <w:rPr>
          <w:rFonts w:ascii="Arial" w:hAnsi="Arial" w:cs="Arial"/>
          <w:sz w:val="20"/>
          <w:szCs w:val="20"/>
        </w:rPr>
        <w:t>Given levels of affordable need, the Council should also ensure that any new affordable housing is allocated to households with a local con</w:t>
      </w:r>
      <w:r w:rsidR="00F91719">
        <w:rPr>
          <w:rFonts w:ascii="Arial" w:hAnsi="Arial" w:cs="Arial"/>
          <w:sz w:val="20"/>
          <w:szCs w:val="20"/>
        </w:rPr>
        <w:t>n</w:t>
      </w:r>
      <w:r>
        <w:rPr>
          <w:rFonts w:ascii="Arial" w:hAnsi="Arial" w:cs="Arial"/>
          <w:sz w:val="20"/>
          <w:szCs w:val="20"/>
        </w:rPr>
        <w:t>ection (by residence or employment)</w:t>
      </w:r>
      <w:r w:rsidR="00F91719">
        <w:rPr>
          <w:rFonts w:ascii="Arial" w:hAnsi="Arial" w:cs="Arial"/>
          <w:sz w:val="20"/>
          <w:szCs w:val="20"/>
        </w:rPr>
        <w:t xml:space="preserve"> rather than being available to households from other locations.</w:t>
      </w:r>
    </w:p>
    <w:p w14:paraId="04068949" w14:textId="77777777" w:rsidR="00B139D2" w:rsidRPr="007236BD" w:rsidRDefault="00B139D2" w:rsidP="00172F56">
      <w:pPr>
        <w:spacing w:line="300" w:lineRule="auto"/>
        <w:jc w:val="both"/>
        <w:rPr>
          <w:rFonts w:ascii="Arial" w:hAnsi="Arial" w:cs="Arial"/>
          <w:sz w:val="20"/>
          <w:szCs w:val="20"/>
          <w:lang w:eastAsia="ja-JP"/>
        </w:rPr>
      </w:pPr>
    </w:p>
    <w:p w14:paraId="0010D312" w14:textId="089CE9A0" w:rsidR="00756D6B" w:rsidRPr="007236BD" w:rsidRDefault="00756D6B" w:rsidP="00172F56">
      <w:pPr>
        <w:spacing w:line="300" w:lineRule="auto"/>
        <w:jc w:val="both"/>
        <w:rPr>
          <w:rFonts w:ascii="Arial" w:hAnsi="Arial" w:cs="Arial"/>
          <w:sz w:val="20"/>
          <w:szCs w:val="20"/>
        </w:rPr>
      </w:pPr>
      <w:r w:rsidRPr="007236BD">
        <w:rPr>
          <w:rFonts w:ascii="Arial" w:hAnsi="Arial" w:cs="Arial"/>
          <w:sz w:val="20"/>
          <w:szCs w:val="20"/>
        </w:rPr>
        <w:br w:type="page"/>
      </w:r>
    </w:p>
    <w:p w14:paraId="71840507" w14:textId="245BE6E1" w:rsidR="00F87B1B" w:rsidRPr="007236BD" w:rsidRDefault="00F87B1B" w:rsidP="00172F56">
      <w:pPr>
        <w:pStyle w:val="ReportHeading1"/>
        <w:pageBreakBefore w:val="0"/>
        <w:widowControl w:val="0"/>
        <w:spacing w:before="0" w:after="0"/>
        <w:jc w:val="both"/>
        <w:rPr>
          <w:rFonts w:ascii="Arial Bold" w:hAnsi="Arial Bold" w:cs="Arial"/>
          <w:color w:val="0093D5"/>
          <w:sz w:val="32"/>
          <w:szCs w:val="32"/>
        </w:rPr>
      </w:pPr>
      <w:bookmarkStart w:id="31" w:name="_Toc112937730"/>
      <w:bookmarkStart w:id="32" w:name="_Hlk4062109"/>
      <w:r w:rsidRPr="007236BD">
        <w:rPr>
          <w:rFonts w:ascii="Arial Bold" w:hAnsi="Arial Bold" w:cs="Arial"/>
          <w:color w:val="0093D5"/>
          <w:sz w:val="32"/>
          <w:szCs w:val="32"/>
        </w:rPr>
        <w:t>1.</w:t>
      </w:r>
      <w:r w:rsidRPr="007236BD">
        <w:rPr>
          <w:rFonts w:ascii="Arial Bold" w:hAnsi="Arial Bold" w:cs="Arial"/>
          <w:color w:val="0093D5"/>
          <w:sz w:val="32"/>
          <w:szCs w:val="32"/>
        </w:rPr>
        <w:tab/>
        <w:t>Introduction</w:t>
      </w:r>
      <w:bookmarkEnd w:id="31"/>
    </w:p>
    <w:tbl>
      <w:tblPr>
        <w:tblW w:w="9639" w:type="dxa"/>
        <w:jc w:val="center"/>
        <w:tblBorders>
          <w:bottom w:val="single" w:sz="12" w:space="0" w:color="0093D5"/>
        </w:tblBorders>
        <w:tblLook w:val="01E0" w:firstRow="1" w:lastRow="1" w:firstColumn="1" w:lastColumn="1" w:noHBand="0" w:noVBand="0"/>
      </w:tblPr>
      <w:tblGrid>
        <w:gridCol w:w="9639"/>
      </w:tblGrid>
      <w:tr w:rsidR="00F87B1B" w:rsidRPr="007236BD" w14:paraId="58AC96D3" w14:textId="77777777" w:rsidTr="00C42BD8">
        <w:trPr>
          <w:jc w:val="center"/>
        </w:trPr>
        <w:tc>
          <w:tcPr>
            <w:tcW w:w="9639" w:type="dxa"/>
            <w:shd w:val="clear" w:color="auto" w:fill="auto"/>
            <w:vAlign w:val="center"/>
          </w:tcPr>
          <w:p w14:paraId="70C1DF9E" w14:textId="77777777" w:rsidR="00F87B1B" w:rsidRPr="007236BD" w:rsidRDefault="00F87B1B" w:rsidP="00172F56">
            <w:pPr>
              <w:keepNext/>
              <w:keepLines/>
              <w:jc w:val="both"/>
              <w:rPr>
                <w:rFonts w:ascii="Arial" w:hAnsi="Arial"/>
                <w:sz w:val="2"/>
                <w:szCs w:val="2"/>
              </w:rPr>
            </w:pPr>
          </w:p>
        </w:tc>
      </w:tr>
    </w:tbl>
    <w:p w14:paraId="4B92B78A" w14:textId="77777777" w:rsidR="00DA0AE1" w:rsidRPr="007236BD" w:rsidRDefault="00DA0AE1" w:rsidP="00172F56">
      <w:pPr>
        <w:widowControl w:val="0"/>
        <w:spacing w:line="300" w:lineRule="auto"/>
        <w:jc w:val="both"/>
        <w:rPr>
          <w:rFonts w:ascii="Arial" w:hAnsi="Arial" w:cs="Arial"/>
          <w:sz w:val="20"/>
          <w:szCs w:val="20"/>
        </w:rPr>
      </w:pPr>
    </w:p>
    <w:p w14:paraId="5697F9E8" w14:textId="77777777" w:rsidR="00DA0AE1" w:rsidRPr="007236BD" w:rsidRDefault="00DA0AE1" w:rsidP="00172F56">
      <w:pPr>
        <w:spacing w:line="300" w:lineRule="auto"/>
        <w:jc w:val="both"/>
        <w:rPr>
          <w:rFonts w:ascii="Arial" w:hAnsi="Arial" w:cs="Arial"/>
          <w:b/>
          <w:lang w:eastAsia="ja-JP"/>
        </w:rPr>
      </w:pPr>
      <w:bookmarkStart w:id="33" w:name="_Hlk500507505"/>
      <w:r w:rsidRPr="007236BD">
        <w:rPr>
          <w:rFonts w:ascii="Arial" w:hAnsi="Arial" w:cs="Arial"/>
          <w:b/>
          <w:lang w:eastAsia="ja-JP"/>
        </w:rPr>
        <w:t>Introduction</w:t>
      </w:r>
    </w:p>
    <w:p w14:paraId="1F5B0BC8" w14:textId="77777777" w:rsidR="00DA0AE1" w:rsidRPr="002143DA" w:rsidRDefault="00DA0AE1" w:rsidP="00172F56">
      <w:pPr>
        <w:spacing w:line="300" w:lineRule="auto"/>
        <w:jc w:val="both"/>
        <w:rPr>
          <w:rFonts w:ascii="Arial" w:hAnsi="Arial" w:cs="Arial"/>
          <w:sz w:val="20"/>
          <w:szCs w:val="20"/>
          <w:lang w:eastAsia="ja-JP"/>
        </w:rPr>
      </w:pPr>
      <w:bookmarkStart w:id="34" w:name="_Hlk281090"/>
    </w:p>
    <w:bookmarkEnd w:id="32"/>
    <w:bookmarkEnd w:id="33"/>
    <w:bookmarkEnd w:id="34"/>
    <w:p w14:paraId="6CFEA43A" w14:textId="091FF0C8" w:rsidR="00EE5E4D" w:rsidRPr="00267663" w:rsidRDefault="002143DA">
      <w:pPr>
        <w:pStyle w:val="11Bodytext"/>
        <w:numPr>
          <w:ilvl w:val="1"/>
          <w:numId w:val="23"/>
        </w:numPr>
        <w:spacing w:before="0" w:after="0" w:line="300" w:lineRule="auto"/>
        <w:ind w:left="720" w:hanging="720"/>
        <w:rPr>
          <w:color w:val="auto"/>
        </w:rPr>
      </w:pPr>
      <w:r w:rsidRPr="002143DA">
        <w:t>Justin Gardner Consulting (JGC) working in association with CNB Housing Insights</w:t>
      </w:r>
      <w:r w:rsidR="00243A09">
        <w:t xml:space="preserve"> were </w:t>
      </w:r>
      <w:r w:rsidRPr="002143DA">
        <w:t xml:space="preserve">commissioned by </w:t>
      </w:r>
      <w:r w:rsidR="00DE546C" w:rsidRPr="002143DA">
        <w:t>Fylde Council to undertake a Housing Needs Survey for the Borough.</w:t>
      </w:r>
      <w:r w:rsidRPr="002143DA">
        <w:t xml:space="preserve"> </w:t>
      </w:r>
      <w:r w:rsidR="00DE546C" w:rsidRPr="002143DA">
        <w:t>The Housing Needs Survey provide</w:t>
      </w:r>
      <w:r w:rsidRPr="002143DA">
        <w:t>s</w:t>
      </w:r>
      <w:r w:rsidR="00DE546C" w:rsidRPr="002143DA">
        <w:t xml:space="preserve"> a key piece of the evidence base to support the</w:t>
      </w:r>
      <w:r w:rsidRPr="002143DA">
        <w:t xml:space="preserve"> </w:t>
      </w:r>
      <w:r w:rsidR="00DE546C" w:rsidRPr="002143DA">
        <w:t>Council in driving the delivery of affordable housing of appropriate types in different parts of</w:t>
      </w:r>
      <w:r w:rsidRPr="002143DA">
        <w:t xml:space="preserve"> </w:t>
      </w:r>
      <w:r w:rsidR="00DE546C" w:rsidRPr="002143DA">
        <w:t>the Borough, and ensuring that needs of particular groups are met.</w:t>
      </w:r>
      <w:r w:rsidRPr="002143DA">
        <w:t xml:space="preserve"> </w:t>
      </w:r>
      <w:r w:rsidR="00DE546C" w:rsidRPr="002143DA">
        <w:t xml:space="preserve">The </w:t>
      </w:r>
      <w:r w:rsidRPr="002143DA">
        <w:t>survey</w:t>
      </w:r>
      <w:r w:rsidR="00DE546C" w:rsidRPr="002143DA">
        <w:t xml:space="preserve"> therefore focus</w:t>
      </w:r>
      <w:r w:rsidR="001549B3">
        <w:t>s</w:t>
      </w:r>
      <w:r w:rsidRPr="002143DA">
        <w:t>es</w:t>
      </w:r>
      <w:r w:rsidR="00DE546C" w:rsidRPr="002143DA">
        <w:t xml:space="preserve"> on affordable housing needs, </w:t>
      </w:r>
      <w:r w:rsidRPr="002143DA">
        <w:t>but also provides data about the needs of other</w:t>
      </w:r>
      <w:r w:rsidR="00DE546C" w:rsidRPr="002143DA">
        <w:t xml:space="preserve"> particular groups </w:t>
      </w:r>
      <w:r w:rsidRPr="002143DA">
        <w:t>– including people with disabilities</w:t>
      </w:r>
      <w:r w:rsidR="00DE546C" w:rsidRPr="002143DA">
        <w:t>.</w:t>
      </w:r>
    </w:p>
    <w:p w14:paraId="620F221F" w14:textId="77777777" w:rsidR="00267663" w:rsidRPr="00267663" w:rsidRDefault="00267663" w:rsidP="00172F56">
      <w:pPr>
        <w:pStyle w:val="11Bodytext"/>
        <w:numPr>
          <w:ilvl w:val="0"/>
          <w:numId w:val="0"/>
        </w:numPr>
        <w:spacing w:before="0" w:after="0" w:line="300" w:lineRule="auto"/>
        <w:rPr>
          <w:color w:val="auto"/>
        </w:rPr>
      </w:pPr>
    </w:p>
    <w:p w14:paraId="03A0BD0B" w14:textId="18B591D1" w:rsidR="00267663" w:rsidRPr="002143DA" w:rsidRDefault="00267663">
      <w:pPr>
        <w:pStyle w:val="11Bodytext"/>
        <w:numPr>
          <w:ilvl w:val="1"/>
          <w:numId w:val="23"/>
        </w:numPr>
        <w:spacing w:before="0" w:after="0" w:line="300" w:lineRule="auto"/>
        <w:ind w:left="720" w:hanging="720"/>
        <w:rPr>
          <w:color w:val="auto"/>
        </w:rPr>
      </w:pPr>
      <w:r>
        <w:rPr>
          <w:color w:val="auto"/>
        </w:rPr>
        <w:t xml:space="preserve">Whilst the survey has been carried out across the whole Borough, a key aspect was to understand differences between areas, and for this a total of 10 sub-areas were </w:t>
      </w:r>
      <w:r w:rsidR="00243A09">
        <w:rPr>
          <w:color w:val="auto"/>
        </w:rPr>
        <w:t>defined</w:t>
      </w:r>
      <w:r w:rsidR="00F833E0">
        <w:rPr>
          <w:color w:val="auto"/>
        </w:rPr>
        <w:t xml:space="preserve">. </w:t>
      </w:r>
      <w:r>
        <w:rPr>
          <w:color w:val="auto"/>
        </w:rPr>
        <w:t xml:space="preserve">These were made up of </w:t>
      </w:r>
      <w:r w:rsidR="00177D13">
        <w:rPr>
          <w:color w:val="auto"/>
        </w:rPr>
        <w:t xml:space="preserve">seven </w:t>
      </w:r>
      <w:r>
        <w:rPr>
          <w:color w:val="auto"/>
        </w:rPr>
        <w:t xml:space="preserve">urban locations and three rural. The table below shows the sub-areas </w:t>
      </w:r>
      <w:r w:rsidR="00243A09">
        <w:rPr>
          <w:color w:val="auto"/>
        </w:rPr>
        <w:t>studied</w:t>
      </w:r>
      <w:r>
        <w:rPr>
          <w:color w:val="auto"/>
        </w:rPr>
        <w:t xml:space="preserve"> in </w:t>
      </w:r>
      <w:r w:rsidR="00243A09">
        <w:rPr>
          <w:color w:val="auto"/>
        </w:rPr>
        <w:t xml:space="preserve">the </w:t>
      </w:r>
      <w:r>
        <w:rPr>
          <w:color w:val="auto"/>
        </w:rPr>
        <w:t>analysis.</w:t>
      </w:r>
    </w:p>
    <w:p w14:paraId="3094BC09" w14:textId="13C7B135" w:rsidR="00EE5E4D" w:rsidRDefault="00EE5E4D" w:rsidP="00172F56">
      <w:pPr>
        <w:pStyle w:val="11Bodytext"/>
        <w:numPr>
          <w:ilvl w:val="0"/>
          <w:numId w:val="0"/>
        </w:numPr>
        <w:spacing w:before="0" w:after="0" w:line="300" w:lineRule="auto"/>
      </w:pPr>
    </w:p>
    <w:tbl>
      <w:tblPr>
        <w:tblStyle w:val="TableTheme"/>
        <w:tblW w:w="8199" w:type="dxa"/>
        <w:jc w:val="center"/>
        <w:tblLook w:val="04A0" w:firstRow="1" w:lastRow="0" w:firstColumn="1" w:lastColumn="0" w:noHBand="0" w:noVBand="1"/>
      </w:tblPr>
      <w:tblGrid>
        <w:gridCol w:w="1555"/>
        <w:gridCol w:w="6644"/>
      </w:tblGrid>
      <w:tr w:rsidR="00AC0D42" w:rsidRPr="00B92CA6" w14:paraId="7D735B45" w14:textId="77777777" w:rsidTr="00B92CA6">
        <w:trPr>
          <w:jc w:val="center"/>
        </w:trPr>
        <w:tc>
          <w:tcPr>
            <w:tcW w:w="8199" w:type="dxa"/>
            <w:gridSpan w:val="2"/>
          </w:tcPr>
          <w:p w14:paraId="1623FB7B" w14:textId="126E153A" w:rsidR="00AC0D42" w:rsidRPr="00B92CA6" w:rsidRDefault="00AD29A6" w:rsidP="00371547">
            <w:pPr>
              <w:pStyle w:val="11Bodytext"/>
              <w:keepNext/>
              <w:numPr>
                <w:ilvl w:val="0"/>
                <w:numId w:val="0"/>
              </w:numPr>
              <w:spacing w:before="60" w:after="60" w:line="300" w:lineRule="auto"/>
              <w:jc w:val="center"/>
              <w:rPr>
                <w:b/>
                <w:bCs w:val="0"/>
              </w:rPr>
            </w:pPr>
            <w:r>
              <w:rPr>
                <w:b/>
                <w:bCs w:val="0"/>
              </w:rPr>
              <w:t>Figure</w:t>
            </w:r>
            <w:r w:rsidR="00AC0D42" w:rsidRPr="00B92CA6">
              <w:rPr>
                <w:b/>
                <w:bCs w:val="0"/>
              </w:rPr>
              <w:t xml:space="preserve"> 1.1: List of sub-areas used in housing needs survey and description of area</w:t>
            </w:r>
          </w:p>
        </w:tc>
      </w:tr>
      <w:tr w:rsidR="00AC0D42" w:rsidRPr="00B92CA6" w14:paraId="6EE204A4" w14:textId="77777777" w:rsidTr="00B92CA6">
        <w:trPr>
          <w:jc w:val="center"/>
        </w:trPr>
        <w:tc>
          <w:tcPr>
            <w:tcW w:w="1555" w:type="dxa"/>
          </w:tcPr>
          <w:p w14:paraId="4D81721B" w14:textId="3B9149F3" w:rsidR="00AC0D42" w:rsidRPr="00B92CA6" w:rsidRDefault="00AC0D42" w:rsidP="00371547">
            <w:pPr>
              <w:pStyle w:val="11Bodytext"/>
              <w:keepNext/>
              <w:numPr>
                <w:ilvl w:val="0"/>
                <w:numId w:val="0"/>
              </w:numPr>
              <w:spacing w:before="60" w:after="60" w:line="300" w:lineRule="auto"/>
              <w:jc w:val="left"/>
            </w:pPr>
            <w:r w:rsidRPr="00B92CA6">
              <w:t>Sub-area</w:t>
            </w:r>
          </w:p>
        </w:tc>
        <w:tc>
          <w:tcPr>
            <w:tcW w:w="6644" w:type="dxa"/>
          </w:tcPr>
          <w:p w14:paraId="7A036260" w14:textId="2466D77A" w:rsidR="00AC0D42" w:rsidRPr="00B92CA6" w:rsidRDefault="00AC0D42" w:rsidP="00371547">
            <w:pPr>
              <w:pStyle w:val="11Bodytext"/>
              <w:keepNext/>
              <w:numPr>
                <w:ilvl w:val="0"/>
                <w:numId w:val="0"/>
              </w:numPr>
              <w:spacing w:before="60" w:after="60" w:line="300" w:lineRule="auto"/>
              <w:jc w:val="left"/>
            </w:pPr>
            <w:r w:rsidRPr="00B92CA6">
              <w:t>Description</w:t>
            </w:r>
          </w:p>
        </w:tc>
      </w:tr>
      <w:tr w:rsidR="00AC0D42" w:rsidRPr="00B92CA6" w14:paraId="62E9516A" w14:textId="77777777" w:rsidTr="00B92CA6">
        <w:trPr>
          <w:jc w:val="center"/>
        </w:trPr>
        <w:tc>
          <w:tcPr>
            <w:tcW w:w="1555" w:type="dxa"/>
          </w:tcPr>
          <w:p w14:paraId="6FD90CDF" w14:textId="150A467E" w:rsidR="00AC0D42" w:rsidRPr="00B92CA6" w:rsidRDefault="00AC0D42" w:rsidP="00371547">
            <w:pPr>
              <w:pStyle w:val="11Bodytext"/>
              <w:keepNext/>
              <w:numPr>
                <w:ilvl w:val="0"/>
                <w:numId w:val="0"/>
              </w:numPr>
              <w:spacing w:before="0" w:after="0" w:line="300" w:lineRule="auto"/>
              <w:jc w:val="left"/>
            </w:pPr>
            <w:r w:rsidRPr="00B92CA6">
              <w:t>St. Annes</w:t>
            </w:r>
          </w:p>
        </w:tc>
        <w:tc>
          <w:tcPr>
            <w:tcW w:w="6644" w:type="dxa"/>
          </w:tcPr>
          <w:p w14:paraId="74CFCC9B" w14:textId="4A9685E9" w:rsidR="00AC0D42" w:rsidRPr="00B92CA6" w:rsidRDefault="00AC0D42" w:rsidP="00371547">
            <w:pPr>
              <w:pStyle w:val="11Bodytext"/>
              <w:keepNext/>
              <w:numPr>
                <w:ilvl w:val="0"/>
                <w:numId w:val="0"/>
              </w:numPr>
              <w:spacing w:before="0" w:after="0" w:line="300" w:lineRule="auto"/>
              <w:jc w:val="left"/>
            </w:pPr>
            <w:r w:rsidRPr="00B92CA6">
              <w:t>Parish minus the postcodes identified in Fylde-Blackpool Periphery below</w:t>
            </w:r>
          </w:p>
        </w:tc>
      </w:tr>
      <w:tr w:rsidR="00AC0D42" w:rsidRPr="00B92CA6" w14:paraId="104C6044" w14:textId="77777777" w:rsidTr="00B92CA6">
        <w:trPr>
          <w:jc w:val="center"/>
        </w:trPr>
        <w:tc>
          <w:tcPr>
            <w:tcW w:w="1555" w:type="dxa"/>
          </w:tcPr>
          <w:p w14:paraId="2BE53A22" w14:textId="307C38A6" w:rsidR="00AC0D42" w:rsidRPr="00B92CA6" w:rsidRDefault="00AC0D42" w:rsidP="00371547">
            <w:pPr>
              <w:pStyle w:val="11Bodytext"/>
              <w:keepNext/>
              <w:numPr>
                <w:ilvl w:val="0"/>
                <w:numId w:val="0"/>
              </w:numPr>
              <w:spacing w:before="0" w:after="0" w:line="300" w:lineRule="auto"/>
              <w:jc w:val="left"/>
            </w:pPr>
            <w:r w:rsidRPr="00B92CA6">
              <w:t>Lytham</w:t>
            </w:r>
          </w:p>
        </w:tc>
        <w:tc>
          <w:tcPr>
            <w:tcW w:w="6644" w:type="dxa"/>
          </w:tcPr>
          <w:p w14:paraId="13F3F00A" w14:textId="107598C7" w:rsidR="00AC0D42" w:rsidRPr="00B92CA6" w:rsidRDefault="00AC0D42" w:rsidP="00371547">
            <w:pPr>
              <w:autoSpaceDE w:val="0"/>
              <w:autoSpaceDN w:val="0"/>
              <w:adjustRightInd w:val="0"/>
              <w:spacing w:line="300" w:lineRule="auto"/>
              <w:rPr>
                <w:rFonts w:ascii="Arial" w:hAnsi="Arial" w:cs="Arial"/>
                <w:bCs/>
                <w:sz w:val="20"/>
                <w:szCs w:val="20"/>
              </w:rPr>
            </w:pPr>
            <w:r w:rsidRPr="00B92CA6">
              <w:rPr>
                <w:rFonts w:ascii="Arial" w:hAnsi="Arial" w:cs="Arial"/>
                <w:bCs/>
                <w:sz w:val="20"/>
                <w:szCs w:val="20"/>
              </w:rPr>
              <w:t>Unparished area: this is the only unparished area in the Borough, so the whole of the unparished area of the Borough was treated as Lytham</w:t>
            </w:r>
          </w:p>
        </w:tc>
      </w:tr>
      <w:tr w:rsidR="00AC0D42" w:rsidRPr="00B92CA6" w14:paraId="57D92371" w14:textId="77777777" w:rsidTr="00B92CA6">
        <w:trPr>
          <w:jc w:val="center"/>
        </w:trPr>
        <w:tc>
          <w:tcPr>
            <w:tcW w:w="1555" w:type="dxa"/>
          </w:tcPr>
          <w:p w14:paraId="5D15BFC2" w14:textId="156554B4" w:rsidR="00AC0D42" w:rsidRPr="00B92CA6" w:rsidRDefault="00AC0D42" w:rsidP="00371547">
            <w:pPr>
              <w:pStyle w:val="11Bodytext"/>
              <w:keepNext/>
              <w:numPr>
                <w:ilvl w:val="0"/>
                <w:numId w:val="0"/>
              </w:numPr>
              <w:spacing w:before="0" w:after="0" w:line="300" w:lineRule="auto"/>
              <w:jc w:val="left"/>
            </w:pPr>
            <w:r w:rsidRPr="00B92CA6">
              <w:t>Warton</w:t>
            </w:r>
          </w:p>
        </w:tc>
        <w:tc>
          <w:tcPr>
            <w:tcW w:w="6644" w:type="dxa"/>
          </w:tcPr>
          <w:p w14:paraId="266A5204" w14:textId="66E9D169" w:rsidR="00AC0D42" w:rsidRPr="00B92CA6" w:rsidRDefault="00AC0D42" w:rsidP="00371547">
            <w:pPr>
              <w:pStyle w:val="11Bodytext"/>
              <w:keepNext/>
              <w:numPr>
                <w:ilvl w:val="0"/>
                <w:numId w:val="0"/>
              </w:numPr>
              <w:spacing w:before="0" w:after="0" w:line="300" w:lineRule="auto"/>
              <w:jc w:val="left"/>
            </w:pPr>
            <w:r w:rsidRPr="00B92CA6">
              <w:t>Bryning-with-Warton (parish)</w:t>
            </w:r>
          </w:p>
        </w:tc>
      </w:tr>
      <w:tr w:rsidR="00AC0D42" w:rsidRPr="00B92CA6" w14:paraId="5C46F01C" w14:textId="77777777" w:rsidTr="00B92CA6">
        <w:trPr>
          <w:jc w:val="center"/>
        </w:trPr>
        <w:tc>
          <w:tcPr>
            <w:tcW w:w="1555" w:type="dxa"/>
          </w:tcPr>
          <w:p w14:paraId="40318489" w14:textId="6F67A6B6" w:rsidR="00AC0D42" w:rsidRPr="00B92CA6" w:rsidRDefault="00B92CA6" w:rsidP="00371547">
            <w:pPr>
              <w:pStyle w:val="11Bodytext"/>
              <w:keepNext/>
              <w:numPr>
                <w:ilvl w:val="0"/>
                <w:numId w:val="0"/>
              </w:numPr>
              <w:spacing w:before="0" w:after="0" w:line="300" w:lineRule="auto"/>
              <w:jc w:val="left"/>
            </w:pPr>
            <w:r w:rsidRPr="00B92CA6">
              <w:t>Fylde-Blackpool Periphery</w:t>
            </w:r>
          </w:p>
        </w:tc>
        <w:tc>
          <w:tcPr>
            <w:tcW w:w="6644" w:type="dxa"/>
          </w:tcPr>
          <w:p w14:paraId="46B6577B" w14:textId="4899B15D" w:rsidR="00AC0D42" w:rsidRPr="00B92CA6" w:rsidRDefault="00B92CA6" w:rsidP="00371547">
            <w:pPr>
              <w:pStyle w:val="11Bodytext"/>
              <w:keepNext/>
              <w:numPr>
                <w:ilvl w:val="0"/>
                <w:numId w:val="0"/>
              </w:numPr>
              <w:spacing w:before="0" w:after="0" w:line="300" w:lineRule="auto"/>
              <w:jc w:val="left"/>
            </w:pPr>
            <w:r w:rsidRPr="00B92CA6">
              <w:t>Postcodes within the parish of Westby-with-Plumptons lying in the area bounded by (to the north and west of) School Road, Whitehill Road, Preston New Road and Peel Hill (but including properties on the east side of Peel Hill), plus properties lying within the Whyndyke Farm development site. Also properties within St Annes parish lying north of the nature reserve, Links golf course and Blackpool Airport</w:t>
            </w:r>
          </w:p>
        </w:tc>
      </w:tr>
      <w:tr w:rsidR="00AC0D42" w:rsidRPr="00B92CA6" w14:paraId="7ED6FF47" w14:textId="77777777" w:rsidTr="00B92CA6">
        <w:trPr>
          <w:jc w:val="center"/>
        </w:trPr>
        <w:tc>
          <w:tcPr>
            <w:tcW w:w="1555" w:type="dxa"/>
          </w:tcPr>
          <w:p w14:paraId="287647A0" w14:textId="31FF8774" w:rsidR="00AC0D42" w:rsidRPr="00B92CA6" w:rsidRDefault="00B92CA6" w:rsidP="00371547">
            <w:pPr>
              <w:pStyle w:val="11Bodytext"/>
              <w:keepNext/>
              <w:numPr>
                <w:ilvl w:val="0"/>
                <w:numId w:val="0"/>
              </w:numPr>
              <w:spacing w:before="0" w:after="0" w:line="300" w:lineRule="auto"/>
              <w:jc w:val="left"/>
            </w:pPr>
            <w:r w:rsidRPr="00B92CA6">
              <w:t>Kirkham</w:t>
            </w:r>
          </w:p>
        </w:tc>
        <w:tc>
          <w:tcPr>
            <w:tcW w:w="6644" w:type="dxa"/>
          </w:tcPr>
          <w:p w14:paraId="5CA69CB7" w14:textId="7DC9B4DE" w:rsidR="00AC0D42" w:rsidRPr="00B92CA6" w:rsidRDefault="00B92CA6" w:rsidP="00371547">
            <w:pPr>
              <w:pStyle w:val="11Bodytext"/>
              <w:keepNext/>
              <w:numPr>
                <w:ilvl w:val="0"/>
                <w:numId w:val="0"/>
              </w:numPr>
              <w:spacing w:before="0" w:after="0" w:line="300" w:lineRule="auto"/>
              <w:jc w:val="left"/>
            </w:pPr>
            <w:r w:rsidRPr="00B92CA6">
              <w:t>Parish</w:t>
            </w:r>
          </w:p>
        </w:tc>
      </w:tr>
      <w:tr w:rsidR="00B92CA6" w:rsidRPr="00B92CA6" w14:paraId="4AF96007" w14:textId="77777777" w:rsidTr="00B92CA6">
        <w:trPr>
          <w:jc w:val="center"/>
        </w:trPr>
        <w:tc>
          <w:tcPr>
            <w:tcW w:w="1555" w:type="dxa"/>
          </w:tcPr>
          <w:p w14:paraId="0404E674" w14:textId="0AEA8920" w:rsidR="00B92CA6" w:rsidRPr="00B92CA6" w:rsidRDefault="00B92CA6" w:rsidP="00371547">
            <w:pPr>
              <w:pStyle w:val="11Bodytext"/>
              <w:keepNext/>
              <w:numPr>
                <w:ilvl w:val="0"/>
                <w:numId w:val="0"/>
              </w:numPr>
              <w:spacing w:before="0" w:after="0" w:line="300" w:lineRule="auto"/>
              <w:jc w:val="left"/>
            </w:pPr>
            <w:r w:rsidRPr="00B92CA6">
              <w:t>Wesham</w:t>
            </w:r>
          </w:p>
        </w:tc>
        <w:tc>
          <w:tcPr>
            <w:tcW w:w="6644" w:type="dxa"/>
          </w:tcPr>
          <w:p w14:paraId="4B099DD9" w14:textId="024CDCC4" w:rsidR="00B92CA6" w:rsidRPr="00B92CA6" w:rsidRDefault="00B92CA6" w:rsidP="00371547">
            <w:pPr>
              <w:pStyle w:val="11Bodytext"/>
              <w:keepNext/>
              <w:numPr>
                <w:ilvl w:val="0"/>
                <w:numId w:val="0"/>
              </w:numPr>
              <w:spacing w:before="0" w:after="0" w:line="300" w:lineRule="auto"/>
              <w:jc w:val="left"/>
            </w:pPr>
            <w:r w:rsidRPr="00B92CA6">
              <w:t>Medlar-with-Wesham parish</w:t>
            </w:r>
          </w:p>
        </w:tc>
      </w:tr>
      <w:tr w:rsidR="00B92CA6" w:rsidRPr="00B92CA6" w14:paraId="0ECAE181" w14:textId="77777777" w:rsidTr="00B92CA6">
        <w:trPr>
          <w:jc w:val="center"/>
        </w:trPr>
        <w:tc>
          <w:tcPr>
            <w:tcW w:w="1555" w:type="dxa"/>
          </w:tcPr>
          <w:p w14:paraId="5122DC49" w14:textId="21FE573F" w:rsidR="00B92CA6" w:rsidRPr="00B92CA6" w:rsidRDefault="00B92CA6" w:rsidP="00371547">
            <w:pPr>
              <w:pStyle w:val="11Bodytext"/>
              <w:keepNext/>
              <w:numPr>
                <w:ilvl w:val="0"/>
                <w:numId w:val="0"/>
              </w:numPr>
              <w:spacing w:before="0" w:after="0" w:line="300" w:lineRule="auto"/>
              <w:jc w:val="left"/>
            </w:pPr>
            <w:r w:rsidRPr="00B92CA6">
              <w:t>Freckleton</w:t>
            </w:r>
          </w:p>
        </w:tc>
        <w:tc>
          <w:tcPr>
            <w:tcW w:w="6644" w:type="dxa"/>
          </w:tcPr>
          <w:p w14:paraId="4169B17D" w14:textId="3E8536D7" w:rsidR="00B92CA6" w:rsidRPr="00B92CA6" w:rsidRDefault="00B92CA6" w:rsidP="00371547">
            <w:pPr>
              <w:pStyle w:val="11Bodytext"/>
              <w:keepNext/>
              <w:numPr>
                <w:ilvl w:val="0"/>
                <w:numId w:val="0"/>
              </w:numPr>
              <w:spacing w:before="0" w:after="0" w:line="300" w:lineRule="auto"/>
              <w:jc w:val="left"/>
            </w:pPr>
            <w:r w:rsidRPr="00B92CA6">
              <w:t>Parish</w:t>
            </w:r>
          </w:p>
        </w:tc>
      </w:tr>
      <w:tr w:rsidR="00B92CA6" w:rsidRPr="00B92CA6" w14:paraId="3F151DA1" w14:textId="77777777" w:rsidTr="00B92CA6">
        <w:trPr>
          <w:jc w:val="center"/>
        </w:trPr>
        <w:tc>
          <w:tcPr>
            <w:tcW w:w="1555" w:type="dxa"/>
          </w:tcPr>
          <w:p w14:paraId="1873B4C9" w14:textId="1B8AC7BF" w:rsidR="00B92CA6" w:rsidRPr="00B92CA6" w:rsidRDefault="00B92CA6" w:rsidP="00371547">
            <w:pPr>
              <w:pStyle w:val="11Bodytext"/>
              <w:keepNext/>
              <w:numPr>
                <w:ilvl w:val="0"/>
                <w:numId w:val="0"/>
              </w:numPr>
              <w:spacing w:before="0" w:after="0" w:line="300" w:lineRule="auto"/>
              <w:jc w:val="left"/>
            </w:pPr>
            <w:r w:rsidRPr="00B92CA6">
              <w:t>Rural North</w:t>
            </w:r>
          </w:p>
        </w:tc>
        <w:tc>
          <w:tcPr>
            <w:tcW w:w="6644" w:type="dxa"/>
          </w:tcPr>
          <w:p w14:paraId="29EB3320" w14:textId="08A7B51A" w:rsidR="00B92CA6" w:rsidRPr="00B92CA6" w:rsidRDefault="00B92CA6" w:rsidP="00371547">
            <w:pPr>
              <w:pStyle w:val="11Bodytext"/>
              <w:keepNext/>
              <w:numPr>
                <w:ilvl w:val="0"/>
                <w:numId w:val="0"/>
              </w:numPr>
              <w:spacing w:before="0" w:after="0" w:line="300" w:lineRule="auto"/>
              <w:jc w:val="left"/>
            </w:pPr>
            <w:r w:rsidRPr="00B92CA6">
              <w:t>Staining (parish), Singleton (parish), Weeton</w:t>
            </w:r>
            <w:r w:rsidR="00235B52">
              <w:t>-with</w:t>
            </w:r>
            <w:r w:rsidR="00C75E43">
              <w:t>-</w:t>
            </w:r>
            <w:r w:rsidR="00235B52">
              <w:t>Preese</w:t>
            </w:r>
            <w:r w:rsidRPr="00B92CA6">
              <w:t xml:space="preserve"> (parish), Greenhalgh-with-Thistleton (parish), Elswick (parish), Little Eccleston-with-Larbreck (parish)</w:t>
            </w:r>
          </w:p>
        </w:tc>
      </w:tr>
      <w:tr w:rsidR="00B92CA6" w14:paraId="188CDBFA" w14:textId="77777777" w:rsidTr="00B92CA6">
        <w:trPr>
          <w:jc w:val="center"/>
        </w:trPr>
        <w:tc>
          <w:tcPr>
            <w:tcW w:w="1555" w:type="dxa"/>
          </w:tcPr>
          <w:p w14:paraId="6483D251" w14:textId="289CC7CF" w:rsidR="00B92CA6" w:rsidRPr="00B92CA6" w:rsidRDefault="00B92CA6" w:rsidP="00371547">
            <w:pPr>
              <w:pStyle w:val="11Bodytext"/>
              <w:keepNext/>
              <w:numPr>
                <w:ilvl w:val="0"/>
                <w:numId w:val="0"/>
              </w:numPr>
              <w:spacing w:before="0" w:after="0" w:line="300" w:lineRule="auto"/>
              <w:jc w:val="left"/>
            </w:pPr>
            <w:r w:rsidRPr="00B92CA6">
              <w:t>Rural West</w:t>
            </w:r>
          </w:p>
        </w:tc>
        <w:tc>
          <w:tcPr>
            <w:tcW w:w="6644" w:type="dxa"/>
          </w:tcPr>
          <w:p w14:paraId="302863E4" w14:textId="45491088" w:rsidR="00B92CA6" w:rsidRPr="00B92CA6" w:rsidRDefault="00B92CA6" w:rsidP="00371547">
            <w:pPr>
              <w:pStyle w:val="11Bodytext"/>
              <w:keepNext/>
              <w:numPr>
                <w:ilvl w:val="0"/>
                <w:numId w:val="0"/>
              </w:numPr>
              <w:spacing w:before="0" w:after="0" w:line="300" w:lineRule="auto"/>
              <w:jc w:val="left"/>
            </w:pPr>
            <w:r w:rsidRPr="00B92CA6">
              <w:t>Ribby-with-Wrea (parish), Westby-with-Plumptons (remainder of parish having subtracted the postcodes in Fylde-Blackpool Periphery above)</w:t>
            </w:r>
          </w:p>
        </w:tc>
      </w:tr>
      <w:tr w:rsidR="00B92CA6" w14:paraId="3A16E60C" w14:textId="77777777" w:rsidTr="00B92CA6">
        <w:trPr>
          <w:jc w:val="center"/>
        </w:trPr>
        <w:tc>
          <w:tcPr>
            <w:tcW w:w="1555" w:type="dxa"/>
          </w:tcPr>
          <w:p w14:paraId="6288A144" w14:textId="2E1A2263" w:rsidR="00B92CA6" w:rsidRPr="00B92CA6" w:rsidRDefault="00B92CA6" w:rsidP="00371547">
            <w:pPr>
              <w:pStyle w:val="11Bodytext"/>
              <w:keepNext/>
              <w:numPr>
                <w:ilvl w:val="0"/>
                <w:numId w:val="0"/>
              </w:numPr>
              <w:spacing w:before="0" w:after="0" w:line="300" w:lineRule="auto"/>
              <w:jc w:val="left"/>
            </w:pPr>
            <w:r w:rsidRPr="00B92CA6">
              <w:t>Rural East</w:t>
            </w:r>
          </w:p>
        </w:tc>
        <w:tc>
          <w:tcPr>
            <w:tcW w:w="6644" w:type="dxa"/>
          </w:tcPr>
          <w:p w14:paraId="2E9F8DFD" w14:textId="18053D3F" w:rsidR="00B92CA6" w:rsidRPr="00B92CA6" w:rsidRDefault="00B92CA6" w:rsidP="00371547">
            <w:pPr>
              <w:pStyle w:val="11Bodytext"/>
              <w:keepNext/>
              <w:numPr>
                <w:ilvl w:val="0"/>
                <w:numId w:val="0"/>
              </w:numPr>
              <w:spacing w:before="0" w:after="0" w:line="300" w:lineRule="auto"/>
              <w:jc w:val="left"/>
            </w:pPr>
            <w:r w:rsidRPr="00B92CA6">
              <w:t>Treales, Roseacre and Wharles (parish), Newton-with-Clifton (parish)</w:t>
            </w:r>
          </w:p>
        </w:tc>
      </w:tr>
    </w:tbl>
    <w:p w14:paraId="6EE5F6E6" w14:textId="330C2871" w:rsidR="00267663" w:rsidRDefault="00AC0D42" w:rsidP="00371547">
      <w:pPr>
        <w:pStyle w:val="11Bodytext"/>
        <w:numPr>
          <w:ilvl w:val="0"/>
          <w:numId w:val="0"/>
        </w:numPr>
        <w:spacing w:before="0" w:after="0" w:line="300" w:lineRule="auto"/>
        <w:jc w:val="center"/>
      </w:pPr>
      <w:r>
        <w:t>Source: Fylde Council</w:t>
      </w:r>
    </w:p>
    <w:p w14:paraId="02E5AF7E" w14:textId="77777777" w:rsidR="00267663" w:rsidRPr="002143DA" w:rsidRDefault="00267663" w:rsidP="00172F56">
      <w:pPr>
        <w:pStyle w:val="11Bodytext"/>
        <w:numPr>
          <w:ilvl w:val="0"/>
          <w:numId w:val="0"/>
        </w:numPr>
        <w:spacing w:before="0" w:after="0" w:line="300" w:lineRule="auto"/>
      </w:pPr>
    </w:p>
    <w:p w14:paraId="34E7185D" w14:textId="4F961435" w:rsidR="007D5E66" w:rsidRPr="007236BD" w:rsidRDefault="006E0D37" w:rsidP="00172F56">
      <w:pPr>
        <w:spacing w:line="300" w:lineRule="auto"/>
        <w:jc w:val="both"/>
        <w:rPr>
          <w:rFonts w:ascii="Arial" w:hAnsi="Arial" w:cs="Arial"/>
          <w:b/>
          <w:lang w:eastAsia="ja-JP"/>
        </w:rPr>
      </w:pPr>
      <w:r>
        <w:rPr>
          <w:rFonts w:ascii="Arial" w:hAnsi="Arial" w:cs="Arial"/>
          <w:b/>
          <w:lang w:eastAsia="ja-JP"/>
        </w:rPr>
        <w:t>The Housing Needs Survey</w:t>
      </w:r>
    </w:p>
    <w:p w14:paraId="209E7710" w14:textId="77777777" w:rsidR="007D5E66" w:rsidRPr="007236BD" w:rsidRDefault="007D5E66" w:rsidP="00172F56">
      <w:pPr>
        <w:spacing w:line="300" w:lineRule="auto"/>
        <w:jc w:val="both"/>
        <w:rPr>
          <w:rFonts w:ascii="Arial" w:hAnsi="Arial" w:cs="Arial"/>
          <w:sz w:val="20"/>
          <w:szCs w:val="20"/>
          <w:lang w:eastAsia="ja-JP"/>
        </w:rPr>
      </w:pPr>
    </w:p>
    <w:p w14:paraId="40789198" w14:textId="6870FFEA" w:rsidR="006E0D37" w:rsidRPr="006E0D37" w:rsidRDefault="006E0D37">
      <w:pPr>
        <w:pStyle w:val="11Bodytext"/>
        <w:numPr>
          <w:ilvl w:val="1"/>
          <w:numId w:val="23"/>
        </w:numPr>
        <w:spacing w:before="0" w:after="0" w:line="300" w:lineRule="auto"/>
        <w:ind w:left="720" w:hanging="720"/>
        <w:rPr>
          <w:color w:val="auto"/>
        </w:rPr>
      </w:pPr>
      <w:r w:rsidRPr="006E0D37">
        <w:t>The survey was sent to a total of 12,193 households across the Borough, a sample of households being selected in urban areas and a 100% sample in rural locations. Households were given the option of completing the paper form or online</w:t>
      </w:r>
      <w:r w:rsidR="00243A09">
        <w:t xml:space="preserve"> version</w:t>
      </w:r>
      <w:r w:rsidRPr="006E0D37">
        <w:t>.</w:t>
      </w:r>
    </w:p>
    <w:p w14:paraId="436482AA" w14:textId="77777777" w:rsidR="006E0D37" w:rsidRPr="006E0D37" w:rsidRDefault="006E0D37" w:rsidP="00172F56">
      <w:pPr>
        <w:pStyle w:val="11Bodytext"/>
        <w:numPr>
          <w:ilvl w:val="0"/>
          <w:numId w:val="0"/>
        </w:numPr>
        <w:spacing w:before="0" w:after="0" w:line="300" w:lineRule="auto"/>
        <w:rPr>
          <w:color w:val="auto"/>
        </w:rPr>
      </w:pPr>
    </w:p>
    <w:p w14:paraId="0F3C028B" w14:textId="0FF58ED0" w:rsidR="006E0D37" w:rsidRPr="006E0D37" w:rsidRDefault="006E0D37">
      <w:pPr>
        <w:pStyle w:val="11Bodytext"/>
        <w:numPr>
          <w:ilvl w:val="1"/>
          <w:numId w:val="23"/>
        </w:numPr>
        <w:spacing w:before="0" w:after="0" w:line="300" w:lineRule="auto"/>
        <w:ind w:left="720" w:hanging="720"/>
        <w:rPr>
          <w:color w:val="auto"/>
        </w:rPr>
      </w:pPr>
      <w:r w:rsidRPr="006E0D37">
        <w:t xml:space="preserve">In addition, through promoting the survey on social media additional households (not sampled) were encouraged to complete an online form, this included households living outside of the Borough but with a </w:t>
      </w:r>
      <w:r w:rsidR="00243A09">
        <w:t>connection</w:t>
      </w:r>
      <w:r w:rsidRPr="006E0D37">
        <w:t xml:space="preserve"> to the </w:t>
      </w:r>
      <w:r w:rsidR="00243A09">
        <w:t>c</w:t>
      </w:r>
      <w:r w:rsidRPr="006E0D37">
        <w:t>ouncil area (and who might therefore seek housing in the Borough).</w:t>
      </w:r>
    </w:p>
    <w:p w14:paraId="0731E498" w14:textId="77777777" w:rsidR="006E0D37" w:rsidRPr="006E0D37" w:rsidRDefault="006E0D37" w:rsidP="00172F56">
      <w:pPr>
        <w:pStyle w:val="11Bodytext"/>
        <w:numPr>
          <w:ilvl w:val="0"/>
          <w:numId w:val="0"/>
        </w:numPr>
        <w:spacing w:before="0" w:after="0" w:line="300" w:lineRule="auto"/>
        <w:rPr>
          <w:color w:val="auto"/>
        </w:rPr>
      </w:pPr>
    </w:p>
    <w:p w14:paraId="30A8CEA6" w14:textId="31B23FA7" w:rsidR="006E0D37" w:rsidRPr="006E0D37" w:rsidRDefault="006E0D37">
      <w:pPr>
        <w:pStyle w:val="11Bodytext"/>
        <w:numPr>
          <w:ilvl w:val="1"/>
          <w:numId w:val="23"/>
        </w:numPr>
        <w:spacing w:before="0" w:after="0" w:line="300" w:lineRule="auto"/>
        <w:ind w:left="720" w:hanging="720"/>
        <w:rPr>
          <w:color w:val="auto"/>
        </w:rPr>
      </w:pPr>
      <w:r w:rsidRPr="006E0D37">
        <w:t xml:space="preserve">Finally, a booster of around 1,000 forms were hand delivered to areas of </w:t>
      </w:r>
      <w:r w:rsidR="00432414">
        <w:t>St. Annes</w:t>
      </w:r>
      <w:r w:rsidRPr="006E0D37">
        <w:t xml:space="preserve"> known to have high levels of private renting to try to encourage further participation from this group of households.</w:t>
      </w:r>
    </w:p>
    <w:p w14:paraId="359843C1" w14:textId="77777777" w:rsidR="006E0D37" w:rsidRPr="006E0D37" w:rsidRDefault="006E0D37" w:rsidP="00172F56">
      <w:pPr>
        <w:pStyle w:val="11Bodytext"/>
        <w:numPr>
          <w:ilvl w:val="0"/>
          <w:numId w:val="0"/>
        </w:numPr>
        <w:spacing w:before="0" w:after="0" w:line="300" w:lineRule="auto"/>
        <w:rPr>
          <w:color w:val="auto"/>
        </w:rPr>
      </w:pPr>
    </w:p>
    <w:p w14:paraId="17507522" w14:textId="1EB1B845" w:rsidR="006E0D37" w:rsidRPr="006E0D37" w:rsidRDefault="006E0D37">
      <w:pPr>
        <w:pStyle w:val="11Bodytext"/>
        <w:numPr>
          <w:ilvl w:val="1"/>
          <w:numId w:val="23"/>
        </w:numPr>
        <w:spacing w:before="0" w:after="0" w:line="300" w:lineRule="auto"/>
        <w:ind w:left="720" w:hanging="720"/>
        <w:rPr>
          <w:color w:val="auto"/>
        </w:rPr>
      </w:pPr>
      <w:r w:rsidRPr="006E0D37">
        <w:t>In total, 2,973 households completed a survey, of which 2,492 were households originally targeted through sampling (and 481 completed forms online, or through the booster sample, including those completing a form but living outside of the area (44 households in total)). The total response rate was therefore 20.4% from the targeted sample (2,492/12,193), rising to 24.4% if additional completions are included.</w:t>
      </w:r>
    </w:p>
    <w:p w14:paraId="22F6E431" w14:textId="77777777" w:rsidR="006E0D37" w:rsidRPr="006E0D37" w:rsidRDefault="006E0D37" w:rsidP="00172F56">
      <w:pPr>
        <w:pStyle w:val="11Bodytext"/>
        <w:numPr>
          <w:ilvl w:val="0"/>
          <w:numId w:val="0"/>
        </w:numPr>
        <w:spacing w:before="0" w:after="0" w:line="300" w:lineRule="auto"/>
        <w:rPr>
          <w:color w:val="auto"/>
        </w:rPr>
      </w:pPr>
    </w:p>
    <w:p w14:paraId="180C87C1" w14:textId="3A997126" w:rsidR="006E0D37" w:rsidRPr="006E0D37" w:rsidRDefault="006E0D37">
      <w:pPr>
        <w:pStyle w:val="11Bodytext"/>
        <w:numPr>
          <w:ilvl w:val="1"/>
          <w:numId w:val="23"/>
        </w:numPr>
        <w:spacing w:before="0" w:after="0" w:line="300" w:lineRule="auto"/>
        <w:ind w:left="720" w:hanging="720"/>
        <w:rPr>
          <w:color w:val="auto"/>
        </w:rPr>
      </w:pPr>
      <w:r w:rsidRPr="006E0D37">
        <w:t>These response rates are high relative to those currently seen for similar surveys across the country (where rates of below 10% have been seen in some instances).</w:t>
      </w:r>
    </w:p>
    <w:p w14:paraId="2B9691D4" w14:textId="77777777" w:rsidR="006E0D37" w:rsidRPr="006E0D37" w:rsidRDefault="006E0D37" w:rsidP="00172F56">
      <w:pPr>
        <w:pStyle w:val="11Bodytext"/>
        <w:numPr>
          <w:ilvl w:val="0"/>
          <w:numId w:val="0"/>
        </w:numPr>
        <w:spacing w:before="0" w:after="0" w:line="300" w:lineRule="auto"/>
        <w:rPr>
          <w:color w:val="auto"/>
        </w:rPr>
      </w:pPr>
    </w:p>
    <w:p w14:paraId="033A5F10" w14:textId="1073EA17" w:rsidR="006E0D37" w:rsidRPr="006E0D37" w:rsidRDefault="006E0D37">
      <w:pPr>
        <w:pStyle w:val="11Bodytext"/>
        <w:numPr>
          <w:ilvl w:val="1"/>
          <w:numId w:val="23"/>
        </w:numPr>
        <w:spacing w:before="0" w:after="0" w:line="300" w:lineRule="auto"/>
        <w:ind w:left="720" w:hanging="720"/>
        <w:rPr>
          <w:color w:val="auto"/>
        </w:rPr>
      </w:pPr>
      <w:r w:rsidRPr="006E0D37">
        <w:t>The table below sets out the locations from which responses were received</w:t>
      </w:r>
      <w:r w:rsidR="00F834D8">
        <w:t>.</w:t>
      </w:r>
      <w:r w:rsidRPr="006E0D37">
        <w:t xml:space="preserve"> </w:t>
      </w:r>
      <w:r w:rsidR="52F4B6A7">
        <w:t>This</w:t>
      </w:r>
      <w:r w:rsidR="00F834D8" w:rsidRPr="006E0D37">
        <w:t xml:space="preserve"> </w:t>
      </w:r>
      <w:r w:rsidRPr="006E0D37">
        <w:t xml:space="preserve">has been compared </w:t>
      </w:r>
      <w:r w:rsidR="00243A09">
        <w:t>to</w:t>
      </w:r>
      <w:r w:rsidRPr="006E0D37">
        <w:t xml:space="preserve"> the original sample to provide a response rate; some care needs to be taken in looking at this rate as some responses come from households who were not part of the original survey sample. The data also shows 202 completed forms where no area identifier was provided or</w:t>
      </w:r>
      <w:r w:rsidR="00243A09">
        <w:t>,</w:t>
      </w:r>
      <w:r w:rsidRPr="006E0D37">
        <w:t xml:space="preserve"> in some cases</w:t>
      </w:r>
      <w:r w:rsidR="00243A09">
        <w:t>,</w:t>
      </w:r>
      <w:r w:rsidRPr="006E0D37">
        <w:t xml:space="preserve"> due to an incomplete ID code or postcode being </w:t>
      </w:r>
      <w:r w:rsidR="00243A09">
        <w:t>provided by respondents</w:t>
      </w:r>
      <w:r w:rsidRPr="006E0D37">
        <w:t>.</w:t>
      </w:r>
    </w:p>
    <w:p w14:paraId="23B8BDC3" w14:textId="77777777" w:rsidR="006E0D37" w:rsidRPr="006E0D37" w:rsidRDefault="006E0D37" w:rsidP="00172F56">
      <w:pPr>
        <w:pStyle w:val="11Bodytext"/>
        <w:numPr>
          <w:ilvl w:val="0"/>
          <w:numId w:val="0"/>
        </w:numPr>
        <w:spacing w:before="0" w:after="0" w:line="300" w:lineRule="auto"/>
        <w:rPr>
          <w:color w:val="auto"/>
        </w:rPr>
      </w:pPr>
    </w:p>
    <w:tbl>
      <w:tblPr>
        <w:tblStyle w:val="TableGridLight10"/>
        <w:tblW w:w="8199" w:type="dxa"/>
        <w:jc w:val="center"/>
        <w:tblLayout w:type="fixed"/>
        <w:tblLook w:val="04A0" w:firstRow="1" w:lastRow="0" w:firstColumn="1" w:lastColumn="0" w:noHBand="0" w:noVBand="1"/>
      </w:tblPr>
      <w:tblGrid>
        <w:gridCol w:w="2852"/>
        <w:gridCol w:w="1782"/>
        <w:gridCol w:w="1782"/>
        <w:gridCol w:w="1783"/>
      </w:tblGrid>
      <w:tr w:rsidR="006E0D37" w:rsidRPr="00472A7E" w14:paraId="77EE134E" w14:textId="77777777" w:rsidTr="006E0D37">
        <w:trPr>
          <w:jc w:val="center"/>
        </w:trPr>
        <w:tc>
          <w:tcPr>
            <w:tcW w:w="8199" w:type="dxa"/>
            <w:gridSpan w:val="4"/>
            <w:noWrap/>
          </w:tcPr>
          <w:p w14:paraId="30278A36" w14:textId="2CDF54CD" w:rsidR="006E0D37" w:rsidRPr="006E0D37" w:rsidRDefault="00AD29A6" w:rsidP="005F3C17">
            <w:pPr>
              <w:spacing w:before="60" w:after="60" w:line="300" w:lineRule="auto"/>
              <w:jc w:val="center"/>
              <w:rPr>
                <w:rFonts w:ascii="Arial" w:hAnsi="Arial" w:cs="Arial"/>
                <w:b/>
                <w:bCs/>
                <w:sz w:val="20"/>
                <w:szCs w:val="20"/>
              </w:rPr>
            </w:pPr>
            <w:r>
              <w:rPr>
                <w:rFonts w:ascii="Arial" w:hAnsi="Arial" w:cs="Arial"/>
                <w:b/>
                <w:bCs/>
                <w:sz w:val="20"/>
                <w:szCs w:val="20"/>
              </w:rPr>
              <w:t>Figure 1.2</w:t>
            </w:r>
            <w:r w:rsidR="006E0D37" w:rsidRPr="006E0D37">
              <w:rPr>
                <w:rFonts w:ascii="Arial" w:hAnsi="Arial" w:cs="Arial"/>
                <w:b/>
                <w:bCs/>
                <w:sz w:val="20"/>
                <w:szCs w:val="20"/>
              </w:rPr>
              <w:t>: Fylde – Survey Responses by Sub-Area</w:t>
            </w:r>
          </w:p>
        </w:tc>
      </w:tr>
      <w:tr w:rsidR="006E0D37" w:rsidRPr="00472A7E" w14:paraId="18C75E83" w14:textId="77777777" w:rsidTr="00172F56">
        <w:trPr>
          <w:jc w:val="center"/>
        </w:trPr>
        <w:tc>
          <w:tcPr>
            <w:tcW w:w="2852" w:type="dxa"/>
            <w:noWrap/>
            <w:hideMark/>
          </w:tcPr>
          <w:p w14:paraId="03678170"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Area</w:t>
            </w:r>
          </w:p>
        </w:tc>
        <w:tc>
          <w:tcPr>
            <w:tcW w:w="1782" w:type="dxa"/>
            <w:noWrap/>
            <w:vAlign w:val="center"/>
            <w:hideMark/>
          </w:tcPr>
          <w:p w14:paraId="34DD60F5"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Survey responses</w:t>
            </w:r>
          </w:p>
        </w:tc>
        <w:tc>
          <w:tcPr>
            <w:tcW w:w="1782" w:type="dxa"/>
            <w:noWrap/>
            <w:vAlign w:val="center"/>
            <w:hideMark/>
          </w:tcPr>
          <w:p w14:paraId="2BDD647B"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Original sample</w:t>
            </w:r>
          </w:p>
        </w:tc>
        <w:tc>
          <w:tcPr>
            <w:tcW w:w="1783" w:type="dxa"/>
            <w:noWrap/>
            <w:vAlign w:val="center"/>
            <w:hideMark/>
          </w:tcPr>
          <w:p w14:paraId="6764957A"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Responses as % of sample</w:t>
            </w:r>
          </w:p>
        </w:tc>
      </w:tr>
      <w:tr w:rsidR="006E0D37" w:rsidRPr="00472A7E" w14:paraId="6BD2A2CF" w14:textId="77777777" w:rsidTr="00172F56">
        <w:trPr>
          <w:jc w:val="center"/>
        </w:trPr>
        <w:tc>
          <w:tcPr>
            <w:tcW w:w="2852" w:type="dxa"/>
            <w:noWrap/>
            <w:hideMark/>
          </w:tcPr>
          <w:p w14:paraId="33817E5D"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St Annes</w:t>
            </w:r>
          </w:p>
        </w:tc>
        <w:tc>
          <w:tcPr>
            <w:tcW w:w="1782" w:type="dxa"/>
            <w:noWrap/>
            <w:vAlign w:val="center"/>
            <w:hideMark/>
          </w:tcPr>
          <w:p w14:paraId="09D98729"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511</w:t>
            </w:r>
          </w:p>
        </w:tc>
        <w:tc>
          <w:tcPr>
            <w:tcW w:w="1782" w:type="dxa"/>
            <w:noWrap/>
            <w:vAlign w:val="center"/>
            <w:hideMark/>
          </w:tcPr>
          <w:p w14:paraId="7922ED68"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1,749</w:t>
            </w:r>
          </w:p>
        </w:tc>
        <w:tc>
          <w:tcPr>
            <w:tcW w:w="1783" w:type="dxa"/>
            <w:noWrap/>
            <w:vAlign w:val="center"/>
            <w:hideMark/>
          </w:tcPr>
          <w:p w14:paraId="4BFAB3DA"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29.2%</w:t>
            </w:r>
          </w:p>
        </w:tc>
      </w:tr>
      <w:tr w:rsidR="006E0D37" w:rsidRPr="00472A7E" w14:paraId="4544494D" w14:textId="77777777" w:rsidTr="00172F56">
        <w:trPr>
          <w:jc w:val="center"/>
        </w:trPr>
        <w:tc>
          <w:tcPr>
            <w:tcW w:w="2852" w:type="dxa"/>
            <w:noWrap/>
            <w:hideMark/>
          </w:tcPr>
          <w:p w14:paraId="0ABCDFA1"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Lytham</w:t>
            </w:r>
          </w:p>
        </w:tc>
        <w:tc>
          <w:tcPr>
            <w:tcW w:w="1782" w:type="dxa"/>
            <w:noWrap/>
            <w:vAlign w:val="center"/>
            <w:hideMark/>
          </w:tcPr>
          <w:p w14:paraId="0ADBE3DB"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371</w:t>
            </w:r>
          </w:p>
        </w:tc>
        <w:tc>
          <w:tcPr>
            <w:tcW w:w="1782" w:type="dxa"/>
            <w:noWrap/>
            <w:vAlign w:val="center"/>
            <w:hideMark/>
          </w:tcPr>
          <w:p w14:paraId="30C0FD29"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1,249</w:t>
            </w:r>
          </w:p>
        </w:tc>
        <w:tc>
          <w:tcPr>
            <w:tcW w:w="1783" w:type="dxa"/>
            <w:noWrap/>
            <w:vAlign w:val="center"/>
            <w:hideMark/>
          </w:tcPr>
          <w:p w14:paraId="76BCD500"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29.7%</w:t>
            </w:r>
          </w:p>
        </w:tc>
      </w:tr>
      <w:tr w:rsidR="006E0D37" w:rsidRPr="00472A7E" w14:paraId="42F6C2FE" w14:textId="77777777" w:rsidTr="00172F56">
        <w:trPr>
          <w:jc w:val="center"/>
        </w:trPr>
        <w:tc>
          <w:tcPr>
            <w:tcW w:w="2852" w:type="dxa"/>
            <w:noWrap/>
            <w:hideMark/>
          </w:tcPr>
          <w:p w14:paraId="67BCE2D1"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Warton</w:t>
            </w:r>
          </w:p>
        </w:tc>
        <w:tc>
          <w:tcPr>
            <w:tcW w:w="1782" w:type="dxa"/>
            <w:noWrap/>
            <w:vAlign w:val="center"/>
            <w:hideMark/>
          </w:tcPr>
          <w:p w14:paraId="54564F94"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136</w:t>
            </w:r>
          </w:p>
        </w:tc>
        <w:tc>
          <w:tcPr>
            <w:tcW w:w="1782" w:type="dxa"/>
            <w:noWrap/>
            <w:vAlign w:val="center"/>
            <w:hideMark/>
          </w:tcPr>
          <w:p w14:paraId="0E37D0F0"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652</w:t>
            </w:r>
          </w:p>
        </w:tc>
        <w:tc>
          <w:tcPr>
            <w:tcW w:w="1783" w:type="dxa"/>
            <w:noWrap/>
            <w:vAlign w:val="center"/>
            <w:hideMark/>
          </w:tcPr>
          <w:p w14:paraId="0E573772"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20.9%</w:t>
            </w:r>
          </w:p>
        </w:tc>
      </w:tr>
      <w:tr w:rsidR="006E0D37" w:rsidRPr="00472A7E" w14:paraId="37D79C48" w14:textId="77777777" w:rsidTr="00172F56">
        <w:trPr>
          <w:jc w:val="center"/>
        </w:trPr>
        <w:tc>
          <w:tcPr>
            <w:tcW w:w="2852" w:type="dxa"/>
            <w:noWrap/>
            <w:hideMark/>
          </w:tcPr>
          <w:p w14:paraId="0FA3550E"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Fylde-Blackpool Periphery</w:t>
            </w:r>
          </w:p>
        </w:tc>
        <w:tc>
          <w:tcPr>
            <w:tcW w:w="1782" w:type="dxa"/>
            <w:noWrap/>
            <w:vAlign w:val="center"/>
            <w:hideMark/>
          </w:tcPr>
          <w:p w14:paraId="0802B835"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96</w:t>
            </w:r>
          </w:p>
        </w:tc>
        <w:tc>
          <w:tcPr>
            <w:tcW w:w="1782" w:type="dxa"/>
            <w:noWrap/>
            <w:vAlign w:val="center"/>
            <w:hideMark/>
          </w:tcPr>
          <w:p w14:paraId="6B616C9E"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556</w:t>
            </w:r>
          </w:p>
        </w:tc>
        <w:tc>
          <w:tcPr>
            <w:tcW w:w="1783" w:type="dxa"/>
            <w:noWrap/>
            <w:vAlign w:val="center"/>
            <w:hideMark/>
          </w:tcPr>
          <w:p w14:paraId="1390DF6A"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17.3%</w:t>
            </w:r>
          </w:p>
        </w:tc>
      </w:tr>
      <w:tr w:rsidR="006E0D37" w:rsidRPr="00472A7E" w14:paraId="4D29262F" w14:textId="77777777" w:rsidTr="00172F56">
        <w:trPr>
          <w:jc w:val="center"/>
        </w:trPr>
        <w:tc>
          <w:tcPr>
            <w:tcW w:w="2852" w:type="dxa"/>
            <w:noWrap/>
            <w:hideMark/>
          </w:tcPr>
          <w:p w14:paraId="65934787"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Kirkham</w:t>
            </w:r>
          </w:p>
        </w:tc>
        <w:tc>
          <w:tcPr>
            <w:tcW w:w="1782" w:type="dxa"/>
            <w:noWrap/>
            <w:vAlign w:val="center"/>
            <w:hideMark/>
          </w:tcPr>
          <w:p w14:paraId="5E2BE9EC"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184</w:t>
            </w:r>
          </w:p>
        </w:tc>
        <w:tc>
          <w:tcPr>
            <w:tcW w:w="1782" w:type="dxa"/>
            <w:noWrap/>
            <w:vAlign w:val="center"/>
            <w:hideMark/>
          </w:tcPr>
          <w:p w14:paraId="55B9E171"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759</w:t>
            </w:r>
          </w:p>
        </w:tc>
        <w:tc>
          <w:tcPr>
            <w:tcW w:w="1783" w:type="dxa"/>
            <w:noWrap/>
            <w:vAlign w:val="center"/>
            <w:hideMark/>
          </w:tcPr>
          <w:p w14:paraId="570A9CAB"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24.2%</w:t>
            </w:r>
          </w:p>
        </w:tc>
      </w:tr>
      <w:tr w:rsidR="006E0D37" w:rsidRPr="00472A7E" w14:paraId="20BB8A78" w14:textId="77777777" w:rsidTr="00172F56">
        <w:trPr>
          <w:jc w:val="center"/>
        </w:trPr>
        <w:tc>
          <w:tcPr>
            <w:tcW w:w="2852" w:type="dxa"/>
            <w:noWrap/>
            <w:hideMark/>
          </w:tcPr>
          <w:p w14:paraId="3EAABFA7"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Wesham</w:t>
            </w:r>
          </w:p>
        </w:tc>
        <w:tc>
          <w:tcPr>
            <w:tcW w:w="1782" w:type="dxa"/>
            <w:noWrap/>
            <w:vAlign w:val="center"/>
            <w:hideMark/>
          </w:tcPr>
          <w:p w14:paraId="378736B2"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136</w:t>
            </w:r>
          </w:p>
        </w:tc>
        <w:tc>
          <w:tcPr>
            <w:tcW w:w="1782" w:type="dxa"/>
            <w:noWrap/>
            <w:vAlign w:val="center"/>
            <w:hideMark/>
          </w:tcPr>
          <w:p w14:paraId="594A1A03"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633</w:t>
            </w:r>
          </w:p>
        </w:tc>
        <w:tc>
          <w:tcPr>
            <w:tcW w:w="1783" w:type="dxa"/>
            <w:noWrap/>
            <w:vAlign w:val="center"/>
            <w:hideMark/>
          </w:tcPr>
          <w:p w14:paraId="0AD4CCA5"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21.5%</w:t>
            </w:r>
          </w:p>
        </w:tc>
      </w:tr>
      <w:tr w:rsidR="006E0D37" w:rsidRPr="00472A7E" w14:paraId="6B3669D3" w14:textId="77777777" w:rsidTr="00172F56">
        <w:trPr>
          <w:jc w:val="center"/>
        </w:trPr>
        <w:tc>
          <w:tcPr>
            <w:tcW w:w="2852" w:type="dxa"/>
            <w:noWrap/>
            <w:hideMark/>
          </w:tcPr>
          <w:p w14:paraId="55BBDDBB"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Freckleton</w:t>
            </w:r>
          </w:p>
        </w:tc>
        <w:tc>
          <w:tcPr>
            <w:tcW w:w="1782" w:type="dxa"/>
            <w:noWrap/>
            <w:vAlign w:val="center"/>
            <w:hideMark/>
          </w:tcPr>
          <w:p w14:paraId="23363B5B"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159</w:t>
            </w:r>
          </w:p>
        </w:tc>
        <w:tc>
          <w:tcPr>
            <w:tcW w:w="1782" w:type="dxa"/>
            <w:noWrap/>
            <w:vAlign w:val="center"/>
            <w:hideMark/>
          </w:tcPr>
          <w:p w14:paraId="728FE587"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702</w:t>
            </w:r>
          </w:p>
        </w:tc>
        <w:tc>
          <w:tcPr>
            <w:tcW w:w="1783" w:type="dxa"/>
            <w:noWrap/>
            <w:vAlign w:val="center"/>
            <w:hideMark/>
          </w:tcPr>
          <w:p w14:paraId="15655339"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22.6%</w:t>
            </w:r>
          </w:p>
        </w:tc>
      </w:tr>
      <w:tr w:rsidR="006E0D37" w:rsidRPr="00472A7E" w14:paraId="4EBC59B7" w14:textId="77777777" w:rsidTr="00172F56">
        <w:trPr>
          <w:jc w:val="center"/>
        </w:trPr>
        <w:tc>
          <w:tcPr>
            <w:tcW w:w="2852" w:type="dxa"/>
            <w:noWrap/>
            <w:hideMark/>
          </w:tcPr>
          <w:p w14:paraId="2186C5BB"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Rural North</w:t>
            </w:r>
          </w:p>
        </w:tc>
        <w:tc>
          <w:tcPr>
            <w:tcW w:w="1782" w:type="dxa"/>
            <w:noWrap/>
            <w:vAlign w:val="center"/>
            <w:hideMark/>
          </w:tcPr>
          <w:p w14:paraId="4A5C56FF"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530</w:t>
            </w:r>
          </w:p>
        </w:tc>
        <w:tc>
          <w:tcPr>
            <w:tcW w:w="1782" w:type="dxa"/>
            <w:noWrap/>
            <w:vAlign w:val="center"/>
            <w:hideMark/>
          </w:tcPr>
          <w:p w14:paraId="53825A17"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3,035</w:t>
            </w:r>
          </w:p>
        </w:tc>
        <w:tc>
          <w:tcPr>
            <w:tcW w:w="1783" w:type="dxa"/>
            <w:noWrap/>
            <w:vAlign w:val="center"/>
            <w:hideMark/>
          </w:tcPr>
          <w:p w14:paraId="4AC6FBF2"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17.5%</w:t>
            </w:r>
          </w:p>
        </w:tc>
      </w:tr>
      <w:tr w:rsidR="006E0D37" w:rsidRPr="00472A7E" w14:paraId="2355F67F" w14:textId="77777777" w:rsidTr="00172F56">
        <w:trPr>
          <w:jc w:val="center"/>
        </w:trPr>
        <w:tc>
          <w:tcPr>
            <w:tcW w:w="2852" w:type="dxa"/>
            <w:noWrap/>
            <w:hideMark/>
          </w:tcPr>
          <w:p w14:paraId="2ACAA36A"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Rural West</w:t>
            </w:r>
          </w:p>
        </w:tc>
        <w:tc>
          <w:tcPr>
            <w:tcW w:w="1782" w:type="dxa"/>
            <w:noWrap/>
            <w:vAlign w:val="center"/>
            <w:hideMark/>
          </w:tcPr>
          <w:p w14:paraId="3AEBDC7F"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321</w:t>
            </w:r>
          </w:p>
        </w:tc>
        <w:tc>
          <w:tcPr>
            <w:tcW w:w="1782" w:type="dxa"/>
            <w:noWrap/>
            <w:vAlign w:val="center"/>
            <w:hideMark/>
          </w:tcPr>
          <w:p w14:paraId="0576B674"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1,417</w:t>
            </w:r>
          </w:p>
        </w:tc>
        <w:tc>
          <w:tcPr>
            <w:tcW w:w="1783" w:type="dxa"/>
            <w:noWrap/>
            <w:vAlign w:val="center"/>
            <w:hideMark/>
          </w:tcPr>
          <w:p w14:paraId="36422A1A"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22.7%</w:t>
            </w:r>
          </w:p>
        </w:tc>
      </w:tr>
      <w:tr w:rsidR="006E0D37" w:rsidRPr="00472A7E" w14:paraId="6C051F0F" w14:textId="77777777" w:rsidTr="00172F56">
        <w:trPr>
          <w:jc w:val="center"/>
        </w:trPr>
        <w:tc>
          <w:tcPr>
            <w:tcW w:w="2852" w:type="dxa"/>
            <w:noWrap/>
            <w:hideMark/>
          </w:tcPr>
          <w:p w14:paraId="33DE31D1"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Rural East</w:t>
            </w:r>
          </w:p>
        </w:tc>
        <w:tc>
          <w:tcPr>
            <w:tcW w:w="1782" w:type="dxa"/>
            <w:noWrap/>
            <w:vAlign w:val="center"/>
            <w:hideMark/>
          </w:tcPr>
          <w:p w14:paraId="6E29E3EF"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283</w:t>
            </w:r>
          </w:p>
        </w:tc>
        <w:tc>
          <w:tcPr>
            <w:tcW w:w="1782" w:type="dxa"/>
            <w:noWrap/>
            <w:vAlign w:val="center"/>
            <w:hideMark/>
          </w:tcPr>
          <w:p w14:paraId="581A2CD4"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1,441</w:t>
            </w:r>
          </w:p>
        </w:tc>
        <w:tc>
          <w:tcPr>
            <w:tcW w:w="1783" w:type="dxa"/>
            <w:noWrap/>
            <w:vAlign w:val="center"/>
            <w:hideMark/>
          </w:tcPr>
          <w:p w14:paraId="7F369528"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19.6%</w:t>
            </w:r>
          </w:p>
        </w:tc>
      </w:tr>
      <w:tr w:rsidR="006E0D37" w:rsidRPr="00472A7E" w14:paraId="74260AD5" w14:textId="77777777" w:rsidTr="00172F56">
        <w:trPr>
          <w:jc w:val="center"/>
        </w:trPr>
        <w:tc>
          <w:tcPr>
            <w:tcW w:w="2852" w:type="dxa"/>
            <w:noWrap/>
            <w:hideMark/>
          </w:tcPr>
          <w:p w14:paraId="1B856249"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Out of area</w:t>
            </w:r>
          </w:p>
        </w:tc>
        <w:tc>
          <w:tcPr>
            <w:tcW w:w="1782" w:type="dxa"/>
            <w:noWrap/>
            <w:vAlign w:val="center"/>
            <w:hideMark/>
          </w:tcPr>
          <w:p w14:paraId="67184A48"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44</w:t>
            </w:r>
          </w:p>
        </w:tc>
        <w:tc>
          <w:tcPr>
            <w:tcW w:w="1782" w:type="dxa"/>
            <w:noWrap/>
            <w:vAlign w:val="center"/>
            <w:hideMark/>
          </w:tcPr>
          <w:p w14:paraId="29E69C1A"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w:t>
            </w:r>
          </w:p>
        </w:tc>
        <w:tc>
          <w:tcPr>
            <w:tcW w:w="1783" w:type="dxa"/>
            <w:noWrap/>
            <w:vAlign w:val="center"/>
            <w:hideMark/>
          </w:tcPr>
          <w:p w14:paraId="0EFF5329"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w:t>
            </w:r>
          </w:p>
        </w:tc>
      </w:tr>
      <w:tr w:rsidR="006E0D37" w:rsidRPr="00472A7E" w14:paraId="3455DABC" w14:textId="77777777" w:rsidTr="00172F56">
        <w:trPr>
          <w:jc w:val="center"/>
        </w:trPr>
        <w:tc>
          <w:tcPr>
            <w:tcW w:w="2852" w:type="dxa"/>
            <w:noWrap/>
            <w:hideMark/>
          </w:tcPr>
          <w:p w14:paraId="727A7D65"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No area identified</w:t>
            </w:r>
          </w:p>
        </w:tc>
        <w:tc>
          <w:tcPr>
            <w:tcW w:w="1782" w:type="dxa"/>
            <w:noWrap/>
            <w:vAlign w:val="center"/>
            <w:hideMark/>
          </w:tcPr>
          <w:p w14:paraId="60297ACF"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202</w:t>
            </w:r>
          </w:p>
        </w:tc>
        <w:tc>
          <w:tcPr>
            <w:tcW w:w="1782" w:type="dxa"/>
            <w:noWrap/>
            <w:vAlign w:val="center"/>
            <w:hideMark/>
          </w:tcPr>
          <w:p w14:paraId="32593F6D"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w:t>
            </w:r>
          </w:p>
        </w:tc>
        <w:tc>
          <w:tcPr>
            <w:tcW w:w="1783" w:type="dxa"/>
            <w:noWrap/>
            <w:vAlign w:val="center"/>
            <w:hideMark/>
          </w:tcPr>
          <w:p w14:paraId="24E3057A"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w:t>
            </w:r>
          </w:p>
        </w:tc>
      </w:tr>
      <w:tr w:rsidR="006E0D37" w:rsidRPr="00472A7E" w14:paraId="6C24FA76" w14:textId="77777777" w:rsidTr="00172F56">
        <w:trPr>
          <w:jc w:val="center"/>
        </w:trPr>
        <w:tc>
          <w:tcPr>
            <w:tcW w:w="2852" w:type="dxa"/>
            <w:noWrap/>
            <w:hideMark/>
          </w:tcPr>
          <w:p w14:paraId="5CB527BA" w14:textId="77777777" w:rsidR="006E0D37" w:rsidRPr="006E0D37" w:rsidRDefault="006E0D37" w:rsidP="005F3C17">
            <w:pPr>
              <w:spacing w:line="300" w:lineRule="auto"/>
              <w:rPr>
                <w:rFonts w:ascii="Arial" w:hAnsi="Arial" w:cs="Arial"/>
                <w:sz w:val="20"/>
                <w:szCs w:val="20"/>
              </w:rPr>
            </w:pPr>
            <w:r w:rsidRPr="006E0D37">
              <w:rPr>
                <w:rFonts w:ascii="Arial" w:hAnsi="Arial" w:cs="Arial"/>
                <w:sz w:val="20"/>
                <w:szCs w:val="20"/>
              </w:rPr>
              <w:t>Total</w:t>
            </w:r>
          </w:p>
        </w:tc>
        <w:tc>
          <w:tcPr>
            <w:tcW w:w="1782" w:type="dxa"/>
            <w:noWrap/>
            <w:vAlign w:val="center"/>
            <w:hideMark/>
          </w:tcPr>
          <w:p w14:paraId="2CC1E4B6"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2,973</w:t>
            </w:r>
          </w:p>
        </w:tc>
        <w:tc>
          <w:tcPr>
            <w:tcW w:w="1782" w:type="dxa"/>
            <w:noWrap/>
            <w:vAlign w:val="center"/>
            <w:hideMark/>
          </w:tcPr>
          <w:p w14:paraId="256FE14D"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12,193</w:t>
            </w:r>
          </w:p>
        </w:tc>
        <w:tc>
          <w:tcPr>
            <w:tcW w:w="1783" w:type="dxa"/>
            <w:noWrap/>
            <w:vAlign w:val="center"/>
            <w:hideMark/>
          </w:tcPr>
          <w:p w14:paraId="50230FE1" w14:textId="77777777" w:rsidR="006E0D37" w:rsidRPr="006E0D37" w:rsidRDefault="006E0D37" w:rsidP="005F3C17">
            <w:pPr>
              <w:spacing w:line="300" w:lineRule="auto"/>
              <w:jc w:val="center"/>
              <w:rPr>
                <w:rFonts w:ascii="Arial" w:hAnsi="Arial" w:cs="Arial"/>
                <w:sz w:val="20"/>
                <w:szCs w:val="20"/>
              </w:rPr>
            </w:pPr>
            <w:r w:rsidRPr="006E0D37">
              <w:rPr>
                <w:rFonts w:ascii="Arial" w:hAnsi="Arial" w:cs="Arial"/>
                <w:sz w:val="20"/>
                <w:szCs w:val="20"/>
              </w:rPr>
              <w:t>24.4%</w:t>
            </w:r>
          </w:p>
        </w:tc>
      </w:tr>
    </w:tbl>
    <w:p w14:paraId="5FD0B148" w14:textId="0543C932" w:rsidR="006E0D37" w:rsidRDefault="006E0D37" w:rsidP="003800E8">
      <w:pPr>
        <w:pStyle w:val="11Bodytext"/>
        <w:numPr>
          <w:ilvl w:val="0"/>
          <w:numId w:val="0"/>
        </w:numPr>
        <w:spacing w:before="0" w:after="0" w:line="300" w:lineRule="auto"/>
        <w:jc w:val="center"/>
        <w:rPr>
          <w:color w:val="auto"/>
        </w:rPr>
      </w:pPr>
      <w:r>
        <w:rPr>
          <w:color w:val="auto"/>
        </w:rPr>
        <w:t>Source: Household survey</w:t>
      </w:r>
    </w:p>
    <w:p w14:paraId="7A894C30" w14:textId="451DACD9" w:rsidR="006E0D37" w:rsidRDefault="006E0D37" w:rsidP="00172F56">
      <w:pPr>
        <w:pStyle w:val="11Bodytext"/>
        <w:numPr>
          <w:ilvl w:val="0"/>
          <w:numId w:val="0"/>
        </w:numPr>
        <w:spacing w:before="0" w:after="0" w:line="300" w:lineRule="auto"/>
        <w:rPr>
          <w:color w:val="auto"/>
        </w:rPr>
      </w:pPr>
    </w:p>
    <w:p w14:paraId="1E7CE1F1" w14:textId="052244A2" w:rsidR="00620FE9" w:rsidRDefault="00620FE9" w:rsidP="00172F56">
      <w:pPr>
        <w:pStyle w:val="11Bodytext"/>
        <w:numPr>
          <w:ilvl w:val="0"/>
          <w:numId w:val="0"/>
        </w:numPr>
        <w:spacing w:before="0" w:after="0" w:line="300" w:lineRule="auto"/>
        <w:rPr>
          <w:color w:val="auto"/>
        </w:rPr>
      </w:pPr>
    </w:p>
    <w:p w14:paraId="0EAFA3EA" w14:textId="6294F3C7" w:rsidR="00620FE9" w:rsidRDefault="00620FE9" w:rsidP="00172F56">
      <w:pPr>
        <w:pStyle w:val="11Bodytext"/>
        <w:numPr>
          <w:ilvl w:val="0"/>
          <w:numId w:val="0"/>
        </w:numPr>
        <w:spacing w:before="0" w:after="0" w:line="300" w:lineRule="auto"/>
        <w:rPr>
          <w:color w:val="auto"/>
        </w:rPr>
      </w:pPr>
    </w:p>
    <w:p w14:paraId="0758F310" w14:textId="5C451E8A" w:rsidR="00620FE9" w:rsidRDefault="00620FE9" w:rsidP="00172F56">
      <w:pPr>
        <w:pStyle w:val="11Bodytext"/>
        <w:numPr>
          <w:ilvl w:val="0"/>
          <w:numId w:val="0"/>
        </w:numPr>
        <w:spacing w:before="0" w:after="0" w:line="300" w:lineRule="auto"/>
        <w:rPr>
          <w:color w:val="auto"/>
        </w:rPr>
      </w:pPr>
    </w:p>
    <w:p w14:paraId="62B17696" w14:textId="793CB9ED" w:rsidR="00620FE9" w:rsidRDefault="00620FE9" w:rsidP="00172F56">
      <w:pPr>
        <w:pStyle w:val="11Bodytext"/>
        <w:numPr>
          <w:ilvl w:val="0"/>
          <w:numId w:val="0"/>
        </w:numPr>
        <w:spacing w:before="0" w:after="0" w:line="300" w:lineRule="auto"/>
        <w:rPr>
          <w:color w:val="auto"/>
        </w:rPr>
      </w:pPr>
    </w:p>
    <w:p w14:paraId="29B5BCAC" w14:textId="77777777" w:rsidR="00620FE9" w:rsidRPr="006E0D37" w:rsidRDefault="00620FE9" w:rsidP="00172F56">
      <w:pPr>
        <w:pStyle w:val="11Bodytext"/>
        <w:numPr>
          <w:ilvl w:val="0"/>
          <w:numId w:val="0"/>
        </w:numPr>
        <w:spacing w:before="0" w:after="0" w:line="300" w:lineRule="auto"/>
        <w:rPr>
          <w:color w:val="auto"/>
        </w:rPr>
      </w:pPr>
    </w:p>
    <w:p w14:paraId="3A9091EA" w14:textId="2923C04E" w:rsidR="006E0D37" w:rsidRPr="006E0D37" w:rsidRDefault="006E0D37">
      <w:pPr>
        <w:pStyle w:val="11Bodytext"/>
        <w:numPr>
          <w:ilvl w:val="1"/>
          <w:numId w:val="23"/>
        </w:numPr>
        <w:spacing w:before="0" w:after="0" w:line="300" w:lineRule="auto"/>
        <w:ind w:left="720" w:hanging="720"/>
        <w:rPr>
          <w:color w:val="auto"/>
        </w:rPr>
      </w:pPr>
      <w:r w:rsidRPr="006E0D37">
        <w:t xml:space="preserve">The table below shows how the responses vary by tenure. It is recognised in surveys of this nature that certain groups are more or less likely to respond, with higher responses typically being seen from older outright owners, and lower responses from rented tenures, notably the private rented sector. This does seem to be the case for Fylde, although the booster in </w:t>
      </w:r>
      <w:r w:rsidR="00432414">
        <w:t>St. Annes</w:t>
      </w:r>
      <w:r w:rsidRPr="006E0D37">
        <w:t xml:space="preserve"> has helped to provide a reasonable sample from the </w:t>
      </w:r>
      <w:r w:rsidR="000D4CA2">
        <w:t>private rented sector</w:t>
      </w:r>
      <w:r w:rsidR="000D4CA2" w:rsidRPr="006E0D37">
        <w:t xml:space="preserve"> </w:t>
      </w:r>
      <w:r w:rsidRPr="006E0D37">
        <w:t xml:space="preserve">(344 responses in total). The table below also shows the latest </w:t>
      </w:r>
      <w:r w:rsidR="44715CA0">
        <w:t>Office for National Statistics (ONS)</w:t>
      </w:r>
      <w:r w:rsidRPr="006E0D37">
        <w:t xml:space="preserve"> estimates of tenure (from 2020) and also shows that 265 households did not provide information about tenure.</w:t>
      </w:r>
    </w:p>
    <w:p w14:paraId="20478320" w14:textId="77777777" w:rsidR="006E0D37" w:rsidRPr="006E0D37" w:rsidRDefault="006E0D37" w:rsidP="00172F56">
      <w:pPr>
        <w:pStyle w:val="11Bodytext"/>
        <w:numPr>
          <w:ilvl w:val="0"/>
          <w:numId w:val="0"/>
        </w:numPr>
        <w:spacing w:before="0" w:after="0" w:line="300" w:lineRule="auto"/>
        <w:rPr>
          <w:color w:val="auto"/>
        </w:rPr>
      </w:pPr>
    </w:p>
    <w:p w14:paraId="7B596E99" w14:textId="67B9E4FB" w:rsidR="006E0D37" w:rsidRPr="001241D9" w:rsidRDefault="006E0D37">
      <w:pPr>
        <w:pStyle w:val="11Bodytext"/>
        <w:numPr>
          <w:ilvl w:val="1"/>
          <w:numId w:val="23"/>
        </w:numPr>
        <w:spacing w:before="0" w:after="0" w:line="300" w:lineRule="auto"/>
        <w:ind w:left="720" w:hanging="720"/>
        <w:rPr>
          <w:color w:val="auto"/>
        </w:rPr>
      </w:pPr>
      <w:r w:rsidRPr="006E0D37">
        <w:t>In interpreting the data in the table below, it is also necessary to be mindful of the way the sampling was undertaken (with a sample of households in urban areas and 100% of households selected in rural locations). On the basis that rural areas will have higher proportions of older owner-occupiers it would be expected that the proportion of completed forms in this group would be higher than found in the population overall</w:t>
      </w:r>
      <w:r w:rsidR="44715CA0">
        <w:t>.</w:t>
      </w:r>
      <w:r w:rsidRPr="006E0D37">
        <w:t xml:space="preserve"> </w:t>
      </w:r>
    </w:p>
    <w:p w14:paraId="3F61E508" w14:textId="77777777" w:rsidR="001241D9" w:rsidRPr="006E0D37" w:rsidRDefault="001241D9" w:rsidP="00172F56">
      <w:pPr>
        <w:pStyle w:val="11Bodytext"/>
        <w:numPr>
          <w:ilvl w:val="0"/>
          <w:numId w:val="0"/>
        </w:numPr>
        <w:spacing w:before="0" w:after="0" w:line="300" w:lineRule="auto"/>
        <w:rPr>
          <w:color w:val="auto"/>
        </w:rPr>
      </w:pPr>
    </w:p>
    <w:tbl>
      <w:tblPr>
        <w:tblStyle w:val="TableGridLight10"/>
        <w:tblW w:w="8199" w:type="dxa"/>
        <w:jc w:val="center"/>
        <w:tblLayout w:type="fixed"/>
        <w:tblLook w:val="04A0" w:firstRow="1" w:lastRow="0" w:firstColumn="1" w:lastColumn="0" w:noHBand="0" w:noVBand="1"/>
      </w:tblPr>
      <w:tblGrid>
        <w:gridCol w:w="3256"/>
        <w:gridCol w:w="1235"/>
        <w:gridCol w:w="1236"/>
        <w:gridCol w:w="1236"/>
        <w:gridCol w:w="1236"/>
      </w:tblGrid>
      <w:tr w:rsidR="006E0D37" w:rsidRPr="00472A7E" w14:paraId="56854BD5" w14:textId="77777777" w:rsidTr="006E0D37">
        <w:trPr>
          <w:jc w:val="center"/>
        </w:trPr>
        <w:tc>
          <w:tcPr>
            <w:tcW w:w="8199" w:type="dxa"/>
            <w:gridSpan w:val="5"/>
            <w:noWrap/>
          </w:tcPr>
          <w:p w14:paraId="3EBC3D37" w14:textId="107D172D" w:rsidR="006E0D37" w:rsidRPr="006E0D37" w:rsidRDefault="00AD29A6" w:rsidP="005F3C17">
            <w:pPr>
              <w:spacing w:before="60" w:after="60" w:line="300" w:lineRule="auto"/>
              <w:jc w:val="center"/>
              <w:rPr>
                <w:rFonts w:ascii="Arial" w:hAnsi="Arial" w:cs="Arial"/>
                <w:b/>
                <w:bCs/>
                <w:sz w:val="20"/>
                <w:szCs w:val="16"/>
              </w:rPr>
            </w:pPr>
            <w:r>
              <w:rPr>
                <w:rFonts w:ascii="Arial" w:hAnsi="Arial" w:cs="Arial"/>
                <w:b/>
                <w:bCs/>
                <w:sz w:val="20"/>
                <w:szCs w:val="16"/>
              </w:rPr>
              <w:t>Figure 1.3</w:t>
            </w:r>
            <w:r w:rsidR="006E0D37" w:rsidRPr="006E0D37">
              <w:rPr>
                <w:rFonts w:ascii="Arial" w:hAnsi="Arial" w:cs="Arial"/>
                <w:b/>
                <w:bCs/>
                <w:sz w:val="20"/>
                <w:szCs w:val="16"/>
              </w:rPr>
              <w:t>: Tenure of households completing survey in Fylde</w:t>
            </w:r>
          </w:p>
        </w:tc>
      </w:tr>
      <w:tr w:rsidR="006E0D37" w:rsidRPr="00472A7E" w14:paraId="03CBBD5A" w14:textId="77777777" w:rsidTr="00172F56">
        <w:trPr>
          <w:jc w:val="center"/>
        </w:trPr>
        <w:tc>
          <w:tcPr>
            <w:tcW w:w="3256" w:type="dxa"/>
            <w:noWrap/>
          </w:tcPr>
          <w:p w14:paraId="52BB16F3" w14:textId="77777777" w:rsidR="006E0D37" w:rsidRPr="006E0D37" w:rsidRDefault="006E0D37" w:rsidP="005F3C17">
            <w:pPr>
              <w:spacing w:line="300" w:lineRule="auto"/>
              <w:rPr>
                <w:rFonts w:ascii="Arial" w:hAnsi="Arial" w:cs="Arial"/>
                <w:sz w:val="20"/>
                <w:szCs w:val="16"/>
              </w:rPr>
            </w:pPr>
          </w:p>
        </w:tc>
        <w:tc>
          <w:tcPr>
            <w:tcW w:w="1235" w:type="dxa"/>
            <w:noWrap/>
            <w:vAlign w:val="center"/>
          </w:tcPr>
          <w:p w14:paraId="6E6C49AE"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Survey responses</w:t>
            </w:r>
          </w:p>
        </w:tc>
        <w:tc>
          <w:tcPr>
            <w:tcW w:w="1236" w:type="dxa"/>
            <w:noWrap/>
            <w:vAlign w:val="center"/>
          </w:tcPr>
          <w:p w14:paraId="4B539D82"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 of responses</w:t>
            </w:r>
          </w:p>
        </w:tc>
        <w:tc>
          <w:tcPr>
            <w:tcW w:w="1236" w:type="dxa"/>
            <w:noWrap/>
            <w:vAlign w:val="center"/>
          </w:tcPr>
          <w:p w14:paraId="61CE6375"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 excluding ‘missing’</w:t>
            </w:r>
          </w:p>
        </w:tc>
        <w:tc>
          <w:tcPr>
            <w:tcW w:w="1236" w:type="dxa"/>
            <w:noWrap/>
            <w:vAlign w:val="center"/>
          </w:tcPr>
          <w:p w14:paraId="45CA7A89" w14:textId="65711BBB"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ONS estimate (2020)</w:t>
            </w:r>
            <w:r w:rsidR="003800E8">
              <w:rPr>
                <w:rStyle w:val="FootnoteReference"/>
                <w:rFonts w:ascii="Arial" w:hAnsi="Arial" w:cs="Arial"/>
                <w:sz w:val="20"/>
                <w:szCs w:val="16"/>
              </w:rPr>
              <w:footnoteReference w:id="2"/>
            </w:r>
          </w:p>
        </w:tc>
      </w:tr>
      <w:tr w:rsidR="006E0D37" w:rsidRPr="00472A7E" w14:paraId="2D3BE690" w14:textId="77777777" w:rsidTr="00172F56">
        <w:trPr>
          <w:jc w:val="center"/>
        </w:trPr>
        <w:tc>
          <w:tcPr>
            <w:tcW w:w="3256" w:type="dxa"/>
            <w:noWrap/>
            <w:hideMark/>
          </w:tcPr>
          <w:p w14:paraId="3A2BE888" w14:textId="77777777" w:rsidR="006E0D37" w:rsidRPr="006E0D37" w:rsidRDefault="006E0D37" w:rsidP="005F3C17">
            <w:pPr>
              <w:spacing w:line="300" w:lineRule="auto"/>
              <w:rPr>
                <w:rFonts w:ascii="Arial" w:hAnsi="Arial" w:cs="Arial"/>
                <w:sz w:val="20"/>
                <w:szCs w:val="16"/>
              </w:rPr>
            </w:pPr>
            <w:r w:rsidRPr="006E0D37">
              <w:rPr>
                <w:rFonts w:ascii="Arial" w:hAnsi="Arial" w:cs="Arial"/>
                <w:sz w:val="20"/>
                <w:szCs w:val="16"/>
              </w:rPr>
              <w:t>Owner-occupied (no mortgage)</w:t>
            </w:r>
          </w:p>
        </w:tc>
        <w:tc>
          <w:tcPr>
            <w:tcW w:w="1235" w:type="dxa"/>
            <w:noWrap/>
            <w:vAlign w:val="center"/>
            <w:hideMark/>
          </w:tcPr>
          <w:p w14:paraId="41848425"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1,491</w:t>
            </w:r>
          </w:p>
        </w:tc>
        <w:tc>
          <w:tcPr>
            <w:tcW w:w="1236" w:type="dxa"/>
            <w:noWrap/>
            <w:vAlign w:val="center"/>
            <w:hideMark/>
          </w:tcPr>
          <w:p w14:paraId="13CE5802"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50.2%</w:t>
            </w:r>
          </w:p>
        </w:tc>
        <w:tc>
          <w:tcPr>
            <w:tcW w:w="1236" w:type="dxa"/>
            <w:noWrap/>
            <w:vAlign w:val="center"/>
            <w:hideMark/>
          </w:tcPr>
          <w:p w14:paraId="6E131306"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55.1%</w:t>
            </w:r>
          </w:p>
        </w:tc>
        <w:tc>
          <w:tcPr>
            <w:tcW w:w="1236" w:type="dxa"/>
            <w:noWrap/>
            <w:vAlign w:val="center"/>
            <w:hideMark/>
          </w:tcPr>
          <w:p w14:paraId="6CCDC643"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45.2%</w:t>
            </w:r>
          </w:p>
        </w:tc>
      </w:tr>
      <w:tr w:rsidR="006E0D37" w:rsidRPr="00472A7E" w14:paraId="2060FC10" w14:textId="77777777" w:rsidTr="00172F56">
        <w:trPr>
          <w:jc w:val="center"/>
        </w:trPr>
        <w:tc>
          <w:tcPr>
            <w:tcW w:w="3256" w:type="dxa"/>
            <w:noWrap/>
            <w:hideMark/>
          </w:tcPr>
          <w:p w14:paraId="6E08DD47" w14:textId="77777777" w:rsidR="006E0D37" w:rsidRPr="006E0D37" w:rsidRDefault="006E0D37" w:rsidP="005F3C17">
            <w:pPr>
              <w:spacing w:line="300" w:lineRule="auto"/>
              <w:rPr>
                <w:rFonts w:ascii="Arial" w:hAnsi="Arial" w:cs="Arial"/>
                <w:sz w:val="20"/>
                <w:szCs w:val="16"/>
              </w:rPr>
            </w:pPr>
            <w:r w:rsidRPr="006E0D37">
              <w:rPr>
                <w:rFonts w:ascii="Arial" w:hAnsi="Arial" w:cs="Arial"/>
                <w:sz w:val="20"/>
                <w:szCs w:val="16"/>
              </w:rPr>
              <w:t>Owner-occupied (with mortgage)</w:t>
            </w:r>
          </w:p>
        </w:tc>
        <w:tc>
          <w:tcPr>
            <w:tcW w:w="1235" w:type="dxa"/>
            <w:noWrap/>
            <w:vAlign w:val="center"/>
            <w:hideMark/>
          </w:tcPr>
          <w:p w14:paraId="651DEB1F"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689</w:t>
            </w:r>
          </w:p>
        </w:tc>
        <w:tc>
          <w:tcPr>
            <w:tcW w:w="1236" w:type="dxa"/>
            <w:noWrap/>
            <w:vAlign w:val="center"/>
            <w:hideMark/>
          </w:tcPr>
          <w:p w14:paraId="47D1E7B1"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23.2%</w:t>
            </w:r>
          </w:p>
        </w:tc>
        <w:tc>
          <w:tcPr>
            <w:tcW w:w="1236" w:type="dxa"/>
            <w:noWrap/>
            <w:vAlign w:val="center"/>
            <w:hideMark/>
          </w:tcPr>
          <w:p w14:paraId="5AB24C90"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25.4%</w:t>
            </w:r>
          </w:p>
        </w:tc>
        <w:tc>
          <w:tcPr>
            <w:tcW w:w="1236" w:type="dxa"/>
            <w:noWrap/>
            <w:vAlign w:val="center"/>
            <w:hideMark/>
          </w:tcPr>
          <w:p w14:paraId="0530134C"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26.7%</w:t>
            </w:r>
          </w:p>
        </w:tc>
      </w:tr>
      <w:tr w:rsidR="006E0D37" w:rsidRPr="00472A7E" w14:paraId="31FB743A" w14:textId="77777777" w:rsidTr="00172F56">
        <w:trPr>
          <w:jc w:val="center"/>
        </w:trPr>
        <w:tc>
          <w:tcPr>
            <w:tcW w:w="3256" w:type="dxa"/>
            <w:noWrap/>
            <w:hideMark/>
          </w:tcPr>
          <w:p w14:paraId="43B2C728" w14:textId="77777777" w:rsidR="006E0D37" w:rsidRPr="006E0D37" w:rsidRDefault="006E0D37" w:rsidP="005F3C17">
            <w:pPr>
              <w:spacing w:line="300" w:lineRule="auto"/>
              <w:rPr>
                <w:rFonts w:ascii="Arial" w:hAnsi="Arial" w:cs="Arial"/>
                <w:sz w:val="20"/>
                <w:szCs w:val="16"/>
              </w:rPr>
            </w:pPr>
            <w:r w:rsidRPr="006E0D37">
              <w:rPr>
                <w:rFonts w:ascii="Arial" w:hAnsi="Arial" w:cs="Arial"/>
                <w:sz w:val="20"/>
                <w:szCs w:val="16"/>
              </w:rPr>
              <w:t>Social rented</w:t>
            </w:r>
          </w:p>
        </w:tc>
        <w:tc>
          <w:tcPr>
            <w:tcW w:w="1235" w:type="dxa"/>
            <w:noWrap/>
            <w:vAlign w:val="center"/>
            <w:hideMark/>
          </w:tcPr>
          <w:p w14:paraId="3C8F1F1A"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184</w:t>
            </w:r>
          </w:p>
        </w:tc>
        <w:tc>
          <w:tcPr>
            <w:tcW w:w="1236" w:type="dxa"/>
            <w:noWrap/>
            <w:vAlign w:val="center"/>
            <w:hideMark/>
          </w:tcPr>
          <w:p w14:paraId="59A8EC8E"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6.2%</w:t>
            </w:r>
          </w:p>
        </w:tc>
        <w:tc>
          <w:tcPr>
            <w:tcW w:w="1236" w:type="dxa"/>
            <w:noWrap/>
            <w:vAlign w:val="center"/>
            <w:hideMark/>
          </w:tcPr>
          <w:p w14:paraId="4087E1B2"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6.8%</w:t>
            </w:r>
          </w:p>
        </w:tc>
        <w:tc>
          <w:tcPr>
            <w:tcW w:w="1236" w:type="dxa"/>
            <w:noWrap/>
            <w:vAlign w:val="center"/>
            <w:hideMark/>
          </w:tcPr>
          <w:p w14:paraId="37EA48E6"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8.2%</w:t>
            </w:r>
          </w:p>
        </w:tc>
      </w:tr>
      <w:tr w:rsidR="006E0D37" w:rsidRPr="00472A7E" w14:paraId="40E52874" w14:textId="77777777" w:rsidTr="00172F56">
        <w:trPr>
          <w:jc w:val="center"/>
        </w:trPr>
        <w:tc>
          <w:tcPr>
            <w:tcW w:w="3256" w:type="dxa"/>
            <w:noWrap/>
            <w:hideMark/>
          </w:tcPr>
          <w:p w14:paraId="16A6924A" w14:textId="77777777" w:rsidR="006E0D37" w:rsidRPr="006E0D37" w:rsidRDefault="006E0D37" w:rsidP="005F3C17">
            <w:pPr>
              <w:spacing w:line="300" w:lineRule="auto"/>
              <w:rPr>
                <w:rFonts w:ascii="Arial" w:hAnsi="Arial" w:cs="Arial"/>
                <w:sz w:val="20"/>
                <w:szCs w:val="16"/>
              </w:rPr>
            </w:pPr>
            <w:r w:rsidRPr="006E0D37">
              <w:rPr>
                <w:rFonts w:ascii="Arial" w:hAnsi="Arial" w:cs="Arial"/>
                <w:sz w:val="20"/>
                <w:szCs w:val="16"/>
              </w:rPr>
              <w:t>Private Rented Sector</w:t>
            </w:r>
          </w:p>
        </w:tc>
        <w:tc>
          <w:tcPr>
            <w:tcW w:w="1235" w:type="dxa"/>
            <w:noWrap/>
            <w:vAlign w:val="center"/>
            <w:hideMark/>
          </w:tcPr>
          <w:p w14:paraId="0F46E3B9"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344</w:t>
            </w:r>
          </w:p>
        </w:tc>
        <w:tc>
          <w:tcPr>
            <w:tcW w:w="1236" w:type="dxa"/>
            <w:noWrap/>
            <w:vAlign w:val="center"/>
            <w:hideMark/>
          </w:tcPr>
          <w:p w14:paraId="2D9AE495"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11.6%</w:t>
            </w:r>
          </w:p>
        </w:tc>
        <w:tc>
          <w:tcPr>
            <w:tcW w:w="1236" w:type="dxa"/>
            <w:noWrap/>
            <w:vAlign w:val="center"/>
            <w:hideMark/>
          </w:tcPr>
          <w:p w14:paraId="2A4000B2"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12.7%</w:t>
            </w:r>
          </w:p>
        </w:tc>
        <w:tc>
          <w:tcPr>
            <w:tcW w:w="1236" w:type="dxa"/>
            <w:noWrap/>
            <w:vAlign w:val="center"/>
            <w:hideMark/>
          </w:tcPr>
          <w:p w14:paraId="74677AF6"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19.9%</w:t>
            </w:r>
          </w:p>
        </w:tc>
      </w:tr>
      <w:tr w:rsidR="006E0D37" w:rsidRPr="00472A7E" w14:paraId="1B01FED5" w14:textId="77777777" w:rsidTr="00172F56">
        <w:trPr>
          <w:jc w:val="center"/>
        </w:trPr>
        <w:tc>
          <w:tcPr>
            <w:tcW w:w="3256" w:type="dxa"/>
            <w:noWrap/>
            <w:hideMark/>
          </w:tcPr>
          <w:p w14:paraId="324DB1FF" w14:textId="77777777" w:rsidR="006E0D37" w:rsidRPr="006E0D37" w:rsidRDefault="006E0D37" w:rsidP="005F3C17">
            <w:pPr>
              <w:spacing w:line="300" w:lineRule="auto"/>
              <w:rPr>
                <w:rFonts w:ascii="Arial" w:hAnsi="Arial" w:cs="Arial"/>
                <w:sz w:val="20"/>
                <w:szCs w:val="16"/>
              </w:rPr>
            </w:pPr>
            <w:r w:rsidRPr="006E0D37">
              <w:rPr>
                <w:rFonts w:ascii="Arial" w:hAnsi="Arial" w:cs="Arial"/>
                <w:sz w:val="20"/>
                <w:szCs w:val="16"/>
              </w:rPr>
              <w:t>No information</w:t>
            </w:r>
          </w:p>
        </w:tc>
        <w:tc>
          <w:tcPr>
            <w:tcW w:w="1235" w:type="dxa"/>
            <w:noWrap/>
            <w:vAlign w:val="center"/>
            <w:hideMark/>
          </w:tcPr>
          <w:p w14:paraId="69B264E4"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265</w:t>
            </w:r>
          </w:p>
        </w:tc>
        <w:tc>
          <w:tcPr>
            <w:tcW w:w="1236" w:type="dxa"/>
            <w:noWrap/>
            <w:vAlign w:val="center"/>
            <w:hideMark/>
          </w:tcPr>
          <w:p w14:paraId="7BD57630"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8.9%</w:t>
            </w:r>
          </w:p>
        </w:tc>
        <w:tc>
          <w:tcPr>
            <w:tcW w:w="1236" w:type="dxa"/>
            <w:noWrap/>
            <w:vAlign w:val="center"/>
            <w:hideMark/>
          </w:tcPr>
          <w:p w14:paraId="4723F6D7" w14:textId="13772FAA" w:rsidR="006E0D37" w:rsidRPr="006E0D37" w:rsidRDefault="003800E8" w:rsidP="005F3C17">
            <w:pPr>
              <w:spacing w:line="300" w:lineRule="auto"/>
              <w:jc w:val="center"/>
              <w:rPr>
                <w:rFonts w:ascii="Arial" w:hAnsi="Arial" w:cs="Arial"/>
                <w:sz w:val="20"/>
                <w:szCs w:val="16"/>
              </w:rPr>
            </w:pPr>
            <w:r>
              <w:rPr>
                <w:rFonts w:ascii="Arial" w:hAnsi="Arial" w:cs="Arial"/>
                <w:sz w:val="20"/>
                <w:szCs w:val="16"/>
              </w:rPr>
              <w:t>-</w:t>
            </w:r>
          </w:p>
        </w:tc>
        <w:tc>
          <w:tcPr>
            <w:tcW w:w="1236" w:type="dxa"/>
            <w:noWrap/>
            <w:vAlign w:val="center"/>
            <w:hideMark/>
          </w:tcPr>
          <w:p w14:paraId="49C1630E" w14:textId="7F73F2D0" w:rsidR="006E0D37" w:rsidRPr="006E0D37" w:rsidRDefault="003800E8" w:rsidP="005F3C17">
            <w:pPr>
              <w:spacing w:line="300" w:lineRule="auto"/>
              <w:jc w:val="center"/>
              <w:rPr>
                <w:rFonts w:ascii="Arial" w:hAnsi="Arial" w:cs="Arial"/>
                <w:sz w:val="20"/>
                <w:szCs w:val="16"/>
              </w:rPr>
            </w:pPr>
            <w:r>
              <w:rPr>
                <w:rFonts w:ascii="Arial" w:hAnsi="Arial" w:cs="Arial"/>
                <w:sz w:val="20"/>
                <w:szCs w:val="16"/>
              </w:rPr>
              <w:t>-</w:t>
            </w:r>
          </w:p>
        </w:tc>
      </w:tr>
      <w:tr w:rsidR="006E0D37" w:rsidRPr="00472A7E" w14:paraId="64D1DB7B" w14:textId="77777777" w:rsidTr="00172F56">
        <w:trPr>
          <w:jc w:val="center"/>
        </w:trPr>
        <w:tc>
          <w:tcPr>
            <w:tcW w:w="3256" w:type="dxa"/>
            <w:noWrap/>
            <w:hideMark/>
          </w:tcPr>
          <w:p w14:paraId="3699F6B0" w14:textId="77777777" w:rsidR="006E0D37" w:rsidRPr="006E0D37" w:rsidRDefault="006E0D37" w:rsidP="005F3C17">
            <w:pPr>
              <w:spacing w:line="300" w:lineRule="auto"/>
              <w:rPr>
                <w:rFonts w:ascii="Arial" w:hAnsi="Arial" w:cs="Arial"/>
                <w:sz w:val="20"/>
                <w:szCs w:val="16"/>
              </w:rPr>
            </w:pPr>
            <w:r w:rsidRPr="006E0D37">
              <w:rPr>
                <w:rFonts w:ascii="Arial" w:hAnsi="Arial" w:cs="Arial"/>
                <w:sz w:val="20"/>
                <w:szCs w:val="16"/>
              </w:rPr>
              <w:t>Total</w:t>
            </w:r>
          </w:p>
        </w:tc>
        <w:tc>
          <w:tcPr>
            <w:tcW w:w="1235" w:type="dxa"/>
            <w:noWrap/>
            <w:vAlign w:val="center"/>
            <w:hideMark/>
          </w:tcPr>
          <w:p w14:paraId="4B999873"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2,973</w:t>
            </w:r>
          </w:p>
        </w:tc>
        <w:tc>
          <w:tcPr>
            <w:tcW w:w="1236" w:type="dxa"/>
            <w:noWrap/>
            <w:vAlign w:val="center"/>
            <w:hideMark/>
          </w:tcPr>
          <w:p w14:paraId="5E7A5DCD"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100.0%</w:t>
            </w:r>
          </w:p>
        </w:tc>
        <w:tc>
          <w:tcPr>
            <w:tcW w:w="1236" w:type="dxa"/>
            <w:noWrap/>
            <w:vAlign w:val="center"/>
            <w:hideMark/>
          </w:tcPr>
          <w:p w14:paraId="176D5C24"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100.0%</w:t>
            </w:r>
          </w:p>
        </w:tc>
        <w:tc>
          <w:tcPr>
            <w:tcW w:w="1236" w:type="dxa"/>
            <w:noWrap/>
            <w:vAlign w:val="center"/>
            <w:hideMark/>
          </w:tcPr>
          <w:p w14:paraId="59747C4F" w14:textId="77777777" w:rsidR="006E0D37" w:rsidRPr="006E0D37" w:rsidRDefault="006E0D37" w:rsidP="005F3C17">
            <w:pPr>
              <w:spacing w:line="300" w:lineRule="auto"/>
              <w:jc w:val="center"/>
              <w:rPr>
                <w:rFonts w:ascii="Arial" w:hAnsi="Arial" w:cs="Arial"/>
                <w:sz w:val="20"/>
                <w:szCs w:val="16"/>
              </w:rPr>
            </w:pPr>
            <w:r w:rsidRPr="006E0D37">
              <w:rPr>
                <w:rFonts w:ascii="Arial" w:hAnsi="Arial" w:cs="Arial"/>
                <w:sz w:val="20"/>
                <w:szCs w:val="16"/>
              </w:rPr>
              <w:t>100.0%</w:t>
            </w:r>
          </w:p>
        </w:tc>
      </w:tr>
    </w:tbl>
    <w:p w14:paraId="3A2CD022" w14:textId="23B4DD80" w:rsidR="006E0D37" w:rsidRDefault="006E0D37" w:rsidP="005F3C17">
      <w:pPr>
        <w:pStyle w:val="11Bodytext"/>
        <w:numPr>
          <w:ilvl w:val="0"/>
          <w:numId w:val="0"/>
        </w:numPr>
        <w:spacing w:before="0" w:after="0" w:line="300" w:lineRule="auto"/>
        <w:jc w:val="center"/>
        <w:rPr>
          <w:color w:val="auto"/>
        </w:rPr>
      </w:pPr>
      <w:r>
        <w:rPr>
          <w:color w:val="auto"/>
        </w:rPr>
        <w:t>Source: Household survey</w:t>
      </w:r>
    </w:p>
    <w:p w14:paraId="53668B71" w14:textId="77777777" w:rsidR="001241D9" w:rsidRPr="006E0D37" w:rsidRDefault="001241D9" w:rsidP="00172F56">
      <w:pPr>
        <w:pStyle w:val="11Bodytext"/>
        <w:numPr>
          <w:ilvl w:val="0"/>
          <w:numId w:val="0"/>
        </w:numPr>
        <w:spacing w:before="0" w:after="0" w:line="300" w:lineRule="auto"/>
        <w:rPr>
          <w:color w:val="auto"/>
        </w:rPr>
      </w:pPr>
    </w:p>
    <w:p w14:paraId="200056E1" w14:textId="3AD6432E" w:rsidR="001241D9" w:rsidRPr="001241D9" w:rsidRDefault="001241D9">
      <w:pPr>
        <w:pStyle w:val="11Bodytext"/>
        <w:numPr>
          <w:ilvl w:val="1"/>
          <w:numId w:val="23"/>
        </w:numPr>
        <w:spacing w:before="0" w:after="0" w:line="300" w:lineRule="auto"/>
        <w:ind w:left="720" w:hanging="720"/>
        <w:rPr>
          <w:color w:val="auto"/>
        </w:rPr>
      </w:pPr>
      <w:r w:rsidRPr="001241D9">
        <w:t xml:space="preserve">Survey data was weighted </w:t>
      </w:r>
      <w:r w:rsidR="00243A09">
        <w:t xml:space="preserve">(upscaled) </w:t>
      </w:r>
      <w:r w:rsidRPr="001241D9">
        <w:t xml:space="preserve">to match the tenure profile </w:t>
      </w:r>
      <w:r w:rsidR="5240911E">
        <w:t xml:space="preserve">of the Borough </w:t>
      </w:r>
      <w:r w:rsidRPr="001241D9">
        <w:t>shown above. An important aspect of preparing data for analysis is ‘weighting’ it. As can be seen from the table above, social survey responses never exactly match the estimated population totals. As a result</w:t>
      </w:r>
      <w:r w:rsidR="5240911E">
        <w:t>,</w:t>
      </w:r>
      <w:r w:rsidRPr="001241D9">
        <w:t xml:space="preserve"> it is necessary to ‘rebalance’ the data to correctly represent the population being analysed via weighting. Weighting is recognised as being a way of compensating for low response amongst certain groups. Although response rates were lower amongst certain groups of the population (e.g. privately renting households in the table above) the application of a sophisticated weighting process, as has been used in this survey, removes any bias</w:t>
      </w:r>
      <w:r w:rsidRPr="006E0D37">
        <w:t>.</w:t>
      </w:r>
      <w:r>
        <w:t xml:space="preserve"> In addition, the weighting takes account of </w:t>
      </w:r>
      <w:r w:rsidRPr="00472A7E">
        <w:t>the different sampling technique for different locations</w:t>
      </w:r>
      <w:r>
        <w:t>.</w:t>
      </w:r>
    </w:p>
    <w:p w14:paraId="69D12B58" w14:textId="77777777" w:rsidR="001241D9" w:rsidRPr="001241D9" w:rsidRDefault="001241D9" w:rsidP="00172F56">
      <w:pPr>
        <w:pStyle w:val="11Bodytext"/>
        <w:numPr>
          <w:ilvl w:val="0"/>
          <w:numId w:val="0"/>
        </w:numPr>
        <w:spacing w:before="0" w:after="0" w:line="300" w:lineRule="auto"/>
        <w:rPr>
          <w:color w:val="auto"/>
        </w:rPr>
      </w:pPr>
    </w:p>
    <w:p w14:paraId="02CA3C07" w14:textId="4DEAF968" w:rsidR="001241D9" w:rsidRPr="007236BD" w:rsidRDefault="001241D9" w:rsidP="00172F56">
      <w:pPr>
        <w:spacing w:line="300" w:lineRule="auto"/>
        <w:jc w:val="both"/>
        <w:rPr>
          <w:rFonts w:ascii="Arial" w:hAnsi="Arial" w:cs="Arial"/>
          <w:b/>
          <w:lang w:eastAsia="ja-JP"/>
        </w:rPr>
      </w:pPr>
      <w:r>
        <w:rPr>
          <w:rFonts w:ascii="Arial" w:hAnsi="Arial" w:cs="Arial"/>
          <w:b/>
          <w:lang w:eastAsia="ja-JP"/>
        </w:rPr>
        <w:t>Background Analysis</w:t>
      </w:r>
    </w:p>
    <w:p w14:paraId="236D90F7" w14:textId="77777777" w:rsidR="001241D9" w:rsidRPr="007236BD" w:rsidRDefault="001241D9" w:rsidP="00172F56">
      <w:pPr>
        <w:spacing w:line="300" w:lineRule="auto"/>
        <w:jc w:val="both"/>
        <w:rPr>
          <w:rFonts w:ascii="Arial" w:hAnsi="Arial" w:cs="Arial"/>
          <w:sz w:val="20"/>
          <w:szCs w:val="20"/>
          <w:lang w:eastAsia="ja-JP"/>
        </w:rPr>
      </w:pPr>
    </w:p>
    <w:p w14:paraId="14057FE1" w14:textId="4520A62C" w:rsidR="00267663" w:rsidRPr="00267663" w:rsidRDefault="001241D9">
      <w:pPr>
        <w:pStyle w:val="11Bodytext"/>
        <w:numPr>
          <w:ilvl w:val="1"/>
          <w:numId w:val="23"/>
        </w:numPr>
        <w:spacing w:before="0" w:after="0" w:line="300" w:lineRule="auto"/>
        <w:ind w:left="720" w:hanging="720"/>
        <w:rPr>
          <w:color w:val="auto"/>
        </w:rPr>
      </w:pPr>
      <w:r>
        <w:t xml:space="preserve">The series of tables, figures and </w:t>
      </w:r>
      <w:r w:rsidR="00432414">
        <w:t>commentary</w:t>
      </w:r>
      <w:r>
        <w:t xml:space="preserve"> below provide some key backgroun</w:t>
      </w:r>
      <w:r w:rsidR="00267663">
        <w:t>d</w:t>
      </w:r>
      <w:r>
        <w:t xml:space="preserve"> data from the survey, once </w:t>
      </w:r>
      <w:r w:rsidR="00432414">
        <w:t>weighted</w:t>
      </w:r>
      <w:r>
        <w:t xml:space="preserve"> for </w:t>
      </w:r>
      <w:r w:rsidR="00267663">
        <w:t>non-response bias</w:t>
      </w:r>
      <w:r w:rsidR="003800E8">
        <w:rPr>
          <w:rStyle w:val="FootnoteReference"/>
        </w:rPr>
        <w:footnoteReference w:id="3"/>
      </w:r>
      <w:r w:rsidR="00267663">
        <w:t xml:space="preserve">. This is to provide some context for the </w:t>
      </w:r>
      <w:r w:rsidR="00432414">
        <w:t>analysis</w:t>
      </w:r>
      <w:r w:rsidR="00267663">
        <w:t xml:space="preserve"> to follow. This particularly focusses on differences between locations and tenure.</w:t>
      </w:r>
    </w:p>
    <w:p w14:paraId="27B7EF7A" w14:textId="696EA439" w:rsidR="00267663" w:rsidRDefault="00267663" w:rsidP="00172F56">
      <w:pPr>
        <w:pStyle w:val="11Bodytext"/>
        <w:numPr>
          <w:ilvl w:val="0"/>
          <w:numId w:val="0"/>
        </w:numPr>
        <w:spacing w:before="0" w:after="0" w:line="300" w:lineRule="auto"/>
        <w:rPr>
          <w:color w:val="auto"/>
        </w:rPr>
      </w:pPr>
    </w:p>
    <w:p w14:paraId="5E9DE08A" w14:textId="48DC09DC" w:rsidR="00267663" w:rsidRDefault="00267663">
      <w:pPr>
        <w:pStyle w:val="11Bodytext"/>
        <w:numPr>
          <w:ilvl w:val="1"/>
          <w:numId w:val="23"/>
        </w:numPr>
        <w:spacing w:before="0" w:after="0" w:line="300" w:lineRule="auto"/>
        <w:ind w:left="720" w:hanging="720"/>
        <w:rPr>
          <w:color w:val="auto"/>
        </w:rPr>
      </w:pPr>
      <w:r>
        <w:rPr>
          <w:color w:val="auto"/>
        </w:rPr>
        <w:t>The table below shows a cross-</w:t>
      </w:r>
      <w:r w:rsidR="00432414">
        <w:rPr>
          <w:color w:val="auto"/>
        </w:rPr>
        <w:t>tabulation</w:t>
      </w:r>
      <w:r>
        <w:rPr>
          <w:color w:val="auto"/>
        </w:rPr>
        <w:t xml:space="preserve"> of </w:t>
      </w:r>
      <w:r w:rsidR="00432414">
        <w:rPr>
          <w:color w:val="auto"/>
        </w:rPr>
        <w:t>tenure</w:t>
      </w:r>
      <w:r>
        <w:rPr>
          <w:color w:val="auto"/>
        </w:rPr>
        <w:t xml:space="preserve"> and sub-area</w:t>
      </w:r>
      <w:r w:rsidR="006D3745">
        <w:rPr>
          <w:color w:val="auto"/>
        </w:rPr>
        <w:t xml:space="preserve"> which shows a sizeable private rented sector in </w:t>
      </w:r>
      <w:r w:rsidR="00432414">
        <w:rPr>
          <w:color w:val="auto"/>
        </w:rPr>
        <w:t>St. Annes and</w:t>
      </w:r>
      <w:r w:rsidR="006D3745">
        <w:rPr>
          <w:color w:val="auto"/>
        </w:rPr>
        <w:t xml:space="preserve"> much lower proportions in rural areas. Rural areas</w:t>
      </w:r>
      <w:r w:rsidR="00A4575A">
        <w:rPr>
          <w:color w:val="auto"/>
        </w:rPr>
        <w:t>, along with Warton and Freckleton</w:t>
      </w:r>
      <w:r w:rsidR="006D3745">
        <w:rPr>
          <w:color w:val="auto"/>
        </w:rPr>
        <w:t xml:space="preserve"> </w:t>
      </w:r>
      <w:r w:rsidR="00243A09">
        <w:rPr>
          <w:color w:val="auto"/>
        </w:rPr>
        <w:t>have</w:t>
      </w:r>
      <w:r w:rsidR="006D3745">
        <w:rPr>
          <w:color w:val="auto"/>
        </w:rPr>
        <w:t xml:space="preserve"> very high levels of owner-occupation, particularly of outright owners. All locations (with the exception of Fylde-Blackpool </w:t>
      </w:r>
      <w:r w:rsidR="0FBBF193" w:rsidRPr="0DEAF352">
        <w:rPr>
          <w:color w:val="auto"/>
        </w:rPr>
        <w:t>Periphery</w:t>
      </w:r>
      <w:r w:rsidR="006D3745">
        <w:rPr>
          <w:color w:val="auto"/>
        </w:rPr>
        <w:t xml:space="preserve"> and Wesham) have very low levels of social renting and the Borough-wide average (8.4% of </w:t>
      </w:r>
      <w:r w:rsidR="00432414">
        <w:rPr>
          <w:color w:val="auto"/>
        </w:rPr>
        <w:t>households</w:t>
      </w:r>
      <w:r w:rsidR="006D3745">
        <w:rPr>
          <w:color w:val="auto"/>
        </w:rPr>
        <w:t xml:space="preserve">) is around half the level estimated nationally by ONS (17%). The proportion of </w:t>
      </w:r>
      <w:r w:rsidR="00432414">
        <w:rPr>
          <w:color w:val="auto"/>
        </w:rPr>
        <w:t>households</w:t>
      </w:r>
      <w:r w:rsidR="006D3745">
        <w:rPr>
          <w:color w:val="auto"/>
        </w:rPr>
        <w:t xml:space="preserve"> in private rented housing is very similar to the national average.</w:t>
      </w:r>
    </w:p>
    <w:p w14:paraId="39C3E84F" w14:textId="77777777" w:rsidR="006D3745" w:rsidRPr="00267663" w:rsidRDefault="006D3745" w:rsidP="00172F56">
      <w:pPr>
        <w:pStyle w:val="11Bodytext"/>
        <w:numPr>
          <w:ilvl w:val="0"/>
          <w:numId w:val="0"/>
        </w:numPr>
        <w:spacing w:before="0" w:after="0" w:line="300" w:lineRule="auto"/>
        <w:rPr>
          <w:color w:val="auto"/>
        </w:rPr>
      </w:pPr>
    </w:p>
    <w:tbl>
      <w:tblPr>
        <w:tblStyle w:val="TableTheme"/>
        <w:tblW w:w="9639" w:type="dxa"/>
        <w:tblLayout w:type="fixed"/>
        <w:tblLook w:val="0000" w:firstRow="0" w:lastRow="0" w:firstColumn="0" w:lastColumn="0" w:noHBand="0" w:noVBand="0"/>
      </w:tblPr>
      <w:tblGrid>
        <w:gridCol w:w="1441"/>
        <w:gridCol w:w="540"/>
        <w:gridCol w:w="1531"/>
        <w:gridCol w:w="1532"/>
        <w:gridCol w:w="1531"/>
        <w:gridCol w:w="1532"/>
        <w:gridCol w:w="1532"/>
      </w:tblGrid>
      <w:tr w:rsidR="00267663" w:rsidRPr="003D2556" w14:paraId="5B011B81" w14:textId="77777777" w:rsidTr="008469E3">
        <w:tc>
          <w:tcPr>
            <w:tcW w:w="9639" w:type="dxa"/>
            <w:gridSpan w:val="7"/>
          </w:tcPr>
          <w:p w14:paraId="0FE4E3BA" w14:textId="770A87CD" w:rsidR="00267663" w:rsidRPr="00B92CA6" w:rsidRDefault="00267663" w:rsidP="005F3C17">
            <w:pPr>
              <w:keepNext/>
              <w:widowControl w:val="0"/>
              <w:spacing w:before="60" w:after="60" w:line="300" w:lineRule="auto"/>
              <w:jc w:val="center"/>
              <w:rPr>
                <w:rFonts w:ascii="Arial" w:hAnsi="Arial" w:cs="Arial"/>
                <w:b/>
                <w:sz w:val="20"/>
                <w:szCs w:val="20"/>
              </w:rPr>
            </w:pPr>
            <w:r w:rsidRPr="00B92CA6">
              <w:rPr>
                <w:rFonts w:ascii="Arial" w:hAnsi="Arial" w:cs="Arial"/>
                <w:b/>
                <w:sz w:val="20"/>
                <w:szCs w:val="20"/>
              </w:rPr>
              <w:t>Figure 1.</w:t>
            </w:r>
            <w:r w:rsidR="00AD29A6">
              <w:rPr>
                <w:rFonts w:ascii="Arial" w:hAnsi="Arial" w:cs="Arial"/>
                <w:b/>
                <w:sz w:val="20"/>
                <w:szCs w:val="20"/>
              </w:rPr>
              <w:t>4:</w:t>
            </w:r>
            <w:r w:rsidRPr="00B92CA6">
              <w:rPr>
                <w:rFonts w:ascii="Arial" w:hAnsi="Arial" w:cs="Arial"/>
                <w:b/>
                <w:sz w:val="20"/>
                <w:szCs w:val="20"/>
              </w:rPr>
              <w:t xml:space="preserve"> Tenure by sub-area</w:t>
            </w:r>
          </w:p>
        </w:tc>
      </w:tr>
      <w:tr w:rsidR="00267663" w:rsidRPr="003D2556" w14:paraId="66641779" w14:textId="77777777" w:rsidTr="008469E3">
        <w:tc>
          <w:tcPr>
            <w:tcW w:w="1981" w:type="dxa"/>
            <w:gridSpan w:val="2"/>
          </w:tcPr>
          <w:p w14:paraId="548901E6" w14:textId="77777777" w:rsidR="00267663" w:rsidRPr="00B92CA6" w:rsidRDefault="00267663" w:rsidP="005F3C17">
            <w:pPr>
              <w:keepNext/>
              <w:widowControl w:val="0"/>
              <w:spacing w:line="300" w:lineRule="auto"/>
              <w:rPr>
                <w:rFonts w:ascii="Arial" w:hAnsi="Arial" w:cs="Arial"/>
                <w:sz w:val="20"/>
                <w:szCs w:val="20"/>
              </w:rPr>
            </w:pPr>
            <w:r w:rsidRPr="00B92CA6">
              <w:rPr>
                <w:rFonts w:ascii="Arial" w:hAnsi="Arial" w:cs="Arial"/>
                <w:sz w:val="20"/>
                <w:szCs w:val="20"/>
              </w:rPr>
              <w:t>Sub-area</w:t>
            </w:r>
          </w:p>
        </w:tc>
        <w:tc>
          <w:tcPr>
            <w:tcW w:w="1531" w:type="dxa"/>
          </w:tcPr>
          <w:p w14:paraId="271AACD2" w14:textId="77777777" w:rsidR="00267663" w:rsidRPr="00B92CA6" w:rsidRDefault="00267663" w:rsidP="005F3C17">
            <w:pPr>
              <w:keepNext/>
              <w:widowControl w:val="0"/>
              <w:spacing w:line="300" w:lineRule="auto"/>
              <w:jc w:val="center"/>
              <w:rPr>
                <w:rFonts w:ascii="Arial" w:hAnsi="Arial" w:cs="Arial"/>
                <w:sz w:val="20"/>
                <w:szCs w:val="20"/>
              </w:rPr>
            </w:pPr>
            <w:r w:rsidRPr="00B92CA6">
              <w:rPr>
                <w:rFonts w:ascii="Arial" w:hAnsi="Arial" w:cs="Arial"/>
                <w:sz w:val="20"/>
                <w:szCs w:val="20"/>
              </w:rPr>
              <w:t>Owner-occupied (no mortgage)</w:t>
            </w:r>
          </w:p>
        </w:tc>
        <w:tc>
          <w:tcPr>
            <w:tcW w:w="1532" w:type="dxa"/>
          </w:tcPr>
          <w:p w14:paraId="4564CD14" w14:textId="77777777" w:rsidR="00267663" w:rsidRPr="00B92CA6" w:rsidRDefault="00267663" w:rsidP="005F3C17">
            <w:pPr>
              <w:keepNext/>
              <w:widowControl w:val="0"/>
              <w:spacing w:line="300" w:lineRule="auto"/>
              <w:jc w:val="center"/>
              <w:rPr>
                <w:rFonts w:ascii="Arial" w:hAnsi="Arial" w:cs="Arial"/>
                <w:sz w:val="20"/>
                <w:szCs w:val="20"/>
              </w:rPr>
            </w:pPr>
            <w:r w:rsidRPr="00B92CA6">
              <w:rPr>
                <w:rFonts w:ascii="Arial" w:hAnsi="Arial" w:cs="Arial"/>
                <w:sz w:val="20"/>
                <w:szCs w:val="20"/>
              </w:rPr>
              <w:t>Owner-occupied (with mortgage)</w:t>
            </w:r>
          </w:p>
        </w:tc>
        <w:tc>
          <w:tcPr>
            <w:tcW w:w="1531" w:type="dxa"/>
          </w:tcPr>
          <w:p w14:paraId="471C5B78" w14:textId="77777777" w:rsidR="00267663" w:rsidRPr="00B92CA6" w:rsidRDefault="00267663" w:rsidP="005F3C17">
            <w:pPr>
              <w:keepNext/>
              <w:widowControl w:val="0"/>
              <w:spacing w:line="300" w:lineRule="auto"/>
              <w:jc w:val="center"/>
              <w:rPr>
                <w:rFonts w:ascii="Arial" w:hAnsi="Arial" w:cs="Arial"/>
                <w:sz w:val="20"/>
                <w:szCs w:val="20"/>
              </w:rPr>
            </w:pPr>
            <w:r w:rsidRPr="00B92CA6">
              <w:rPr>
                <w:rFonts w:ascii="Arial" w:hAnsi="Arial" w:cs="Arial"/>
                <w:sz w:val="20"/>
                <w:szCs w:val="20"/>
              </w:rPr>
              <w:t>Social rented</w:t>
            </w:r>
          </w:p>
        </w:tc>
        <w:tc>
          <w:tcPr>
            <w:tcW w:w="1532" w:type="dxa"/>
          </w:tcPr>
          <w:p w14:paraId="25EDF751" w14:textId="77777777" w:rsidR="00267663" w:rsidRPr="00B92CA6" w:rsidRDefault="00267663" w:rsidP="005F3C17">
            <w:pPr>
              <w:keepNext/>
              <w:widowControl w:val="0"/>
              <w:spacing w:line="300" w:lineRule="auto"/>
              <w:jc w:val="center"/>
              <w:rPr>
                <w:rFonts w:ascii="Arial" w:hAnsi="Arial" w:cs="Arial"/>
                <w:sz w:val="20"/>
                <w:szCs w:val="20"/>
              </w:rPr>
            </w:pPr>
            <w:r w:rsidRPr="00B92CA6">
              <w:rPr>
                <w:rFonts w:ascii="Arial" w:hAnsi="Arial" w:cs="Arial"/>
                <w:sz w:val="20"/>
                <w:szCs w:val="20"/>
              </w:rPr>
              <w:t>Private rented</w:t>
            </w:r>
          </w:p>
        </w:tc>
        <w:tc>
          <w:tcPr>
            <w:tcW w:w="1532" w:type="dxa"/>
          </w:tcPr>
          <w:p w14:paraId="3535A768" w14:textId="77777777" w:rsidR="00267663" w:rsidRPr="00B92CA6" w:rsidRDefault="00267663" w:rsidP="005F3C17">
            <w:pPr>
              <w:keepNext/>
              <w:widowControl w:val="0"/>
              <w:spacing w:line="300" w:lineRule="auto"/>
              <w:jc w:val="center"/>
              <w:rPr>
                <w:rFonts w:ascii="Arial" w:hAnsi="Arial" w:cs="Arial"/>
                <w:sz w:val="20"/>
                <w:szCs w:val="20"/>
              </w:rPr>
            </w:pPr>
            <w:r w:rsidRPr="00B92CA6">
              <w:rPr>
                <w:rFonts w:ascii="Arial" w:hAnsi="Arial" w:cs="Arial"/>
                <w:sz w:val="20"/>
                <w:szCs w:val="20"/>
              </w:rPr>
              <w:t>Total</w:t>
            </w:r>
          </w:p>
        </w:tc>
      </w:tr>
      <w:tr w:rsidR="00267663" w:rsidRPr="003D2556" w14:paraId="2F498F0E" w14:textId="77777777" w:rsidTr="008469E3">
        <w:tc>
          <w:tcPr>
            <w:tcW w:w="1441" w:type="dxa"/>
            <w:vMerge w:val="restart"/>
          </w:tcPr>
          <w:p w14:paraId="28E55CDE" w14:textId="77777777" w:rsidR="00267663" w:rsidRPr="00B92CA6" w:rsidRDefault="00267663" w:rsidP="005F3C17">
            <w:pPr>
              <w:keepNext/>
              <w:spacing w:line="300" w:lineRule="auto"/>
              <w:rPr>
                <w:rFonts w:ascii="Arial" w:hAnsi="Arial" w:cs="Arial"/>
                <w:color w:val="000000"/>
                <w:sz w:val="20"/>
                <w:szCs w:val="20"/>
              </w:rPr>
            </w:pPr>
            <w:r w:rsidRPr="00B92CA6">
              <w:rPr>
                <w:rFonts w:ascii="Arial" w:hAnsi="Arial" w:cs="Arial"/>
                <w:color w:val="000000"/>
                <w:sz w:val="20"/>
                <w:szCs w:val="20"/>
              </w:rPr>
              <w:t>St. Annes</w:t>
            </w:r>
          </w:p>
        </w:tc>
        <w:tc>
          <w:tcPr>
            <w:tcW w:w="540" w:type="dxa"/>
          </w:tcPr>
          <w:p w14:paraId="0228774F"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6575D030"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5,783</w:t>
            </w:r>
          </w:p>
        </w:tc>
        <w:tc>
          <w:tcPr>
            <w:tcW w:w="1532" w:type="dxa"/>
            <w:vAlign w:val="bottom"/>
          </w:tcPr>
          <w:p w14:paraId="73C0AE02"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3,017</w:t>
            </w:r>
          </w:p>
        </w:tc>
        <w:tc>
          <w:tcPr>
            <w:tcW w:w="1531" w:type="dxa"/>
            <w:vAlign w:val="bottom"/>
          </w:tcPr>
          <w:p w14:paraId="41E07B23"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1,055</w:t>
            </w:r>
          </w:p>
        </w:tc>
        <w:tc>
          <w:tcPr>
            <w:tcW w:w="1532" w:type="dxa"/>
            <w:vAlign w:val="bottom"/>
          </w:tcPr>
          <w:p w14:paraId="5BE0C3A8"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3,957</w:t>
            </w:r>
          </w:p>
        </w:tc>
        <w:tc>
          <w:tcPr>
            <w:tcW w:w="1532" w:type="dxa"/>
            <w:vAlign w:val="bottom"/>
          </w:tcPr>
          <w:p w14:paraId="58BEEAF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13,811</w:t>
            </w:r>
          </w:p>
        </w:tc>
      </w:tr>
      <w:tr w:rsidR="00267663" w:rsidRPr="003D2556" w14:paraId="746F2A09" w14:textId="77777777" w:rsidTr="008469E3">
        <w:tc>
          <w:tcPr>
            <w:tcW w:w="1441" w:type="dxa"/>
            <w:vMerge/>
          </w:tcPr>
          <w:p w14:paraId="3401C6D5" w14:textId="77777777" w:rsidR="00267663" w:rsidRPr="00B92CA6" w:rsidRDefault="00267663" w:rsidP="005F3C17">
            <w:pPr>
              <w:keepNext/>
              <w:spacing w:line="300" w:lineRule="auto"/>
              <w:rPr>
                <w:rFonts w:ascii="Arial" w:hAnsi="Arial" w:cs="Arial"/>
                <w:sz w:val="20"/>
                <w:szCs w:val="20"/>
              </w:rPr>
            </w:pPr>
          </w:p>
        </w:tc>
        <w:tc>
          <w:tcPr>
            <w:tcW w:w="540" w:type="dxa"/>
          </w:tcPr>
          <w:p w14:paraId="43359C71"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7ABF6454"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41.9%</w:t>
            </w:r>
          </w:p>
        </w:tc>
        <w:tc>
          <w:tcPr>
            <w:tcW w:w="1532" w:type="dxa"/>
            <w:vAlign w:val="bottom"/>
          </w:tcPr>
          <w:p w14:paraId="1B78DD15"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21.8%</w:t>
            </w:r>
          </w:p>
        </w:tc>
        <w:tc>
          <w:tcPr>
            <w:tcW w:w="1531" w:type="dxa"/>
            <w:vAlign w:val="bottom"/>
          </w:tcPr>
          <w:p w14:paraId="06C63E22"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7.6%</w:t>
            </w:r>
          </w:p>
        </w:tc>
        <w:tc>
          <w:tcPr>
            <w:tcW w:w="1532" w:type="dxa"/>
            <w:vAlign w:val="bottom"/>
          </w:tcPr>
          <w:p w14:paraId="7E4A471C"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28.6%</w:t>
            </w:r>
          </w:p>
        </w:tc>
        <w:tc>
          <w:tcPr>
            <w:tcW w:w="1532" w:type="dxa"/>
            <w:vAlign w:val="bottom"/>
          </w:tcPr>
          <w:p w14:paraId="0296F62F"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100.0%</w:t>
            </w:r>
          </w:p>
        </w:tc>
      </w:tr>
      <w:tr w:rsidR="00267663" w:rsidRPr="003D2556" w14:paraId="1E507449" w14:textId="77777777" w:rsidTr="008469E3">
        <w:tc>
          <w:tcPr>
            <w:tcW w:w="1441" w:type="dxa"/>
            <w:vMerge w:val="restart"/>
          </w:tcPr>
          <w:p w14:paraId="67AC879E" w14:textId="77777777" w:rsidR="00267663" w:rsidRPr="00B92CA6" w:rsidRDefault="00267663" w:rsidP="005F3C17">
            <w:pPr>
              <w:keepNext/>
              <w:spacing w:line="300" w:lineRule="auto"/>
              <w:rPr>
                <w:rFonts w:ascii="Arial" w:hAnsi="Arial" w:cs="Arial"/>
                <w:sz w:val="20"/>
                <w:szCs w:val="20"/>
              </w:rPr>
            </w:pPr>
            <w:r w:rsidRPr="00B92CA6">
              <w:rPr>
                <w:rFonts w:ascii="Arial" w:hAnsi="Arial" w:cs="Arial"/>
                <w:sz w:val="20"/>
                <w:szCs w:val="20"/>
              </w:rPr>
              <w:t>Lytham</w:t>
            </w:r>
          </w:p>
        </w:tc>
        <w:tc>
          <w:tcPr>
            <w:tcW w:w="540" w:type="dxa"/>
          </w:tcPr>
          <w:p w14:paraId="60DB9BFA"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63FBAF05"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4,342</w:t>
            </w:r>
          </w:p>
        </w:tc>
        <w:tc>
          <w:tcPr>
            <w:tcW w:w="1532" w:type="dxa"/>
            <w:vAlign w:val="bottom"/>
          </w:tcPr>
          <w:p w14:paraId="49762D8E"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1,834</w:t>
            </w:r>
          </w:p>
        </w:tc>
        <w:tc>
          <w:tcPr>
            <w:tcW w:w="1531" w:type="dxa"/>
            <w:vAlign w:val="bottom"/>
          </w:tcPr>
          <w:p w14:paraId="55BE7926"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619</w:t>
            </w:r>
          </w:p>
        </w:tc>
        <w:tc>
          <w:tcPr>
            <w:tcW w:w="1532" w:type="dxa"/>
            <w:vAlign w:val="bottom"/>
          </w:tcPr>
          <w:p w14:paraId="073A9B79"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1,703</w:t>
            </w:r>
          </w:p>
        </w:tc>
        <w:tc>
          <w:tcPr>
            <w:tcW w:w="1532" w:type="dxa"/>
            <w:vAlign w:val="bottom"/>
          </w:tcPr>
          <w:p w14:paraId="6E6B1D50"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8,498</w:t>
            </w:r>
          </w:p>
        </w:tc>
      </w:tr>
      <w:tr w:rsidR="00267663" w:rsidRPr="003D2556" w14:paraId="4D94D2A2" w14:textId="77777777" w:rsidTr="008469E3">
        <w:tc>
          <w:tcPr>
            <w:tcW w:w="1441" w:type="dxa"/>
            <w:vMerge/>
          </w:tcPr>
          <w:p w14:paraId="0F89CF7E" w14:textId="77777777" w:rsidR="00267663" w:rsidRPr="00B92CA6" w:rsidRDefault="00267663" w:rsidP="005F3C17">
            <w:pPr>
              <w:keepNext/>
              <w:spacing w:line="300" w:lineRule="auto"/>
              <w:rPr>
                <w:rFonts w:ascii="Arial" w:hAnsi="Arial" w:cs="Arial"/>
                <w:sz w:val="20"/>
                <w:szCs w:val="20"/>
              </w:rPr>
            </w:pPr>
          </w:p>
        </w:tc>
        <w:tc>
          <w:tcPr>
            <w:tcW w:w="540" w:type="dxa"/>
          </w:tcPr>
          <w:p w14:paraId="34E9C661"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076C3429"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51.1%</w:t>
            </w:r>
          </w:p>
        </w:tc>
        <w:tc>
          <w:tcPr>
            <w:tcW w:w="1532" w:type="dxa"/>
            <w:vAlign w:val="bottom"/>
          </w:tcPr>
          <w:p w14:paraId="5D19AFD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21.6%</w:t>
            </w:r>
          </w:p>
        </w:tc>
        <w:tc>
          <w:tcPr>
            <w:tcW w:w="1531" w:type="dxa"/>
            <w:vAlign w:val="bottom"/>
          </w:tcPr>
          <w:p w14:paraId="3D7C4FC8"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7.3%</w:t>
            </w:r>
          </w:p>
        </w:tc>
        <w:tc>
          <w:tcPr>
            <w:tcW w:w="1532" w:type="dxa"/>
            <w:vAlign w:val="bottom"/>
          </w:tcPr>
          <w:p w14:paraId="650D82B9"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20.0%</w:t>
            </w:r>
          </w:p>
        </w:tc>
        <w:tc>
          <w:tcPr>
            <w:tcW w:w="1532" w:type="dxa"/>
            <w:vAlign w:val="bottom"/>
          </w:tcPr>
          <w:p w14:paraId="525CCF98"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100.0%</w:t>
            </w:r>
          </w:p>
        </w:tc>
      </w:tr>
      <w:tr w:rsidR="00267663" w:rsidRPr="003D2556" w14:paraId="0D839312" w14:textId="77777777" w:rsidTr="008469E3">
        <w:tc>
          <w:tcPr>
            <w:tcW w:w="1441" w:type="dxa"/>
            <w:vMerge w:val="restart"/>
          </w:tcPr>
          <w:p w14:paraId="61617794" w14:textId="77777777" w:rsidR="00267663" w:rsidRPr="00B92CA6" w:rsidRDefault="00267663" w:rsidP="005F3C17">
            <w:pPr>
              <w:keepNext/>
              <w:spacing w:line="300" w:lineRule="auto"/>
              <w:rPr>
                <w:rFonts w:ascii="Arial" w:hAnsi="Arial" w:cs="Arial"/>
                <w:color w:val="000000"/>
                <w:sz w:val="20"/>
                <w:szCs w:val="20"/>
              </w:rPr>
            </w:pPr>
            <w:r w:rsidRPr="00B92CA6">
              <w:rPr>
                <w:rFonts w:ascii="Arial" w:hAnsi="Arial" w:cs="Arial"/>
                <w:color w:val="000000"/>
                <w:sz w:val="20"/>
                <w:szCs w:val="20"/>
              </w:rPr>
              <w:t>Warton</w:t>
            </w:r>
          </w:p>
        </w:tc>
        <w:tc>
          <w:tcPr>
            <w:tcW w:w="540" w:type="dxa"/>
          </w:tcPr>
          <w:p w14:paraId="733543BA"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5D74240A"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943</w:t>
            </w:r>
          </w:p>
        </w:tc>
        <w:tc>
          <w:tcPr>
            <w:tcW w:w="1532" w:type="dxa"/>
            <w:vAlign w:val="bottom"/>
          </w:tcPr>
          <w:p w14:paraId="4B977C02"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623</w:t>
            </w:r>
          </w:p>
        </w:tc>
        <w:tc>
          <w:tcPr>
            <w:tcW w:w="1531" w:type="dxa"/>
            <w:vAlign w:val="bottom"/>
          </w:tcPr>
          <w:p w14:paraId="0D7D338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306</w:t>
            </w:r>
          </w:p>
        </w:tc>
        <w:tc>
          <w:tcPr>
            <w:tcW w:w="1532" w:type="dxa"/>
            <w:vAlign w:val="bottom"/>
          </w:tcPr>
          <w:p w14:paraId="172F14A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272</w:t>
            </w:r>
          </w:p>
        </w:tc>
        <w:tc>
          <w:tcPr>
            <w:tcW w:w="1532" w:type="dxa"/>
            <w:vAlign w:val="bottom"/>
          </w:tcPr>
          <w:p w14:paraId="0438AE4E"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2,144</w:t>
            </w:r>
          </w:p>
        </w:tc>
      </w:tr>
      <w:tr w:rsidR="00267663" w:rsidRPr="003D2556" w14:paraId="1040164E" w14:textId="77777777" w:rsidTr="008469E3">
        <w:tc>
          <w:tcPr>
            <w:tcW w:w="1441" w:type="dxa"/>
            <w:vMerge/>
          </w:tcPr>
          <w:p w14:paraId="0BADDDE1" w14:textId="77777777" w:rsidR="00267663" w:rsidRPr="00B92CA6" w:rsidRDefault="00267663" w:rsidP="005F3C17">
            <w:pPr>
              <w:keepNext/>
              <w:spacing w:line="300" w:lineRule="auto"/>
              <w:rPr>
                <w:rFonts w:ascii="Arial" w:hAnsi="Arial" w:cs="Arial"/>
                <w:color w:val="000000"/>
                <w:sz w:val="20"/>
                <w:szCs w:val="20"/>
              </w:rPr>
            </w:pPr>
          </w:p>
        </w:tc>
        <w:tc>
          <w:tcPr>
            <w:tcW w:w="540" w:type="dxa"/>
          </w:tcPr>
          <w:p w14:paraId="2825A707"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47858A6A"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44.0%</w:t>
            </w:r>
          </w:p>
        </w:tc>
        <w:tc>
          <w:tcPr>
            <w:tcW w:w="1532" w:type="dxa"/>
            <w:vAlign w:val="bottom"/>
          </w:tcPr>
          <w:p w14:paraId="691BDA4C"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29.1%</w:t>
            </w:r>
          </w:p>
        </w:tc>
        <w:tc>
          <w:tcPr>
            <w:tcW w:w="1531" w:type="dxa"/>
            <w:vAlign w:val="bottom"/>
          </w:tcPr>
          <w:p w14:paraId="6C9294FC"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14.3%</w:t>
            </w:r>
          </w:p>
        </w:tc>
        <w:tc>
          <w:tcPr>
            <w:tcW w:w="1532" w:type="dxa"/>
            <w:vAlign w:val="bottom"/>
          </w:tcPr>
          <w:p w14:paraId="4E6A7FA8"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12.7%</w:t>
            </w:r>
          </w:p>
        </w:tc>
        <w:tc>
          <w:tcPr>
            <w:tcW w:w="1532" w:type="dxa"/>
            <w:vAlign w:val="bottom"/>
          </w:tcPr>
          <w:p w14:paraId="66B03076"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100.0%</w:t>
            </w:r>
          </w:p>
        </w:tc>
      </w:tr>
      <w:tr w:rsidR="00267663" w:rsidRPr="003D2556" w14:paraId="19627867" w14:textId="77777777" w:rsidTr="008469E3">
        <w:tc>
          <w:tcPr>
            <w:tcW w:w="1441" w:type="dxa"/>
            <w:vMerge w:val="restart"/>
          </w:tcPr>
          <w:p w14:paraId="05A47659" w14:textId="77777777" w:rsidR="00267663" w:rsidRPr="00B92CA6" w:rsidRDefault="00267663" w:rsidP="005F3C17">
            <w:pPr>
              <w:keepNext/>
              <w:spacing w:line="300" w:lineRule="auto"/>
              <w:rPr>
                <w:rFonts w:ascii="Arial" w:hAnsi="Arial" w:cs="Arial"/>
                <w:color w:val="000000"/>
                <w:sz w:val="20"/>
                <w:szCs w:val="20"/>
              </w:rPr>
            </w:pPr>
            <w:r w:rsidRPr="00B92CA6">
              <w:rPr>
                <w:rFonts w:ascii="Arial" w:hAnsi="Arial" w:cs="Arial"/>
                <w:color w:val="000000"/>
                <w:sz w:val="20"/>
                <w:szCs w:val="20"/>
              </w:rPr>
              <w:t>Fylde/BP Periphery</w:t>
            </w:r>
          </w:p>
        </w:tc>
        <w:tc>
          <w:tcPr>
            <w:tcW w:w="540" w:type="dxa"/>
          </w:tcPr>
          <w:p w14:paraId="115CD6CD"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31A93F3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324</w:t>
            </w:r>
          </w:p>
        </w:tc>
        <w:tc>
          <w:tcPr>
            <w:tcW w:w="1532" w:type="dxa"/>
            <w:vAlign w:val="bottom"/>
          </w:tcPr>
          <w:p w14:paraId="44EB7C38"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404</w:t>
            </w:r>
          </w:p>
        </w:tc>
        <w:tc>
          <w:tcPr>
            <w:tcW w:w="1531" w:type="dxa"/>
            <w:vAlign w:val="bottom"/>
          </w:tcPr>
          <w:p w14:paraId="19095C9E"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233</w:t>
            </w:r>
          </w:p>
        </w:tc>
        <w:tc>
          <w:tcPr>
            <w:tcW w:w="1532" w:type="dxa"/>
            <w:vAlign w:val="bottom"/>
          </w:tcPr>
          <w:p w14:paraId="1732DEEF"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167</w:t>
            </w:r>
          </w:p>
        </w:tc>
        <w:tc>
          <w:tcPr>
            <w:tcW w:w="1532" w:type="dxa"/>
            <w:vAlign w:val="bottom"/>
          </w:tcPr>
          <w:p w14:paraId="159F3FE2"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1,129</w:t>
            </w:r>
          </w:p>
        </w:tc>
      </w:tr>
      <w:tr w:rsidR="00267663" w:rsidRPr="003D2556" w14:paraId="4BE15D99" w14:textId="77777777" w:rsidTr="008469E3">
        <w:tc>
          <w:tcPr>
            <w:tcW w:w="1441" w:type="dxa"/>
            <w:vMerge/>
          </w:tcPr>
          <w:p w14:paraId="71B1BCD7" w14:textId="77777777" w:rsidR="00267663" w:rsidRPr="00B92CA6" w:rsidRDefault="00267663" w:rsidP="005F3C17">
            <w:pPr>
              <w:keepNext/>
              <w:spacing w:line="300" w:lineRule="auto"/>
              <w:rPr>
                <w:rFonts w:ascii="Arial" w:hAnsi="Arial" w:cs="Arial"/>
                <w:color w:val="000000"/>
                <w:sz w:val="20"/>
                <w:szCs w:val="20"/>
              </w:rPr>
            </w:pPr>
          </w:p>
        </w:tc>
        <w:tc>
          <w:tcPr>
            <w:tcW w:w="540" w:type="dxa"/>
          </w:tcPr>
          <w:p w14:paraId="4AA67180"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6E5D1CD4"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28.7%</w:t>
            </w:r>
          </w:p>
        </w:tc>
        <w:tc>
          <w:tcPr>
            <w:tcW w:w="1532" w:type="dxa"/>
            <w:vAlign w:val="bottom"/>
          </w:tcPr>
          <w:p w14:paraId="0527EF59"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35.8%</w:t>
            </w:r>
          </w:p>
        </w:tc>
        <w:tc>
          <w:tcPr>
            <w:tcW w:w="1531" w:type="dxa"/>
            <w:vAlign w:val="bottom"/>
          </w:tcPr>
          <w:p w14:paraId="6815E665"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20.6%</w:t>
            </w:r>
          </w:p>
        </w:tc>
        <w:tc>
          <w:tcPr>
            <w:tcW w:w="1532" w:type="dxa"/>
            <w:vAlign w:val="bottom"/>
          </w:tcPr>
          <w:p w14:paraId="2B34B252"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14.8%</w:t>
            </w:r>
          </w:p>
        </w:tc>
        <w:tc>
          <w:tcPr>
            <w:tcW w:w="1532" w:type="dxa"/>
            <w:vAlign w:val="bottom"/>
          </w:tcPr>
          <w:p w14:paraId="1FA9B069"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100.0%</w:t>
            </w:r>
          </w:p>
        </w:tc>
      </w:tr>
      <w:tr w:rsidR="00267663" w:rsidRPr="003D2556" w14:paraId="3CF0D2E1" w14:textId="77777777" w:rsidTr="008469E3">
        <w:tc>
          <w:tcPr>
            <w:tcW w:w="1441" w:type="dxa"/>
            <w:vMerge w:val="restart"/>
          </w:tcPr>
          <w:p w14:paraId="1FD08BED" w14:textId="77777777" w:rsidR="00267663" w:rsidRPr="00B92CA6" w:rsidRDefault="00267663" w:rsidP="005F3C17">
            <w:pPr>
              <w:keepNext/>
              <w:spacing w:line="300" w:lineRule="auto"/>
              <w:rPr>
                <w:rFonts w:ascii="Arial" w:hAnsi="Arial" w:cs="Arial"/>
                <w:color w:val="000000"/>
                <w:sz w:val="20"/>
                <w:szCs w:val="20"/>
              </w:rPr>
            </w:pPr>
            <w:r w:rsidRPr="00B92CA6">
              <w:rPr>
                <w:rFonts w:ascii="Arial" w:hAnsi="Arial" w:cs="Arial"/>
                <w:color w:val="000000"/>
                <w:sz w:val="20"/>
                <w:szCs w:val="20"/>
              </w:rPr>
              <w:t>Kirkham</w:t>
            </w:r>
          </w:p>
        </w:tc>
        <w:tc>
          <w:tcPr>
            <w:tcW w:w="540" w:type="dxa"/>
          </w:tcPr>
          <w:p w14:paraId="1E94D8AB"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4F48DC3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1,358</w:t>
            </w:r>
          </w:p>
        </w:tc>
        <w:tc>
          <w:tcPr>
            <w:tcW w:w="1532" w:type="dxa"/>
            <w:vAlign w:val="bottom"/>
          </w:tcPr>
          <w:p w14:paraId="3935A18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1,076</w:t>
            </w:r>
          </w:p>
        </w:tc>
        <w:tc>
          <w:tcPr>
            <w:tcW w:w="1531" w:type="dxa"/>
            <w:vAlign w:val="bottom"/>
          </w:tcPr>
          <w:p w14:paraId="598330B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297</w:t>
            </w:r>
          </w:p>
        </w:tc>
        <w:tc>
          <w:tcPr>
            <w:tcW w:w="1532" w:type="dxa"/>
            <w:vAlign w:val="bottom"/>
          </w:tcPr>
          <w:p w14:paraId="18F14A9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554</w:t>
            </w:r>
          </w:p>
        </w:tc>
        <w:tc>
          <w:tcPr>
            <w:tcW w:w="1532" w:type="dxa"/>
            <w:vAlign w:val="bottom"/>
          </w:tcPr>
          <w:p w14:paraId="7BC7D986"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3,285</w:t>
            </w:r>
          </w:p>
        </w:tc>
      </w:tr>
      <w:tr w:rsidR="00267663" w:rsidRPr="003D2556" w14:paraId="0DDB7D71" w14:textId="77777777" w:rsidTr="008469E3">
        <w:tc>
          <w:tcPr>
            <w:tcW w:w="1441" w:type="dxa"/>
            <w:vMerge/>
          </w:tcPr>
          <w:p w14:paraId="7DD6DC79" w14:textId="77777777" w:rsidR="00267663" w:rsidRPr="00B92CA6" w:rsidRDefault="00267663" w:rsidP="005F3C17">
            <w:pPr>
              <w:keepNext/>
              <w:spacing w:line="300" w:lineRule="auto"/>
              <w:rPr>
                <w:rFonts w:ascii="Arial" w:hAnsi="Arial" w:cs="Arial"/>
                <w:color w:val="000000"/>
                <w:sz w:val="20"/>
                <w:szCs w:val="20"/>
              </w:rPr>
            </w:pPr>
          </w:p>
        </w:tc>
        <w:tc>
          <w:tcPr>
            <w:tcW w:w="540" w:type="dxa"/>
          </w:tcPr>
          <w:p w14:paraId="36D50CE3"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265C2EE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41.3%</w:t>
            </w:r>
          </w:p>
        </w:tc>
        <w:tc>
          <w:tcPr>
            <w:tcW w:w="1532" w:type="dxa"/>
            <w:vAlign w:val="bottom"/>
          </w:tcPr>
          <w:p w14:paraId="3980A7A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32.8%</w:t>
            </w:r>
          </w:p>
        </w:tc>
        <w:tc>
          <w:tcPr>
            <w:tcW w:w="1531" w:type="dxa"/>
            <w:vAlign w:val="bottom"/>
          </w:tcPr>
          <w:p w14:paraId="17AD0ABD"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9.0%</w:t>
            </w:r>
          </w:p>
        </w:tc>
        <w:tc>
          <w:tcPr>
            <w:tcW w:w="1532" w:type="dxa"/>
            <w:vAlign w:val="bottom"/>
          </w:tcPr>
          <w:p w14:paraId="6481B04D"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16.9%</w:t>
            </w:r>
          </w:p>
        </w:tc>
        <w:tc>
          <w:tcPr>
            <w:tcW w:w="1532" w:type="dxa"/>
            <w:vAlign w:val="bottom"/>
          </w:tcPr>
          <w:p w14:paraId="5E556A4A"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100.0%</w:t>
            </w:r>
          </w:p>
        </w:tc>
      </w:tr>
      <w:tr w:rsidR="00267663" w:rsidRPr="003D2556" w14:paraId="2155C9C1" w14:textId="77777777" w:rsidTr="008469E3">
        <w:tc>
          <w:tcPr>
            <w:tcW w:w="1441" w:type="dxa"/>
            <w:vMerge w:val="restart"/>
          </w:tcPr>
          <w:p w14:paraId="38680263" w14:textId="77777777" w:rsidR="00267663" w:rsidRPr="00B92CA6" w:rsidRDefault="00267663" w:rsidP="005F3C17">
            <w:pPr>
              <w:keepNext/>
              <w:spacing w:line="300" w:lineRule="auto"/>
              <w:rPr>
                <w:rFonts w:ascii="Arial" w:hAnsi="Arial" w:cs="Arial"/>
                <w:sz w:val="20"/>
                <w:szCs w:val="20"/>
              </w:rPr>
            </w:pPr>
            <w:r w:rsidRPr="00B92CA6">
              <w:rPr>
                <w:rFonts w:ascii="Arial" w:hAnsi="Arial" w:cs="Arial"/>
                <w:sz w:val="20"/>
                <w:szCs w:val="20"/>
              </w:rPr>
              <w:t>Wesham</w:t>
            </w:r>
          </w:p>
        </w:tc>
        <w:tc>
          <w:tcPr>
            <w:tcW w:w="540" w:type="dxa"/>
          </w:tcPr>
          <w:p w14:paraId="09305B7F"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1F32CE36"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502</w:t>
            </w:r>
          </w:p>
        </w:tc>
        <w:tc>
          <w:tcPr>
            <w:tcW w:w="1532" w:type="dxa"/>
            <w:vAlign w:val="bottom"/>
          </w:tcPr>
          <w:p w14:paraId="7B1DB47F"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753</w:t>
            </w:r>
          </w:p>
        </w:tc>
        <w:tc>
          <w:tcPr>
            <w:tcW w:w="1531" w:type="dxa"/>
            <w:vAlign w:val="bottom"/>
          </w:tcPr>
          <w:p w14:paraId="3DA265E5"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363</w:t>
            </w:r>
          </w:p>
        </w:tc>
        <w:tc>
          <w:tcPr>
            <w:tcW w:w="1532" w:type="dxa"/>
            <w:vAlign w:val="bottom"/>
          </w:tcPr>
          <w:p w14:paraId="1A2BE27A"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323</w:t>
            </w:r>
          </w:p>
        </w:tc>
        <w:tc>
          <w:tcPr>
            <w:tcW w:w="1532" w:type="dxa"/>
            <w:vAlign w:val="bottom"/>
          </w:tcPr>
          <w:p w14:paraId="209C2575"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1,942</w:t>
            </w:r>
          </w:p>
        </w:tc>
      </w:tr>
      <w:tr w:rsidR="00267663" w:rsidRPr="003D2556" w14:paraId="0AE80B4C" w14:textId="77777777" w:rsidTr="008469E3">
        <w:tc>
          <w:tcPr>
            <w:tcW w:w="1441" w:type="dxa"/>
            <w:vMerge/>
          </w:tcPr>
          <w:p w14:paraId="7329B931" w14:textId="77777777" w:rsidR="00267663" w:rsidRPr="00B92CA6" w:rsidRDefault="00267663" w:rsidP="005F3C17">
            <w:pPr>
              <w:keepNext/>
              <w:spacing w:line="300" w:lineRule="auto"/>
              <w:rPr>
                <w:rFonts w:ascii="Arial" w:hAnsi="Arial" w:cs="Arial"/>
                <w:sz w:val="20"/>
                <w:szCs w:val="20"/>
              </w:rPr>
            </w:pPr>
          </w:p>
        </w:tc>
        <w:tc>
          <w:tcPr>
            <w:tcW w:w="540" w:type="dxa"/>
          </w:tcPr>
          <w:p w14:paraId="22B282F7"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35570271"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25.8%</w:t>
            </w:r>
          </w:p>
        </w:tc>
        <w:tc>
          <w:tcPr>
            <w:tcW w:w="1532" w:type="dxa"/>
            <w:vAlign w:val="bottom"/>
          </w:tcPr>
          <w:p w14:paraId="6605722E"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38.8%</w:t>
            </w:r>
          </w:p>
        </w:tc>
        <w:tc>
          <w:tcPr>
            <w:tcW w:w="1531" w:type="dxa"/>
            <w:vAlign w:val="bottom"/>
          </w:tcPr>
          <w:p w14:paraId="79FA3356"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18.7%</w:t>
            </w:r>
          </w:p>
        </w:tc>
        <w:tc>
          <w:tcPr>
            <w:tcW w:w="1532" w:type="dxa"/>
            <w:vAlign w:val="bottom"/>
          </w:tcPr>
          <w:p w14:paraId="0E906846"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16.7%</w:t>
            </w:r>
          </w:p>
        </w:tc>
        <w:tc>
          <w:tcPr>
            <w:tcW w:w="1532" w:type="dxa"/>
            <w:vAlign w:val="bottom"/>
          </w:tcPr>
          <w:p w14:paraId="54FD0CFC"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100.0%</w:t>
            </w:r>
          </w:p>
        </w:tc>
      </w:tr>
      <w:tr w:rsidR="00267663" w:rsidRPr="003D2556" w14:paraId="6661F3A6" w14:textId="77777777" w:rsidTr="008469E3">
        <w:tc>
          <w:tcPr>
            <w:tcW w:w="1441" w:type="dxa"/>
            <w:vMerge w:val="restart"/>
          </w:tcPr>
          <w:p w14:paraId="03061DBB" w14:textId="77777777" w:rsidR="00267663" w:rsidRPr="00B92CA6" w:rsidRDefault="00267663" w:rsidP="005F3C17">
            <w:pPr>
              <w:keepNext/>
              <w:spacing w:line="300" w:lineRule="auto"/>
              <w:rPr>
                <w:rFonts w:ascii="Arial" w:hAnsi="Arial" w:cs="Arial"/>
                <w:sz w:val="20"/>
                <w:szCs w:val="20"/>
              </w:rPr>
            </w:pPr>
            <w:r w:rsidRPr="00B92CA6">
              <w:rPr>
                <w:rFonts w:ascii="Arial" w:hAnsi="Arial" w:cs="Arial"/>
                <w:sz w:val="20"/>
                <w:szCs w:val="20"/>
              </w:rPr>
              <w:t>Freckleton</w:t>
            </w:r>
          </w:p>
        </w:tc>
        <w:tc>
          <w:tcPr>
            <w:tcW w:w="540" w:type="dxa"/>
          </w:tcPr>
          <w:p w14:paraId="1CAF4E7A"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0C625300"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1,334</w:t>
            </w:r>
          </w:p>
        </w:tc>
        <w:tc>
          <w:tcPr>
            <w:tcW w:w="1532" w:type="dxa"/>
            <w:vAlign w:val="bottom"/>
          </w:tcPr>
          <w:p w14:paraId="3316E5B7"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825</w:t>
            </w:r>
          </w:p>
        </w:tc>
        <w:tc>
          <w:tcPr>
            <w:tcW w:w="1531" w:type="dxa"/>
            <w:vAlign w:val="bottom"/>
          </w:tcPr>
          <w:p w14:paraId="10777899"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243</w:t>
            </w:r>
          </w:p>
        </w:tc>
        <w:tc>
          <w:tcPr>
            <w:tcW w:w="1532" w:type="dxa"/>
            <w:vAlign w:val="bottom"/>
          </w:tcPr>
          <w:p w14:paraId="525A3443"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276</w:t>
            </w:r>
          </w:p>
        </w:tc>
        <w:tc>
          <w:tcPr>
            <w:tcW w:w="1532" w:type="dxa"/>
            <w:vAlign w:val="bottom"/>
          </w:tcPr>
          <w:p w14:paraId="6993CE65"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2,678</w:t>
            </w:r>
          </w:p>
        </w:tc>
      </w:tr>
      <w:tr w:rsidR="00267663" w:rsidRPr="003D2556" w14:paraId="14DFAE99" w14:textId="77777777" w:rsidTr="008469E3">
        <w:tc>
          <w:tcPr>
            <w:tcW w:w="1441" w:type="dxa"/>
            <w:vMerge/>
          </w:tcPr>
          <w:p w14:paraId="56CD03EA" w14:textId="77777777" w:rsidR="00267663" w:rsidRPr="00B92CA6" w:rsidRDefault="00267663" w:rsidP="005F3C17">
            <w:pPr>
              <w:keepNext/>
              <w:spacing w:line="300" w:lineRule="auto"/>
              <w:rPr>
                <w:rFonts w:ascii="Arial" w:hAnsi="Arial" w:cs="Arial"/>
                <w:sz w:val="20"/>
                <w:szCs w:val="20"/>
              </w:rPr>
            </w:pPr>
          </w:p>
        </w:tc>
        <w:tc>
          <w:tcPr>
            <w:tcW w:w="540" w:type="dxa"/>
          </w:tcPr>
          <w:p w14:paraId="121C1555"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5A6B11E1"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49.8%</w:t>
            </w:r>
          </w:p>
        </w:tc>
        <w:tc>
          <w:tcPr>
            <w:tcW w:w="1532" w:type="dxa"/>
            <w:vAlign w:val="bottom"/>
          </w:tcPr>
          <w:p w14:paraId="5899C0D3"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30.8%</w:t>
            </w:r>
          </w:p>
        </w:tc>
        <w:tc>
          <w:tcPr>
            <w:tcW w:w="1531" w:type="dxa"/>
            <w:vAlign w:val="bottom"/>
          </w:tcPr>
          <w:p w14:paraId="1D87418F"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9.1%</w:t>
            </w:r>
          </w:p>
        </w:tc>
        <w:tc>
          <w:tcPr>
            <w:tcW w:w="1532" w:type="dxa"/>
            <w:vAlign w:val="bottom"/>
          </w:tcPr>
          <w:p w14:paraId="68EADBC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10.3%</w:t>
            </w:r>
          </w:p>
        </w:tc>
        <w:tc>
          <w:tcPr>
            <w:tcW w:w="1532" w:type="dxa"/>
            <w:vAlign w:val="bottom"/>
          </w:tcPr>
          <w:p w14:paraId="14FEFA94"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100.0%</w:t>
            </w:r>
          </w:p>
        </w:tc>
      </w:tr>
      <w:tr w:rsidR="00267663" w:rsidRPr="003D2556" w14:paraId="3A053274" w14:textId="77777777" w:rsidTr="008469E3">
        <w:tc>
          <w:tcPr>
            <w:tcW w:w="1441" w:type="dxa"/>
            <w:vMerge w:val="restart"/>
          </w:tcPr>
          <w:p w14:paraId="6439EB36" w14:textId="77777777" w:rsidR="00267663" w:rsidRPr="00B92CA6" w:rsidRDefault="00267663" w:rsidP="005F3C17">
            <w:pPr>
              <w:keepNext/>
              <w:spacing w:line="300" w:lineRule="auto"/>
              <w:rPr>
                <w:rFonts w:ascii="Arial" w:hAnsi="Arial" w:cs="Arial"/>
                <w:sz w:val="20"/>
                <w:szCs w:val="20"/>
              </w:rPr>
            </w:pPr>
            <w:r w:rsidRPr="00B92CA6">
              <w:rPr>
                <w:rFonts w:ascii="Arial" w:hAnsi="Arial" w:cs="Arial"/>
                <w:sz w:val="20"/>
                <w:szCs w:val="20"/>
              </w:rPr>
              <w:t>Rural North</w:t>
            </w:r>
          </w:p>
        </w:tc>
        <w:tc>
          <w:tcPr>
            <w:tcW w:w="540" w:type="dxa"/>
          </w:tcPr>
          <w:p w14:paraId="1D016956"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5A32BF3D"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1,527</w:t>
            </w:r>
          </w:p>
        </w:tc>
        <w:tc>
          <w:tcPr>
            <w:tcW w:w="1532" w:type="dxa"/>
            <w:vAlign w:val="bottom"/>
          </w:tcPr>
          <w:p w14:paraId="67DF6D6F"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938</w:t>
            </w:r>
          </w:p>
        </w:tc>
        <w:tc>
          <w:tcPr>
            <w:tcW w:w="1531" w:type="dxa"/>
            <w:vAlign w:val="bottom"/>
          </w:tcPr>
          <w:p w14:paraId="01763935"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94</w:t>
            </w:r>
          </w:p>
        </w:tc>
        <w:tc>
          <w:tcPr>
            <w:tcW w:w="1532" w:type="dxa"/>
            <w:vAlign w:val="bottom"/>
          </w:tcPr>
          <w:p w14:paraId="2F7D5FBA"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282</w:t>
            </w:r>
          </w:p>
        </w:tc>
        <w:tc>
          <w:tcPr>
            <w:tcW w:w="1532" w:type="dxa"/>
            <w:vAlign w:val="bottom"/>
          </w:tcPr>
          <w:p w14:paraId="77CE2242"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2,840</w:t>
            </w:r>
          </w:p>
        </w:tc>
      </w:tr>
      <w:tr w:rsidR="00267663" w:rsidRPr="003D2556" w14:paraId="41DF2145" w14:textId="77777777" w:rsidTr="008469E3">
        <w:tc>
          <w:tcPr>
            <w:tcW w:w="1441" w:type="dxa"/>
            <w:vMerge/>
          </w:tcPr>
          <w:p w14:paraId="746D60BB" w14:textId="77777777" w:rsidR="00267663" w:rsidRPr="00B92CA6" w:rsidRDefault="00267663" w:rsidP="005F3C17">
            <w:pPr>
              <w:keepNext/>
              <w:spacing w:line="300" w:lineRule="auto"/>
              <w:rPr>
                <w:rFonts w:ascii="Arial" w:hAnsi="Arial" w:cs="Arial"/>
                <w:sz w:val="20"/>
                <w:szCs w:val="20"/>
              </w:rPr>
            </w:pPr>
          </w:p>
        </w:tc>
        <w:tc>
          <w:tcPr>
            <w:tcW w:w="540" w:type="dxa"/>
          </w:tcPr>
          <w:p w14:paraId="2324E8E9"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5A07F99A"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53.8%</w:t>
            </w:r>
          </w:p>
        </w:tc>
        <w:tc>
          <w:tcPr>
            <w:tcW w:w="1532" w:type="dxa"/>
            <w:vAlign w:val="bottom"/>
          </w:tcPr>
          <w:p w14:paraId="7EFF634E"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33.0%</w:t>
            </w:r>
          </w:p>
        </w:tc>
        <w:tc>
          <w:tcPr>
            <w:tcW w:w="1531" w:type="dxa"/>
            <w:vAlign w:val="bottom"/>
          </w:tcPr>
          <w:p w14:paraId="2691A9CA"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3.3%</w:t>
            </w:r>
          </w:p>
        </w:tc>
        <w:tc>
          <w:tcPr>
            <w:tcW w:w="1532" w:type="dxa"/>
            <w:vAlign w:val="bottom"/>
          </w:tcPr>
          <w:p w14:paraId="3D2B6700"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9.9%</w:t>
            </w:r>
          </w:p>
        </w:tc>
        <w:tc>
          <w:tcPr>
            <w:tcW w:w="1532" w:type="dxa"/>
            <w:vAlign w:val="bottom"/>
          </w:tcPr>
          <w:p w14:paraId="451B42D1"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100.0%</w:t>
            </w:r>
          </w:p>
        </w:tc>
      </w:tr>
      <w:tr w:rsidR="00267663" w:rsidRPr="003D2556" w14:paraId="4DE95906" w14:textId="77777777" w:rsidTr="008469E3">
        <w:tc>
          <w:tcPr>
            <w:tcW w:w="1441" w:type="dxa"/>
            <w:vMerge w:val="restart"/>
          </w:tcPr>
          <w:p w14:paraId="280C29A3" w14:textId="77777777" w:rsidR="00267663" w:rsidRPr="00B92CA6" w:rsidRDefault="00267663" w:rsidP="005F3C17">
            <w:pPr>
              <w:keepNext/>
              <w:spacing w:line="300" w:lineRule="auto"/>
              <w:rPr>
                <w:rFonts w:ascii="Arial" w:hAnsi="Arial" w:cs="Arial"/>
                <w:sz w:val="20"/>
                <w:szCs w:val="20"/>
              </w:rPr>
            </w:pPr>
            <w:r w:rsidRPr="00B92CA6">
              <w:rPr>
                <w:rFonts w:ascii="Arial" w:hAnsi="Arial" w:cs="Arial"/>
                <w:sz w:val="20"/>
                <w:szCs w:val="20"/>
              </w:rPr>
              <w:t>Rural West</w:t>
            </w:r>
          </w:p>
        </w:tc>
        <w:tc>
          <w:tcPr>
            <w:tcW w:w="540" w:type="dxa"/>
          </w:tcPr>
          <w:p w14:paraId="75A61652"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7FB34C42"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780</w:t>
            </w:r>
          </w:p>
        </w:tc>
        <w:tc>
          <w:tcPr>
            <w:tcW w:w="1532" w:type="dxa"/>
            <w:vAlign w:val="bottom"/>
          </w:tcPr>
          <w:p w14:paraId="1C818594"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416</w:t>
            </w:r>
          </w:p>
        </w:tc>
        <w:tc>
          <w:tcPr>
            <w:tcW w:w="1531" w:type="dxa"/>
            <w:vAlign w:val="bottom"/>
          </w:tcPr>
          <w:p w14:paraId="2FEE2D26"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21</w:t>
            </w:r>
          </w:p>
        </w:tc>
        <w:tc>
          <w:tcPr>
            <w:tcW w:w="1532" w:type="dxa"/>
            <w:vAlign w:val="bottom"/>
          </w:tcPr>
          <w:p w14:paraId="5F46CEFD"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109</w:t>
            </w:r>
          </w:p>
        </w:tc>
        <w:tc>
          <w:tcPr>
            <w:tcW w:w="1532" w:type="dxa"/>
            <w:vAlign w:val="bottom"/>
          </w:tcPr>
          <w:p w14:paraId="3A7FA4FD"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1,325</w:t>
            </w:r>
          </w:p>
        </w:tc>
      </w:tr>
      <w:tr w:rsidR="00267663" w:rsidRPr="003D2556" w14:paraId="2FC036BD" w14:textId="77777777" w:rsidTr="008469E3">
        <w:tc>
          <w:tcPr>
            <w:tcW w:w="1441" w:type="dxa"/>
            <w:vMerge/>
          </w:tcPr>
          <w:p w14:paraId="0C09103A" w14:textId="77777777" w:rsidR="00267663" w:rsidRPr="00B92CA6" w:rsidRDefault="00267663" w:rsidP="005F3C17">
            <w:pPr>
              <w:keepNext/>
              <w:spacing w:line="300" w:lineRule="auto"/>
              <w:rPr>
                <w:rFonts w:ascii="Arial" w:hAnsi="Arial" w:cs="Arial"/>
                <w:sz w:val="20"/>
                <w:szCs w:val="20"/>
              </w:rPr>
            </w:pPr>
          </w:p>
        </w:tc>
        <w:tc>
          <w:tcPr>
            <w:tcW w:w="540" w:type="dxa"/>
          </w:tcPr>
          <w:p w14:paraId="52C03AC4"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339B45CC"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58.8%</w:t>
            </w:r>
          </w:p>
        </w:tc>
        <w:tc>
          <w:tcPr>
            <w:tcW w:w="1532" w:type="dxa"/>
            <w:vAlign w:val="bottom"/>
          </w:tcPr>
          <w:p w14:paraId="66D17FB8"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31.4%</w:t>
            </w:r>
          </w:p>
        </w:tc>
        <w:tc>
          <w:tcPr>
            <w:tcW w:w="1531" w:type="dxa"/>
            <w:vAlign w:val="bottom"/>
          </w:tcPr>
          <w:p w14:paraId="0E1DA32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1.6%</w:t>
            </w:r>
          </w:p>
        </w:tc>
        <w:tc>
          <w:tcPr>
            <w:tcW w:w="1532" w:type="dxa"/>
            <w:vAlign w:val="bottom"/>
          </w:tcPr>
          <w:p w14:paraId="22095CA0"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8.2%</w:t>
            </w:r>
          </w:p>
        </w:tc>
        <w:tc>
          <w:tcPr>
            <w:tcW w:w="1532" w:type="dxa"/>
            <w:vAlign w:val="bottom"/>
          </w:tcPr>
          <w:p w14:paraId="5C331BD9"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100.0%</w:t>
            </w:r>
          </w:p>
        </w:tc>
      </w:tr>
      <w:tr w:rsidR="00267663" w:rsidRPr="003D2556" w14:paraId="65F1C105" w14:textId="77777777" w:rsidTr="008469E3">
        <w:tc>
          <w:tcPr>
            <w:tcW w:w="1441" w:type="dxa"/>
            <w:vMerge w:val="restart"/>
          </w:tcPr>
          <w:p w14:paraId="7C00C181" w14:textId="77777777" w:rsidR="00267663" w:rsidRPr="00B92CA6" w:rsidRDefault="00267663" w:rsidP="005F3C17">
            <w:pPr>
              <w:keepNext/>
              <w:spacing w:line="300" w:lineRule="auto"/>
              <w:rPr>
                <w:rFonts w:ascii="Arial" w:hAnsi="Arial" w:cs="Arial"/>
                <w:sz w:val="20"/>
                <w:szCs w:val="20"/>
              </w:rPr>
            </w:pPr>
            <w:r w:rsidRPr="00B92CA6">
              <w:rPr>
                <w:rFonts w:ascii="Arial" w:hAnsi="Arial" w:cs="Arial"/>
                <w:sz w:val="20"/>
                <w:szCs w:val="20"/>
              </w:rPr>
              <w:t>Rural East</w:t>
            </w:r>
          </w:p>
        </w:tc>
        <w:tc>
          <w:tcPr>
            <w:tcW w:w="540" w:type="dxa"/>
          </w:tcPr>
          <w:p w14:paraId="440C71B1"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2C7268A5"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713</w:t>
            </w:r>
          </w:p>
        </w:tc>
        <w:tc>
          <w:tcPr>
            <w:tcW w:w="1532" w:type="dxa"/>
            <w:vAlign w:val="bottom"/>
          </w:tcPr>
          <w:p w14:paraId="3C255783"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498</w:t>
            </w:r>
          </w:p>
        </w:tc>
        <w:tc>
          <w:tcPr>
            <w:tcW w:w="1531" w:type="dxa"/>
            <w:vAlign w:val="bottom"/>
          </w:tcPr>
          <w:p w14:paraId="7F9B00B2"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35</w:t>
            </w:r>
          </w:p>
        </w:tc>
        <w:tc>
          <w:tcPr>
            <w:tcW w:w="1532" w:type="dxa"/>
            <w:vAlign w:val="bottom"/>
          </w:tcPr>
          <w:p w14:paraId="7876B122"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103</w:t>
            </w:r>
          </w:p>
        </w:tc>
        <w:tc>
          <w:tcPr>
            <w:tcW w:w="1532" w:type="dxa"/>
            <w:vAlign w:val="bottom"/>
          </w:tcPr>
          <w:p w14:paraId="7C766AF2"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1,348</w:t>
            </w:r>
          </w:p>
        </w:tc>
      </w:tr>
      <w:tr w:rsidR="00267663" w:rsidRPr="003D2556" w14:paraId="68FF779B" w14:textId="77777777" w:rsidTr="008469E3">
        <w:tc>
          <w:tcPr>
            <w:tcW w:w="1441" w:type="dxa"/>
            <w:vMerge/>
          </w:tcPr>
          <w:p w14:paraId="0686C771" w14:textId="77777777" w:rsidR="00267663" w:rsidRPr="00B92CA6" w:rsidRDefault="00267663" w:rsidP="005F3C17">
            <w:pPr>
              <w:keepNext/>
              <w:spacing w:line="300" w:lineRule="auto"/>
              <w:rPr>
                <w:rFonts w:ascii="Arial" w:hAnsi="Arial" w:cs="Arial"/>
                <w:sz w:val="20"/>
                <w:szCs w:val="20"/>
              </w:rPr>
            </w:pPr>
          </w:p>
        </w:tc>
        <w:tc>
          <w:tcPr>
            <w:tcW w:w="540" w:type="dxa"/>
          </w:tcPr>
          <w:p w14:paraId="7B9DFFBB"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7768A649"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52.9%</w:t>
            </w:r>
          </w:p>
        </w:tc>
        <w:tc>
          <w:tcPr>
            <w:tcW w:w="1532" w:type="dxa"/>
            <w:vAlign w:val="bottom"/>
          </w:tcPr>
          <w:p w14:paraId="04C03A61"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36.9%</w:t>
            </w:r>
          </w:p>
        </w:tc>
        <w:tc>
          <w:tcPr>
            <w:tcW w:w="1531" w:type="dxa"/>
            <w:vAlign w:val="bottom"/>
          </w:tcPr>
          <w:p w14:paraId="5D8C5874"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2.6%</w:t>
            </w:r>
          </w:p>
        </w:tc>
        <w:tc>
          <w:tcPr>
            <w:tcW w:w="1532" w:type="dxa"/>
            <w:vAlign w:val="bottom"/>
          </w:tcPr>
          <w:p w14:paraId="6C2A4356"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7.6%</w:t>
            </w:r>
          </w:p>
        </w:tc>
        <w:tc>
          <w:tcPr>
            <w:tcW w:w="1532" w:type="dxa"/>
            <w:vAlign w:val="bottom"/>
          </w:tcPr>
          <w:p w14:paraId="2C663B58"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100.0%</w:t>
            </w:r>
          </w:p>
        </w:tc>
      </w:tr>
      <w:tr w:rsidR="00267663" w:rsidRPr="003D2556" w14:paraId="0FCD09D9" w14:textId="77777777" w:rsidTr="008469E3">
        <w:tc>
          <w:tcPr>
            <w:tcW w:w="1441" w:type="dxa"/>
            <w:vMerge w:val="restart"/>
          </w:tcPr>
          <w:p w14:paraId="2B9C70F1" w14:textId="77777777" w:rsidR="00267663" w:rsidRPr="00B92CA6" w:rsidRDefault="00267663" w:rsidP="005F3C17">
            <w:pPr>
              <w:keepNext/>
              <w:widowControl w:val="0"/>
              <w:spacing w:line="300" w:lineRule="auto"/>
              <w:rPr>
                <w:rFonts w:ascii="Arial" w:hAnsi="Arial" w:cs="Arial"/>
                <w:sz w:val="20"/>
                <w:szCs w:val="20"/>
              </w:rPr>
            </w:pPr>
            <w:r w:rsidRPr="00B92CA6">
              <w:rPr>
                <w:rFonts w:ascii="Arial" w:hAnsi="Arial" w:cs="Arial"/>
                <w:sz w:val="20"/>
                <w:szCs w:val="20"/>
              </w:rPr>
              <w:t>BOROUGH</w:t>
            </w:r>
          </w:p>
        </w:tc>
        <w:tc>
          <w:tcPr>
            <w:tcW w:w="540" w:type="dxa"/>
          </w:tcPr>
          <w:p w14:paraId="2BA59C27"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0B644C67"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17,604</w:t>
            </w:r>
          </w:p>
        </w:tc>
        <w:tc>
          <w:tcPr>
            <w:tcW w:w="1532" w:type="dxa"/>
            <w:vAlign w:val="bottom"/>
          </w:tcPr>
          <w:p w14:paraId="21D3C2CB"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10,385</w:t>
            </w:r>
          </w:p>
        </w:tc>
        <w:tc>
          <w:tcPr>
            <w:tcW w:w="1531" w:type="dxa"/>
            <w:vAlign w:val="bottom"/>
          </w:tcPr>
          <w:p w14:paraId="53E4A223"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3,264</w:t>
            </w:r>
          </w:p>
        </w:tc>
        <w:tc>
          <w:tcPr>
            <w:tcW w:w="1532" w:type="dxa"/>
            <w:vAlign w:val="bottom"/>
          </w:tcPr>
          <w:p w14:paraId="052D01FE"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7,746</w:t>
            </w:r>
          </w:p>
        </w:tc>
        <w:tc>
          <w:tcPr>
            <w:tcW w:w="1532" w:type="dxa"/>
            <w:vAlign w:val="bottom"/>
          </w:tcPr>
          <w:p w14:paraId="2AB2289E"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39,000</w:t>
            </w:r>
          </w:p>
        </w:tc>
      </w:tr>
      <w:tr w:rsidR="00267663" w:rsidRPr="003D2556" w14:paraId="37F13058" w14:textId="77777777" w:rsidTr="008469E3">
        <w:tc>
          <w:tcPr>
            <w:tcW w:w="1441" w:type="dxa"/>
            <w:vMerge/>
          </w:tcPr>
          <w:p w14:paraId="47FF7225" w14:textId="77777777" w:rsidR="00267663" w:rsidRPr="00B92CA6" w:rsidRDefault="00267663" w:rsidP="005F3C17">
            <w:pPr>
              <w:keepNext/>
              <w:widowControl w:val="0"/>
              <w:spacing w:line="300" w:lineRule="auto"/>
              <w:rPr>
                <w:rFonts w:ascii="Arial" w:hAnsi="Arial" w:cs="Arial"/>
                <w:sz w:val="20"/>
                <w:szCs w:val="20"/>
              </w:rPr>
            </w:pPr>
          </w:p>
        </w:tc>
        <w:tc>
          <w:tcPr>
            <w:tcW w:w="540" w:type="dxa"/>
          </w:tcPr>
          <w:p w14:paraId="2DCAC4A4" w14:textId="77777777" w:rsidR="00267663" w:rsidRPr="00B92CA6" w:rsidRDefault="00267663"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56E6A131"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45.1%</w:t>
            </w:r>
          </w:p>
        </w:tc>
        <w:tc>
          <w:tcPr>
            <w:tcW w:w="1532" w:type="dxa"/>
            <w:vAlign w:val="bottom"/>
          </w:tcPr>
          <w:p w14:paraId="68C2B7EE"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26.6%</w:t>
            </w:r>
          </w:p>
        </w:tc>
        <w:tc>
          <w:tcPr>
            <w:tcW w:w="1531" w:type="dxa"/>
            <w:vAlign w:val="bottom"/>
          </w:tcPr>
          <w:p w14:paraId="11170B37"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8.4%</w:t>
            </w:r>
          </w:p>
        </w:tc>
        <w:tc>
          <w:tcPr>
            <w:tcW w:w="1532" w:type="dxa"/>
            <w:vAlign w:val="bottom"/>
          </w:tcPr>
          <w:p w14:paraId="3C160A15"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19.9%</w:t>
            </w:r>
          </w:p>
        </w:tc>
        <w:tc>
          <w:tcPr>
            <w:tcW w:w="1532" w:type="dxa"/>
            <w:vAlign w:val="bottom"/>
          </w:tcPr>
          <w:p w14:paraId="348D9DF3" w14:textId="77777777" w:rsidR="00267663" w:rsidRPr="00B92CA6" w:rsidRDefault="00267663" w:rsidP="005F3C17">
            <w:pPr>
              <w:keepNext/>
              <w:spacing w:line="300" w:lineRule="auto"/>
              <w:jc w:val="center"/>
              <w:rPr>
                <w:rFonts w:ascii="Arial" w:hAnsi="Arial" w:cs="Arial"/>
                <w:sz w:val="20"/>
                <w:szCs w:val="20"/>
              </w:rPr>
            </w:pPr>
            <w:r w:rsidRPr="00B92CA6">
              <w:rPr>
                <w:rFonts w:ascii="Arial" w:hAnsi="Arial" w:cs="Arial"/>
                <w:color w:val="000000"/>
                <w:sz w:val="20"/>
                <w:szCs w:val="20"/>
              </w:rPr>
              <w:t>100.0%</w:t>
            </w:r>
          </w:p>
        </w:tc>
      </w:tr>
    </w:tbl>
    <w:p w14:paraId="3AD87B3B" w14:textId="59AA92C7" w:rsidR="00267663" w:rsidRPr="003A6336" w:rsidRDefault="00AB789F" w:rsidP="005F3C17">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1F9B50E8" w14:textId="77777777" w:rsidR="006D3745" w:rsidRPr="00267663" w:rsidRDefault="006D3745" w:rsidP="00172F56">
      <w:pPr>
        <w:pStyle w:val="11Bodytext"/>
        <w:numPr>
          <w:ilvl w:val="0"/>
          <w:numId w:val="0"/>
        </w:numPr>
        <w:spacing w:before="0" w:after="0" w:line="300" w:lineRule="auto"/>
        <w:rPr>
          <w:color w:val="auto"/>
        </w:rPr>
      </w:pPr>
    </w:p>
    <w:p w14:paraId="247B95EC" w14:textId="308F760F" w:rsidR="006D3745" w:rsidRDefault="006D3745">
      <w:pPr>
        <w:pStyle w:val="11Bodytext"/>
        <w:numPr>
          <w:ilvl w:val="1"/>
          <w:numId w:val="23"/>
        </w:numPr>
        <w:spacing w:before="0" w:after="0" w:line="300" w:lineRule="auto"/>
        <w:ind w:left="720" w:hanging="720"/>
        <w:rPr>
          <w:color w:val="auto"/>
        </w:rPr>
      </w:pPr>
      <w:r>
        <w:rPr>
          <w:color w:val="auto"/>
        </w:rPr>
        <w:t>The table below</w:t>
      </w:r>
      <w:r w:rsidR="00106F07">
        <w:rPr>
          <w:color w:val="auto"/>
        </w:rPr>
        <w:t xml:space="preserve"> shows</w:t>
      </w:r>
      <w:r>
        <w:rPr>
          <w:color w:val="auto"/>
        </w:rPr>
        <w:t xml:space="preserve"> the age structure in different locations from survey data</w:t>
      </w:r>
      <w:r w:rsidR="003B6369">
        <w:rPr>
          <w:color w:val="auto"/>
        </w:rPr>
        <w:t>,</w:t>
      </w:r>
      <w:r w:rsidR="00106F07">
        <w:rPr>
          <w:color w:val="auto"/>
        </w:rPr>
        <w:t xml:space="preserve"> and this highlights an older population structure in many locations. Overall, the survey estimates around 36% of the population as being aged 60 and over, which compares with a latest national estimate (from ONS) of just 24%. All locations see a proportion of the </w:t>
      </w:r>
      <w:r w:rsidR="00432414">
        <w:rPr>
          <w:color w:val="auto"/>
        </w:rPr>
        <w:t>population</w:t>
      </w:r>
      <w:r w:rsidR="00106F07">
        <w:rPr>
          <w:color w:val="auto"/>
        </w:rPr>
        <w:t xml:space="preserve"> aged 60+ higher than the national average.</w:t>
      </w:r>
      <w:r w:rsidR="00A4575A">
        <w:rPr>
          <w:color w:val="auto"/>
        </w:rPr>
        <w:t xml:space="preserve"> The first release of 2021 Census data (published after this report was drafted) </w:t>
      </w:r>
      <w:r w:rsidR="00041EB7">
        <w:rPr>
          <w:color w:val="auto"/>
        </w:rPr>
        <w:t>also shows 36% of the population as being aged 60+ - this source also confirms the 24% figure nationally</w:t>
      </w:r>
      <w:r w:rsidR="00041EB7">
        <w:rPr>
          <w:rStyle w:val="FootnoteReference"/>
          <w:color w:val="auto"/>
        </w:rPr>
        <w:footnoteReference w:id="4"/>
      </w:r>
      <w:r w:rsidR="00041EB7">
        <w:rPr>
          <w:color w:val="auto"/>
        </w:rPr>
        <w:t>.</w:t>
      </w:r>
    </w:p>
    <w:p w14:paraId="343336B5" w14:textId="77777777" w:rsidR="006D3745" w:rsidRPr="00267663" w:rsidRDefault="006D3745" w:rsidP="00172F56">
      <w:pPr>
        <w:pStyle w:val="11Bodytext"/>
        <w:numPr>
          <w:ilvl w:val="0"/>
          <w:numId w:val="0"/>
        </w:numPr>
        <w:spacing w:before="0" w:after="0" w:line="300" w:lineRule="auto"/>
        <w:rPr>
          <w:color w:val="auto"/>
        </w:rPr>
      </w:pPr>
    </w:p>
    <w:tbl>
      <w:tblPr>
        <w:tblStyle w:val="TableTheme"/>
        <w:tblW w:w="9639" w:type="dxa"/>
        <w:tblLayout w:type="fixed"/>
        <w:tblLook w:val="0000" w:firstRow="0" w:lastRow="0" w:firstColumn="0" w:lastColumn="0" w:noHBand="0" w:noVBand="0"/>
      </w:tblPr>
      <w:tblGrid>
        <w:gridCol w:w="1440"/>
        <w:gridCol w:w="540"/>
        <w:gridCol w:w="1094"/>
        <w:gridCol w:w="1094"/>
        <w:gridCol w:w="1094"/>
        <w:gridCol w:w="1094"/>
        <w:gridCol w:w="1094"/>
        <w:gridCol w:w="1094"/>
        <w:gridCol w:w="1095"/>
      </w:tblGrid>
      <w:tr w:rsidR="00267663" w:rsidRPr="008724E9" w14:paraId="73D8487E" w14:textId="77777777" w:rsidTr="008469E3">
        <w:tc>
          <w:tcPr>
            <w:tcW w:w="9639" w:type="dxa"/>
            <w:gridSpan w:val="9"/>
          </w:tcPr>
          <w:p w14:paraId="7764DF52" w14:textId="44926341" w:rsidR="00267663" w:rsidRPr="006D3745" w:rsidRDefault="00267663" w:rsidP="005F3C17">
            <w:pPr>
              <w:keepNext/>
              <w:widowControl w:val="0"/>
              <w:spacing w:before="60" w:after="60" w:line="300" w:lineRule="auto"/>
              <w:jc w:val="center"/>
              <w:rPr>
                <w:rFonts w:ascii="Arial" w:hAnsi="Arial" w:cs="Arial"/>
                <w:b/>
                <w:sz w:val="20"/>
                <w:szCs w:val="20"/>
              </w:rPr>
            </w:pPr>
            <w:r w:rsidRPr="006D3745">
              <w:rPr>
                <w:rFonts w:ascii="Arial" w:hAnsi="Arial" w:cs="Arial"/>
                <w:b/>
                <w:sz w:val="20"/>
                <w:szCs w:val="20"/>
              </w:rPr>
              <w:t xml:space="preserve">Figure </w:t>
            </w:r>
            <w:r w:rsidR="00AD29A6">
              <w:rPr>
                <w:rFonts w:ascii="Arial" w:hAnsi="Arial" w:cs="Arial"/>
                <w:b/>
                <w:sz w:val="20"/>
                <w:szCs w:val="20"/>
              </w:rPr>
              <w:t>1.5:</w:t>
            </w:r>
            <w:r w:rsidRPr="006D3745">
              <w:rPr>
                <w:rFonts w:ascii="Arial" w:hAnsi="Arial" w:cs="Arial"/>
                <w:b/>
                <w:sz w:val="20"/>
                <w:szCs w:val="20"/>
              </w:rPr>
              <w:t xml:space="preserve"> Sub-area age profile</w:t>
            </w:r>
          </w:p>
        </w:tc>
      </w:tr>
      <w:tr w:rsidR="00267663" w:rsidRPr="008724E9" w14:paraId="43C562F8" w14:textId="77777777" w:rsidTr="008469E3">
        <w:tc>
          <w:tcPr>
            <w:tcW w:w="1980" w:type="dxa"/>
            <w:gridSpan w:val="2"/>
          </w:tcPr>
          <w:p w14:paraId="4B6205C8" w14:textId="77777777" w:rsidR="00267663" w:rsidRPr="006D3745" w:rsidRDefault="00267663" w:rsidP="005F3C17">
            <w:pPr>
              <w:keepNext/>
              <w:widowControl w:val="0"/>
              <w:spacing w:before="60" w:after="60" w:line="300" w:lineRule="auto"/>
              <w:rPr>
                <w:rFonts w:ascii="Arial" w:hAnsi="Arial" w:cs="Arial"/>
                <w:sz w:val="20"/>
                <w:szCs w:val="20"/>
              </w:rPr>
            </w:pPr>
            <w:r w:rsidRPr="006D3745">
              <w:rPr>
                <w:rFonts w:ascii="Arial" w:hAnsi="Arial" w:cs="Arial"/>
                <w:sz w:val="20"/>
                <w:szCs w:val="20"/>
              </w:rPr>
              <w:t>Sub-area</w:t>
            </w:r>
          </w:p>
        </w:tc>
        <w:tc>
          <w:tcPr>
            <w:tcW w:w="1094" w:type="dxa"/>
          </w:tcPr>
          <w:p w14:paraId="0A8494D0" w14:textId="77777777" w:rsidR="00267663" w:rsidRPr="006D3745" w:rsidRDefault="00267663" w:rsidP="005F3C17">
            <w:pPr>
              <w:keepNext/>
              <w:widowControl w:val="0"/>
              <w:spacing w:before="60" w:after="60" w:line="300" w:lineRule="auto"/>
              <w:jc w:val="center"/>
              <w:rPr>
                <w:rFonts w:ascii="Arial" w:hAnsi="Arial" w:cs="Arial"/>
                <w:sz w:val="20"/>
                <w:szCs w:val="20"/>
              </w:rPr>
            </w:pPr>
            <w:r w:rsidRPr="006D3745">
              <w:rPr>
                <w:rFonts w:ascii="Arial" w:hAnsi="Arial" w:cs="Arial"/>
                <w:sz w:val="20"/>
                <w:szCs w:val="20"/>
              </w:rPr>
              <w:t>0-14</w:t>
            </w:r>
          </w:p>
        </w:tc>
        <w:tc>
          <w:tcPr>
            <w:tcW w:w="1094" w:type="dxa"/>
          </w:tcPr>
          <w:p w14:paraId="1B4DAA29" w14:textId="77777777" w:rsidR="00267663" w:rsidRPr="006D3745" w:rsidRDefault="00267663" w:rsidP="005F3C17">
            <w:pPr>
              <w:keepNext/>
              <w:widowControl w:val="0"/>
              <w:spacing w:before="60" w:after="60" w:line="300" w:lineRule="auto"/>
              <w:jc w:val="center"/>
              <w:rPr>
                <w:rFonts w:ascii="Arial" w:hAnsi="Arial" w:cs="Arial"/>
                <w:sz w:val="20"/>
                <w:szCs w:val="20"/>
              </w:rPr>
            </w:pPr>
            <w:r w:rsidRPr="006D3745">
              <w:rPr>
                <w:rFonts w:ascii="Arial" w:hAnsi="Arial" w:cs="Arial"/>
                <w:sz w:val="20"/>
                <w:szCs w:val="20"/>
              </w:rPr>
              <w:t>15-29</w:t>
            </w:r>
          </w:p>
        </w:tc>
        <w:tc>
          <w:tcPr>
            <w:tcW w:w="1094" w:type="dxa"/>
          </w:tcPr>
          <w:p w14:paraId="0D859C06" w14:textId="77777777" w:rsidR="00267663" w:rsidRPr="006D3745" w:rsidRDefault="00267663" w:rsidP="005F3C17">
            <w:pPr>
              <w:keepNext/>
              <w:widowControl w:val="0"/>
              <w:spacing w:before="60" w:after="60" w:line="300" w:lineRule="auto"/>
              <w:jc w:val="center"/>
              <w:rPr>
                <w:rFonts w:ascii="Arial" w:hAnsi="Arial" w:cs="Arial"/>
                <w:sz w:val="20"/>
                <w:szCs w:val="20"/>
              </w:rPr>
            </w:pPr>
            <w:r w:rsidRPr="006D3745">
              <w:rPr>
                <w:rFonts w:ascii="Arial" w:hAnsi="Arial" w:cs="Arial"/>
                <w:sz w:val="20"/>
                <w:szCs w:val="20"/>
              </w:rPr>
              <w:t>30-44</w:t>
            </w:r>
          </w:p>
        </w:tc>
        <w:tc>
          <w:tcPr>
            <w:tcW w:w="1094" w:type="dxa"/>
          </w:tcPr>
          <w:p w14:paraId="59BF3D56" w14:textId="77777777" w:rsidR="00267663" w:rsidRPr="006D3745" w:rsidRDefault="00267663" w:rsidP="005F3C17">
            <w:pPr>
              <w:keepNext/>
              <w:widowControl w:val="0"/>
              <w:spacing w:before="60" w:after="60" w:line="300" w:lineRule="auto"/>
              <w:jc w:val="center"/>
              <w:rPr>
                <w:rFonts w:ascii="Arial" w:hAnsi="Arial" w:cs="Arial"/>
                <w:sz w:val="20"/>
                <w:szCs w:val="20"/>
              </w:rPr>
            </w:pPr>
            <w:r w:rsidRPr="006D3745">
              <w:rPr>
                <w:rFonts w:ascii="Arial" w:hAnsi="Arial" w:cs="Arial"/>
                <w:sz w:val="20"/>
                <w:szCs w:val="20"/>
              </w:rPr>
              <w:t>45-59</w:t>
            </w:r>
          </w:p>
        </w:tc>
        <w:tc>
          <w:tcPr>
            <w:tcW w:w="1094" w:type="dxa"/>
          </w:tcPr>
          <w:p w14:paraId="18A0FE10" w14:textId="77777777" w:rsidR="00267663" w:rsidRPr="006D3745" w:rsidRDefault="00267663" w:rsidP="005F3C17">
            <w:pPr>
              <w:keepNext/>
              <w:widowControl w:val="0"/>
              <w:spacing w:before="60" w:after="60" w:line="300" w:lineRule="auto"/>
              <w:jc w:val="center"/>
              <w:rPr>
                <w:rFonts w:ascii="Arial" w:hAnsi="Arial" w:cs="Arial"/>
                <w:sz w:val="20"/>
                <w:szCs w:val="20"/>
              </w:rPr>
            </w:pPr>
            <w:r w:rsidRPr="006D3745">
              <w:rPr>
                <w:rFonts w:ascii="Arial" w:hAnsi="Arial" w:cs="Arial"/>
                <w:sz w:val="20"/>
                <w:szCs w:val="20"/>
              </w:rPr>
              <w:t>60-74</w:t>
            </w:r>
          </w:p>
        </w:tc>
        <w:tc>
          <w:tcPr>
            <w:tcW w:w="1094" w:type="dxa"/>
          </w:tcPr>
          <w:p w14:paraId="733F5BEA" w14:textId="77777777" w:rsidR="00267663" w:rsidRPr="006D3745" w:rsidRDefault="00267663" w:rsidP="005F3C17">
            <w:pPr>
              <w:keepNext/>
              <w:widowControl w:val="0"/>
              <w:spacing w:before="60" w:after="60" w:line="300" w:lineRule="auto"/>
              <w:jc w:val="center"/>
              <w:rPr>
                <w:rFonts w:ascii="Arial" w:hAnsi="Arial" w:cs="Arial"/>
                <w:sz w:val="20"/>
                <w:szCs w:val="20"/>
              </w:rPr>
            </w:pPr>
            <w:r w:rsidRPr="006D3745">
              <w:rPr>
                <w:rFonts w:ascii="Arial" w:hAnsi="Arial" w:cs="Arial"/>
                <w:sz w:val="20"/>
                <w:szCs w:val="20"/>
              </w:rPr>
              <w:t>75+</w:t>
            </w:r>
          </w:p>
        </w:tc>
        <w:tc>
          <w:tcPr>
            <w:tcW w:w="1095" w:type="dxa"/>
          </w:tcPr>
          <w:p w14:paraId="60B6115F" w14:textId="77777777" w:rsidR="00267663" w:rsidRPr="006D3745" w:rsidRDefault="00267663" w:rsidP="005F3C17">
            <w:pPr>
              <w:keepNext/>
              <w:widowControl w:val="0"/>
              <w:spacing w:before="60" w:after="60" w:line="300" w:lineRule="auto"/>
              <w:jc w:val="center"/>
              <w:rPr>
                <w:rFonts w:ascii="Arial" w:hAnsi="Arial" w:cs="Arial"/>
                <w:sz w:val="20"/>
                <w:szCs w:val="20"/>
              </w:rPr>
            </w:pPr>
            <w:r w:rsidRPr="006D3745">
              <w:rPr>
                <w:rFonts w:ascii="Arial" w:hAnsi="Arial" w:cs="Arial"/>
                <w:sz w:val="20"/>
                <w:szCs w:val="20"/>
              </w:rPr>
              <w:t>Total</w:t>
            </w:r>
          </w:p>
        </w:tc>
      </w:tr>
      <w:tr w:rsidR="00267663" w:rsidRPr="008724E9" w14:paraId="1EB774F7" w14:textId="77777777" w:rsidTr="008469E3">
        <w:tc>
          <w:tcPr>
            <w:tcW w:w="1440" w:type="dxa"/>
            <w:vMerge w:val="restart"/>
          </w:tcPr>
          <w:p w14:paraId="0672AECC" w14:textId="77777777" w:rsidR="00267663" w:rsidRPr="006D3745" w:rsidRDefault="00267663" w:rsidP="005F3C17">
            <w:pPr>
              <w:keepNext/>
              <w:spacing w:line="300" w:lineRule="auto"/>
              <w:rPr>
                <w:rFonts w:ascii="Arial" w:hAnsi="Arial" w:cs="Arial"/>
                <w:sz w:val="20"/>
                <w:szCs w:val="20"/>
              </w:rPr>
            </w:pPr>
            <w:r w:rsidRPr="006D3745">
              <w:rPr>
                <w:rFonts w:ascii="Arial" w:hAnsi="Arial" w:cs="Arial"/>
                <w:color w:val="000000"/>
                <w:sz w:val="20"/>
                <w:szCs w:val="20"/>
              </w:rPr>
              <w:t>St. Annes</w:t>
            </w:r>
          </w:p>
        </w:tc>
        <w:tc>
          <w:tcPr>
            <w:tcW w:w="540" w:type="dxa"/>
          </w:tcPr>
          <w:p w14:paraId="78A86E65" w14:textId="77777777" w:rsidR="00267663" w:rsidRPr="006D3745" w:rsidRDefault="00267663" w:rsidP="00172F56">
            <w:pPr>
              <w:keepNext/>
              <w:spacing w:line="300" w:lineRule="auto"/>
              <w:rPr>
                <w:rFonts w:ascii="Arial" w:hAnsi="Arial" w:cs="Arial"/>
                <w:sz w:val="20"/>
                <w:szCs w:val="20"/>
              </w:rPr>
            </w:pPr>
            <w:r w:rsidRPr="006D3745">
              <w:rPr>
                <w:rFonts w:ascii="Arial" w:hAnsi="Arial" w:cs="Arial"/>
                <w:sz w:val="20"/>
                <w:szCs w:val="20"/>
              </w:rPr>
              <w:t>No.</w:t>
            </w:r>
          </w:p>
        </w:tc>
        <w:tc>
          <w:tcPr>
            <w:tcW w:w="1094" w:type="dxa"/>
            <w:vAlign w:val="bottom"/>
          </w:tcPr>
          <w:p w14:paraId="70A011EC"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4,083</w:t>
            </w:r>
          </w:p>
        </w:tc>
        <w:tc>
          <w:tcPr>
            <w:tcW w:w="1094" w:type="dxa"/>
            <w:vAlign w:val="bottom"/>
          </w:tcPr>
          <w:p w14:paraId="47DC870A"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3,108</w:t>
            </w:r>
          </w:p>
        </w:tc>
        <w:tc>
          <w:tcPr>
            <w:tcW w:w="1094" w:type="dxa"/>
            <w:vAlign w:val="bottom"/>
          </w:tcPr>
          <w:p w14:paraId="723571A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4,448</w:t>
            </w:r>
          </w:p>
        </w:tc>
        <w:tc>
          <w:tcPr>
            <w:tcW w:w="1094" w:type="dxa"/>
            <w:vAlign w:val="bottom"/>
          </w:tcPr>
          <w:p w14:paraId="075630DF"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5,787</w:t>
            </w:r>
          </w:p>
        </w:tc>
        <w:tc>
          <w:tcPr>
            <w:tcW w:w="1094" w:type="dxa"/>
            <w:vAlign w:val="bottom"/>
          </w:tcPr>
          <w:p w14:paraId="109D91CA"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6,123</w:t>
            </w:r>
          </w:p>
        </w:tc>
        <w:tc>
          <w:tcPr>
            <w:tcW w:w="1094" w:type="dxa"/>
            <w:vAlign w:val="bottom"/>
          </w:tcPr>
          <w:p w14:paraId="07EE9D65"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4,139</w:t>
            </w:r>
          </w:p>
        </w:tc>
        <w:tc>
          <w:tcPr>
            <w:tcW w:w="1095" w:type="dxa"/>
            <w:vAlign w:val="bottom"/>
          </w:tcPr>
          <w:p w14:paraId="6818E935"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27,689</w:t>
            </w:r>
          </w:p>
        </w:tc>
      </w:tr>
      <w:tr w:rsidR="00267663" w:rsidRPr="008724E9" w14:paraId="2E473E90" w14:textId="77777777" w:rsidTr="008469E3">
        <w:tc>
          <w:tcPr>
            <w:tcW w:w="1440" w:type="dxa"/>
            <w:vMerge/>
          </w:tcPr>
          <w:p w14:paraId="7F0EF1FB" w14:textId="77777777" w:rsidR="00267663" w:rsidRPr="006D3745" w:rsidRDefault="00267663" w:rsidP="005F3C17">
            <w:pPr>
              <w:keepNext/>
              <w:spacing w:line="300" w:lineRule="auto"/>
              <w:rPr>
                <w:rFonts w:ascii="Arial" w:hAnsi="Arial" w:cs="Arial"/>
                <w:sz w:val="20"/>
                <w:szCs w:val="20"/>
              </w:rPr>
            </w:pPr>
          </w:p>
        </w:tc>
        <w:tc>
          <w:tcPr>
            <w:tcW w:w="540" w:type="dxa"/>
          </w:tcPr>
          <w:p w14:paraId="7B662A9B" w14:textId="77777777" w:rsidR="00267663" w:rsidRPr="006D3745" w:rsidRDefault="00267663" w:rsidP="00172F56">
            <w:pPr>
              <w:keepNext/>
              <w:spacing w:line="300" w:lineRule="auto"/>
              <w:rPr>
                <w:rFonts w:ascii="Arial" w:hAnsi="Arial" w:cs="Arial"/>
                <w:sz w:val="20"/>
                <w:szCs w:val="20"/>
              </w:rPr>
            </w:pPr>
            <w:r w:rsidRPr="006D3745">
              <w:rPr>
                <w:rFonts w:ascii="Arial" w:hAnsi="Arial" w:cs="Arial"/>
                <w:sz w:val="20"/>
                <w:szCs w:val="20"/>
              </w:rPr>
              <w:t>%</w:t>
            </w:r>
          </w:p>
        </w:tc>
        <w:tc>
          <w:tcPr>
            <w:tcW w:w="1094" w:type="dxa"/>
            <w:vAlign w:val="bottom"/>
          </w:tcPr>
          <w:p w14:paraId="197D8967"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14.7%</w:t>
            </w:r>
          </w:p>
        </w:tc>
        <w:tc>
          <w:tcPr>
            <w:tcW w:w="1094" w:type="dxa"/>
            <w:vAlign w:val="bottom"/>
          </w:tcPr>
          <w:p w14:paraId="000CE919"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11.2%</w:t>
            </w:r>
          </w:p>
        </w:tc>
        <w:tc>
          <w:tcPr>
            <w:tcW w:w="1094" w:type="dxa"/>
            <w:vAlign w:val="bottom"/>
          </w:tcPr>
          <w:p w14:paraId="0A570BCC"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16.1%</w:t>
            </w:r>
          </w:p>
        </w:tc>
        <w:tc>
          <w:tcPr>
            <w:tcW w:w="1094" w:type="dxa"/>
            <w:vAlign w:val="bottom"/>
          </w:tcPr>
          <w:p w14:paraId="486C4EED"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20.9%</w:t>
            </w:r>
          </w:p>
        </w:tc>
        <w:tc>
          <w:tcPr>
            <w:tcW w:w="1094" w:type="dxa"/>
            <w:vAlign w:val="bottom"/>
          </w:tcPr>
          <w:p w14:paraId="7E1CBBF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22.1%</w:t>
            </w:r>
          </w:p>
        </w:tc>
        <w:tc>
          <w:tcPr>
            <w:tcW w:w="1094" w:type="dxa"/>
            <w:vAlign w:val="bottom"/>
          </w:tcPr>
          <w:p w14:paraId="2F6419F9"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14.9%</w:t>
            </w:r>
          </w:p>
        </w:tc>
        <w:tc>
          <w:tcPr>
            <w:tcW w:w="1095" w:type="dxa"/>
            <w:vAlign w:val="bottom"/>
          </w:tcPr>
          <w:p w14:paraId="2E45291E"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100.0%</w:t>
            </w:r>
          </w:p>
        </w:tc>
      </w:tr>
      <w:tr w:rsidR="00267663" w:rsidRPr="003D2556" w14:paraId="69E8972A" w14:textId="77777777" w:rsidTr="008469E3">
        <w:tc>
          <w:tcPr>
            <w:tcW w:w="1440" w:type="dxa"/>
            <w:vMerge w:val="restart"/>
          </w:tcPr>
          <w:p w14:paraId="7E37EBE8" w14:textId="77777777" w:rsidR="00267663" w:rsidRPr="006D3745" w:rsidRDefault="00267663" w:rsidP="005F3C17">
            <w:pPr>
              <w:keepNext/>
              <w:spacing w:line="300" w:lineRule="auto"/>
              <w:rPr>
                <w:rFonts w:ascii="Arial" w:hAnsi="Arial" w:cs="Arial"/>
                <w:sz w:val="20"/>
                <w:szCs w:val="20"/>
              </w:rPr>
            </w:pPr>
            <w:r w:rsidRPr="006D3745">
              <w:rPr>
                <w:rFonts w:ascii="Arial" w:hAnsi="Arial" w:cs="Arial"/>
                <w:sz w:val="20"/>
                <w:szCs w:val="20"/>
              </w:rPr>
              <w:t>Lytham</w:t>
            </w:r>
          </w:p>
        </w:tc>
        <w:tc>
          <w:tcPr>
            <w:tcW w:w="540" w:type="dxa"/>
          </w:tcPr>
          <w:p w14:paraId="42621C11"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No.</w:t>
            </w:r>
          </w:p>
        </w:tc>
        <w:tc>
          <w:tcPr>
            <w:tcW w:w="1094" w:type="dxa"/>
            <w:vAlign w:val="bottom"/>
          </w:tcPr>
          <w:p w14:paraId="48DB8A86"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2,370</w:t>
            </w:r>
          </w:p>
        </w:tc>
        <w:tc>
          <w:tcPr>
            <w:tcW w:w="1094" w:type="dxa"/>
            <w:vAlign w:val="bottom"/>
          </w:tcPr>
          <w:p w14:paraId="295E020F"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2,174</w:t>
            </w:r>
          </w:p>
        </w:tc>
        <w:tc>
          <w:tcPr>
            <w:tcW w:w="1094" w:type="dxa"/>
            <w:vAlign w:val="bottom"/>
          </w:tcPr>
          <w:p w14:paraId="1681C8F3"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2,099</w:t>
            </w:r>
          </w:p>
        </w:tc>
        <w:tc>
          <w:tcPr>
            <w:tcW w:w="1094" w:type="dxa"/>
            <w:vAlign w:val="bottom"/>
          </w:tcPr>
          <w:p w14:paraId="0C06E16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3,943</w:t>
            </w:r>
          </w:p>
        </w:tc>
        <w:tc>
          <w:tcPr>
            <w:tcW w:w="1094" w:type="dxa"/>
            <w:vAlign w:val="bottom"/>
          </w:tcPr>
          <w:p w14:paraId="7F01FF0F"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4,484</w:t>
            </w:r>
          </w:p>
        </w:tc>
        <w:tc>
          <w:tcPr>
            <w:tcW w:w="1094" w:type="dxa"/>
            <w:vAlign w:val="bottom"/>
          </w:tcPr>
          <w:p w14:paraId="0AA2F011"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2,971</w:t>
            </w:r>
          </w:p>
        </w:tc>
        <w:tc>
          <w:tcPr>
            <w:tcW w:w="1095" w:type="dxa"/>
            <w:vAlign w:val="bottom"/>
          </w:tcPr>
          <w:p w14:paraId="27E07B5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18,041</w:t>
            </w:r>
          </w:p>
        </w:tc>
      </w:tr>
      <w:tr w:rsidR="00267663" w:rsidRPr="003D2556" w14:paraId="2FCB342D" w14:textId="77777777" w:rsidTr="008469E3">
        <w:tc>
          <w:tcPr>
            <w:tcW w:w="1440" w:type="dxa"/>
            <w:vMerge/>
          </w:tcPr>
          <w:p w14:paraId="1AFC08F1" w14:textId="77777777" w:rsidR="00267663" w:rsidRPr="006D3745" w:rsidRDefault="00267663" w:rsidP="005F3C17">
            <w:pPr>
              <w:keepNext/>
              <w:spacing w:line="300" w:lineRule="auto"/>
              <w:rPr>
                <w:rFonts w:ascii="Arial" w:hAnsi="Arial" w:cs="Arial"/>
                <w:sz w:val="20"/>
                <w:szCs w:val="20"/>
              </w:rPr>
            </w:pPr>
          </w:p>
        </w:tc>
        <w:tc>
          <w:tcPr>
            <w:tcW w:w="540" w:type="dxa"/>
          </w:tcPr>
          <w:p w14:paraId="51EFC17E"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w:t>
            </w:r>
          </w:p>
        </w:tc>
        <w:tc>
          <w:tcPr>
            <w:tcW w:w="1094" w:type="dxa"/>
            <w:vAlign w:val="bottom"/>
          </w:tcPr>
          <w:p w14:paraId="75DEE499"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13.1%</w:t>
            </w:r>
          </w:p>
        </w:tc>
        <w:tc>
          <w:tcPr>
            <w:tcW w:w="1094" w:type="dxa"/>
            <w:vAlign w:val="bottom"/>
          </w:tcPr>
          <w:p w14:paraId="02F4BC05"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12.1%</w:t>
            </w:r>
          </w:p>
        </w:tc>
        <w:tc>
          <w:tcPr>
            <w:tcW w:w="1094" w:type="dxa"/>
            <w:vAlign w:val="bottom"/>
          </w:tcPr>
          <w:p w14:paraId="01DDB7CE"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11.6%</w:t>
            </w:r>
          </w:p>
        </w:tc>
        <w:tc>
          <w:tcPr>
            <w:tcW w:w="1094" w:type="dxa"/>
            <w:vAlign w:val="bottom"/>
          </w:tcPr>
          <w:p w14:paraId="31E0FEDB"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21.9%</w:t>
            </w:r>
          </w:p>
        </w:tc>
        <w:tc>
          <w:tcPr>
            <w:tcW w:w="1094" w:type="dxa"/>
            <w:vAlign w:val="bottom"/>
          </w:tcPr>
          <w:p w14:paraId="1F9DD7B2"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24.9%</w:t>
            </w:r>
          </w:p>
        </w:tc>
        <w:tc>
          <w:tcPr>
            <w:tcW w:w="1094" w:type="dxa"/>
            <w:vAlign w:val="bottom"/>
          </w:tcPr>
          <w:p w14:paraId="05688615"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16.5%</w:t>
            </w:r>
          </w:p>
        </w:tc>
        <w:tc>
          <w:tcPr>
            <w:tcW w:w="1095" w:type="dxa"/>
            <w:vAlign w:val="bottom"/>
          </w:tcPr>
          <w:p w14:paraId="15EC92DF"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100.0%</w:t>
            </w:r>
          </w:p>
        </w:tc>
      </w:tr>
      <w:tr w:rsidR="00267663" w:rsidRPr="003D2556" w14:paraId="242C58AD" w14:textId="77777777" w:rsidTr="008469E3">
        <w:tc>
          <w:tcPr>
            <w:tcW w:w="1440" w:type="dxa"/>
            <w:vMerge w:val="restart"/>
          </w:tcPr>
          <w:p w14:paraId="219D80E9" w14:textId="77777777" w:rsidR="00267663" w:rsidRPr="006D3745" w:rsidRDefault="00267663" w:rsidP="005F3C17">
            <w:pPr>
              <w:keepNext/>
              <w:spacing w:line="300" w:lineRule="auto"/>
              <w:rPr>
                <w:rFonts w:ascii="Arial" w:hAnsi="Arial" w:cs="Arial"/>
                <w:color w:val="000000"/>
                <w:sz w:val="20"/>
                <w:szCs w:val="20"/>
              </w:rPr>
            </w:pPr>
            <w:r w:rsidRPr="006D3745">
              <w:rPr>
                <w:rFonts w:ascii="Arial" w:hAnsi="Arial" w:cs="Arial"/>
                <w:color w:val="000000"/>
                <w:sz w:val="20"/>
                <w:szCs w:val="20"/>
              </w:rPr>
              <w:t>Warton</w:t>
            </w:r>
          </w:p>
        </w:tc>
        <w:tc>
          <w:tcPr>
            <w:tcW w:w="540" w:type="dxa"/>
          </w:tcPr>
          <w:p w14:paraId="326726F7"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No.</w:t>
            </w:r>
          </w:p>
        </w:tc>
        <w:tc>
          <w:tcPr>
            <w:tcW w:w="1094" w:type="dxa"/>
            <w:vAlign w:val="bottom"/>
          </w:tcPr>
          <w:p w14:paraId="3A4E8DAC"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819</w:t>
            </w:r>
          </w:p>
        </w:tc>
        <w:tc>
          <w:tcPr>
            <w:tcW w:w="1094" w:type="dxa"/>
            <w:vAlign w:val="bottom"/>
          </w:tcPr>
          <w:p w14:paraId="729DE54F"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729</w:t>
            </w:r>
          </w:p>
        </w:tc>
        <w:tc>
          <w:tcPr>
            <w:tcW w:w="1094" w:type="dxa"/>
            <w:vAlign w:val="bottom"/>
          </w:tcPr>
          <w:p w14:paraId="2E730222"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812</w:t>
            </w:r>
          </w:p>
        </w:tc>
        <w:tc>
          <w:tcPr>
            <w:tcW w:w="1094" w:type="dxa"/>
            <w:vAlign w:val="bottom"/>
          </w:tcPr>
          <w:p w14:paraId="0D25A4B4"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1,026</w:t>
            </w:r>
          </w:p>
        </w:tc>
        <w:tc>
          <w:tcPr>
            <w:tcW w:w="1094" w:type="dxa"/>
            <w:vAlign w:val="bottom"/>
          </w:tcPr>
          <w:p w14:paraId="782C3267"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890</w:t>
            </w:r>
          </w:p>
        </w:tc>
        <w:tc>
          <w:tcPr>
            <w:tcW w:w="1094" w:type="dxa"/>
            <w:vAlign w:val="bottom"/>
          </w:tcPr>
          <w:p w14:paraId="52968F4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466</w:t>
            </w:r>
          </w:p>
        </w:tc>
        <w:tc>
          <w:tcPr>
            <w:tcW w:w="1095" w:type="dxa"/>
            <w:vAlign w:val="bottom"/>
          </w:tcPr>
          <w:p w14:paraId="75038C5A"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4,741</w:t>
            </w:r>
          </w:p>
        </w:tc>
      </w:tr>
      <w:tr w:rsidR="00267663" w:rsidRPr="003D2556" w14:paraId="2FD6FE31" w14:textId="77777777" w:rsidTr="008469E3">
        <w:tc>
          <w:tcPr>
            <w:tcW w:w="1440" w:type="dxa"/>
            <w:vMerge/>
          </w:tcPr>
          <w:p w14:paraId="5452A19D" w14:textId="77777777" w:rsidR="00267663" w:rsidRPr="006D3745" w:rsidRDefault="00267663" w:rsidP="005F3C17">
            <w:pPr>
              <w:keepNext/>
              <w:spacing w:line="300" w:lineRule="auto"/>
              <w:rPr>
                <w:rFonts w:ascii="Arial" w:hAnsi="Arial" w:cs="Arial"/>
                <w:color w:val="000000"/>
                <w:sz w:val="20"/>
                <w:szCs w:val="20"/>
              </w:rPr>
            </w:pPr>
          </w:p>
        </w:tc>
        <w:tc>
          <w:tcPr>
            <w:tcW w:w="540" w:type="dxa"/>
          </w:tcPr>
          <w:p w14:paraId="010EE9CB"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w:t>
            </w:r>
          </w:p>
        </w:tc>
        <w:tc>
          <w:tcPr>
            <w:tcW w:w="1094" w:type="dxa"/>
            <w:vAlign w:val="bottom"/>
          </w:tcPr>
          <w:p w14:paraId="342BB77C"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17.3%</w:t>
            </w:r>
          </w:p>
        </w:tc>
        <w:tc>
          <w:tcPr>
            <w:tcW w:w="1094" w:type="dxa"/>
            <w:vAlign w:val="bottom"/>
          </w:tcPr>
          <w:p w14:paraId="0C2AE65E"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15.4%</w:t>
            </w:r>
          </w:p>
        </w:tc>
        <w:tc>
          <w:tcPr>
            <w:tcW w:w="1094" w:type="dxa"/>
            <w:vAlign w:val="bottom"/>
          </w:tcPr>
          <w:p w14:paraId="64D46CB7"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17.1%</w:t>
            </w:r>
          </w:p>
        </w:tc>
        <w:tc>
          <w:tcPr>
            <w:tcW w:w="1094" w:type="dxa"/>
            <w:vAlign w:val="bottom"/>
          </w:tcPr>
          <w:p w14:paraId="445B9264"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21.6%</w:t>
            </w:r>
          </w:p>
        </w:tc>
        <w:tc>
          <w:tcPr>
            <w:tcW w:w="1094" w:type="dxa"/>
            <w:vAlign w:val="bottom"/>
          </w:tcPr>
          <w:p w14:paraId="080BE9B0"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18.8%</w:t>
            </w:r>
          </w:p>
        </w:tc>
        <w:tc>
          <w:tcPr>
            <w:tcW w:w="1094" w:type="dxa"/>
            <w:vAlign w:val="bottom"/>
          </w:tcPr>
          <w:p w14:paraId="4C10B2DE"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9.8%</w:t>
            </w:r>
          </w:p>
        </w:tc>
        <w:tc>
          <w:tcPr>
            <w:tcW w:w="1095" w:type="dxa"/>
            <w:vAlign w:val="bottom"/>
          </w:tcPr>
          <w:p w14:paraId="37AAD5C0"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100.0%</w:t>
            </w:r>
          </w:p>
        </w:tc>
      </w:tr>
      <w:tr w:rsidR="00267663" w:rsidRPr="003D2556" w14:paraId="759EBD92" w14:textId="77777777" w:rsidTr="008469E3">
        <w:tc>
          <w:tcPr>
            <w:tcW w:w="1440" w:type="dxa"/>
            <w:vMerge w:val="restart"/>
          </w:tcPr>
          <w:p w14:paraId="65E276AA" w14:textId="77777777" w:rsidR="00267663" w:rsidRPr="006D3745" w:rsidRDefault="00267663" w:rsidP="005F3C17">
            <w:pPr>
              <w:keepNext/>
              <w:spacing w:line="300" w:lineRule="auto"/>
              <w:rPr>
                <w:rFonts w:ascii="Arial" w:hAnsi="Arial" w:cs="Arial"/>
                <w:color w:val="000000"/>
                <w:sz w:val="20"/>
                <w:szCs w:val="20"/>
              </w:rPr>
            </w:pPr>
            <w:r w:rsidRPr="006D3745">
              <w:rPr>
                <w:rFonts w:ascii="Arial" w:hAnsi="Arial" w:cs="Arial"/>
                <w:color w:val="000000"/>
                <w:sz w:val="20"/>
                <w:szCs w:val="20"/>
              </w:rPr>
              <w:t>Fylde/BP Periphery</w:t>
            </w:r>
          </w:p>
        </w:tc>
        <w:tc>
          <w:tcPr>
            <w:tcW w:w="540" w:type="dxa"/>
          </w:tcPr>
          <w:p w14:paraId="3BEF41EF"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No.</w:t>
            </w:r>
          </w:p>
        </w:tc>
        <w:tc>
          <w:tcPr>
            <w:tcW w:w="1094" w:type="dxa"/>
            <w:vAlign w:val="bottom"/>
          </w:tcPr>
          <w:p w14:paraId="64C1300F"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574</w:t>
            </w:r>
          </w:p>
        </w:tc>
        <w:tc>
          <w:tcPr>
            <w:tcW w:w="1094" w:type="dxa"/>
            <w:vAlign w:val="bottom"/>
          </w:tcPr>
          <w:p w14:paraId="625D9F2A"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368</w:t>
            </w:r>
          </w:p>
        </w:tc>
        <w:tc>
          <w:tcPr>
            <w:tcW w:w="1094" w:type="dxa"/>
            <w:vAlign w:val="bottom"/>
          </w:tcPr>
          <w:p w14:paraId="3CB007CB"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541</w:t>
            </w:r>
          </w:p>
        </w:tc>
        <w:tc>
          <w:tcPr>
            <w:tcW w:w="1094" w:type="dxa"/>
            <w:vAlign w:val="bottom"/>
          </w:tcPr>
          <w:p w14:paraId="4827C20D"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403</w:t>
            </w:r>
          </w:p>
        </w:tc>
        <w:tc>
          <w:tcPr>
            <w:tcW w:w="1094" w:type="dxa"/>
            <w:vAlign w:val="bottom"/>
          </w:tcPr>
          <w:p w14:paraId="384C3541"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329</w:t>
            </w:r>
          </w:p>
        </w:tc>
        <w:tc>
          <w:tcPr>
            <w:tcW w:w="1094" w:type="dxa"/>
            <w:vAlign w:val="bottom"/>
          </w:tcPr>
          <w:p w14:paraId="5EA3D1DB"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356</w:t>
            </w:r>
          </w:p>
        </w:tc>
        <w:tc>
          <w:tcPr>
            <w:tcW w:w="1095" w:type="dxa"/>
            <w:vAlign w:val="bottom"/>
          </w:tcPr>
          <w:p w14:paraId="4DB6B731"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2,571</w:t>
            </w:r>
          </w:p>
        </w:tc>
      </w:tr>
      <w:tr w:rsidR="00267663" w:rsidRPr="003D2556" w14:paraId="59B29C65" w14:textId="77777777" w:rsidTr="008469E3">
        <w:tc>
          <w:tcPr>
            <w:tcW w:w="1440" w:type="dxa"/>
            <w:vMerge/>
          </w:tcPr>
          <w:p w14:paraId="65DB8405" w14:textId="77777777" w:rsidR="00267663" w:rsidRPr="006D3745" w:rsidRDefault="00267663" w:rsidP="005F3C17">
            <w:pPr>
              <w:keepNext/>
              <w:spacing w:line="300" w:lineRule="auto"/>
              <w:rPr>
                <w:rFonts w:ascii="Arial" w:hAnsi="Arial" w:cs="Arial"/>
                <w:color w:val="000000"/>
                <w:sz w:val="20"/>
                <w:szCs w:val="20"/>
              </w:rPr>
            </w:pPr>
          </w:p>
        </w:tc>
        <w:tc>
          <w:tcPr>
            <w:tcW w:w="540" w:type="dxa"/>
          </w:tcPr>
          <w:p w14:paraId="3164A8EE"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w:t>
            </w:r>
          </w:p>
        </w:tc>
        <w:tc>
          <w:tcPr>
            <w:tcW w:w="1094" w:type="dxa"/>
            <w:vAlign w:val="bottom"/>
          </w:tcPr>
          <w:p w14:paraId="7DB188A0"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22.3%</w:t>
            </w:r>
          </w:p>
        </w:tc>
        <w:tc>
          <w:tcPr>
            <w:tcW w:w="1094" w:type="dxa"/>
            <w:vAlign w:val="bottom"/>
          </w:tcPr>
          <w:p w14:paraId="1ED35DFC"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14.3%</w:t>
            </w:r>
          </w:p>
        </w:tc>
        <w:tc>
          <w:tcPr>
            <w:tcW w:w="1094" w:type="dxa"/>
            <w:vAlign w:val="bottom"/>
          </w:tcPr>
          <w:p w14:paraId="2DC949C4"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21.0%</w:t>
            </w:r>
          </w:p>
        </w:tc>
        <w:tc>
          <w:tcPr>
            <w:tcW w:w="1094" w:type="dxa"/>
            <w:vAlign w:val="bottom"/>
          </w:tcPr>
          <w:p w14:paraId="1E1FA70B"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15.7%</w:t>
            </w:r>
          </w:p>
        </w:tc>
        <w:tc>
          <w:tcPr>
            <w:tcW w:w="1094" w:type="dxa"/>
            <w:vAlign w:val="bottom"/>
          </w:tcPr>
          <w:p w14:paraId="3F58055F"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12.8%</w:t>
            </w:r>
          </w:p>
        </w:tc>
        <w:tc>
          <w:tcPr>
            <w:tcW w:w="1094" w:type="dxa"/>
            <w:vAlign w:val="bottom"/>
          </w:tcPr>
          <w:p w14:paraId="2ED2E614"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13.8%</w:t>
            </w:r>
          </w:p>
        </w:tc>
        <w:tc>
          <w:tcPr>
            <w:tcW w:w="1095" w:type="dxa"/>
            <w:vAlign w:val="bottom"/>
          </w:tcPr>
          <w:p w14:paraId="6BD15B90"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100.0%</w:t>
            </w:r>
          </w:p>
        </w:tc>
      </w:tr>
      <w:tr w:rsidR="00267663" w:rsidRPr="003D2556" w14:paraId="1E70A065" w14:textId="77777777" w:rsidTr="008469E3">
        <w:tc>
          <w:tcPr>
            <w:tcW w:w="1440" w:type="dxa"/>
            <w:vMerge w:val="restart"/>
          </w:tcPr>
          <w:p w14:paraId="3426BCE9" w14:textId="77777777" w:rsidR="00267663" w:rsidRPr="006D3745" w:rsidRDefault="00267663" w:rsidP="005F3C17">
            <w:pPr>
              <w:keepNext/>
              <w:spacing w:line="300" w:lineRule="auto"/>
              <w:rPr>
                <w:rFonts w:ascii="Arial" w:hAnsi="Arial" w:cs="Arial"/>
                <w:color w:val="000000"/>
                <w:sz w:val="20"/>
                <w:szCs w:val="20"/>
              </w:rPr>
            </w:pPr>
            <w:r w:rsidRPr="006D3745">
              <w:rPr>
                <w:rFonts w:ascii="Arial" w:hAnsi="Arial" w:cs="Arial"/>
                <w:color w:val="000000"/>
                <w:sz w:val="20"/>
                <w:szCs w:val="20"/>
              </w:rPr>
              <w:t>Kirkham</w:t>
            </w:r>
          </w:p>
        </w:tc>
        <w:tc>
          <w:tcPr>
            <w:tcW w:w="540" w:type="dxa"/>
          </w:tcPr>
          <w:p w14:paraId="4D2A17E7"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No.</w:t>
            </w:r>
          </w:p>
        </w:tc>
        <w:tc>
          <w:tcPr>
            <w:tcW w:w="1094" w:type="dxa"/>
            <w:vAlign w:val="bottom"/>
          </w:tcPr>
          <w:p w14:paraId="62E3C9EA"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1,207</w:t>
            </w:r>
          </w:p>
        </w:tc>
        <w:tc>
          <w:tcPr>
            <w:tcW w:w="1094" w:type="dxa"/>
            <w:vAlign w:val="bottom"/>
          </w:tcPr>
          <w:p w14:paraId="57C5FD6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1,327</w:t>
            </w:r>
          </w:p>
        </w:tc>
        <w:tc>
          <w:tcPr>
            <w:tcW w:w="1094" w:type="dxa"/>
            <w:vAlign w:val="bottom"/>
          </w:tcPr>
          <w:p w14:paraId="6197721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892</w:t>
            </w:r>
          </w:p>
        </w:tc>
        <w:tc>
          <w:tcPr>
            <w:tcW w:w="1094" w:type="dxa"/>
            <w:vAlign w:val="bottom"/>
          </w:tcPr>
          <w:p w14:paraId="0A00F177"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1,919</w:t>
            </w:r>
          </w:p>
        </w:tc>
        <w:tc>
          <w:tcPr>
            <w:tcW w:w="1094" w:type="dxa"/>
            <w:vAlign w:val="bottom"/>
          </w:tcPr>
          <w:p w14:paraId="613C278A"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1,448</w:t>
            </w:r>
          </w:p>
        </w:tc>
        <w:tc>
          <w:tcPr>
            <w:tcW w:w="1094" w:type="dxa"/>
            <w:vAlign w:val="bottom"/>
          </w:tcPr>
          <w:p w14:paraId="5BC5B3A5"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862</w:t>
            </w:r>
          </w:p>
        </w:tc>
        <w:tc>
          <w:tcPr>
            <w:tcW w:w="1095" w:type="dxa"/>
            <w:vAlign w:val="bottom"/>
          </w:tcPr>
          <w:p w14:paraId="4A89AAF7"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7,655</w:t>
            </w:r>
          </w:p>
        </w:tc>
      </w:tr>
      <w:tr w:rsidR="00267663" w:rsidRPr="003D2556" w14:paraId="239E83F9" w14:textId="77777777" w:rsidTr="008469E3">
        <w:tc>
          <w:tcPr>
            <w:tcW w:w="1440" w:type="dxa"/>
            <w:vMerge/>
          </w:tcPr>
          <w:p w14:paraId="61C61449" w14:textId="77777777" w:rsidR="00267663" w:rsidRPr="006D3745" w:rsidRDefault="00267663" w:rsidP="005F3C17">
            <w:pPr>
              <w:keepNext/>
              <w:spacing w:line="300" w:lineRule="auto"/>
              <w:rPr>
                <w:rFonts w:ascii="Arial" w:hAnsi="Arial" w:cs="Arial"/>
                <w:color w:val="000000"/>
                <w:sz w:val="20"/>
                <w:szCs w:val="20"/>
              </w:rPr>
            </w:pPr>
          </w:p>
        </w:tc>
        <w:tc>
          <w:tcPr>
            <w:tcW w:w="540" w:type="dxa"/>
          </w:tcPr>
          <w:p w14:paraId="07052D4F"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w:t>
            </w:r>
          </w:p>
        </w:tc>
        <w:tc>
          <w:tcPr>
            <w:tcW w:w="1094" w:type="dxa"/>
            <w:vAlign w:val="bottom"/>
          </w:tcPr>
          <w:p w14:paraId="6CA7DBAE"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15.8%</w:t>
            </w:r>
          </w:p>
        </w:tc>
        <w:tc>
          <w:tcPr>
            <w:tcW w:w="1094" w:type="dxa"/>
            <w:vAlign w:val="bottom"/>
          </w:tcPr>
          <w:p w14:paraId="7EA393F3"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17.3%</w:t>
            </w:r>
          </w:p>
        </w:tc>
        <w:tc>
          <w:tcPr>
            <w:tcW w:w="1094" w:type="dxa"/>
            <w:vAlign w:val="bottom"/>
          </w:tcPr>
          <w:p w14:paraId="646FC74A"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11.6%</w:t>
            </w:r>
          </w:p>
        </w:tc>
        <w:tc>
          <w:tcPr>
            <w:tcW w:w="1094" w:type="dxa"/>
            <w:vAlign w:val="bottom"/>
          </w:tcPr>
          <w:p w14:paraId="2F3D3F05"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25.1%</w:t>
            </w:r>
          </w:p>
        </w:tc>
        <w:tc>
          <w:tcPr>
            <w:tcW w:w="1094" w:type="dxa"/>
            <w:vAlign w:val="bottom"/>
          </w:tcPr>
          <w:p w14:paraId="5BA77430"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18.9%</w:t>
            </w:r>
          </w:p>
        </w:tc>
        <w:tc>
          <w:tcPr>
            <w:tcW w:w="1094" w:type="dxa"/>
            <w:vAlign w:val="bottom"/>
          </w:tcPr>
          <w:p w14:paraId="42213951"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11.3%</w:t>
            </w:r>
          </w:p>
        </w:tc>
        <w:tc>
          <w:tcPr>
            <w:tcW w:w="1095" w:type="dxa"/>
            <w:vAlign w:val="bottom"/>
          </w:tcPr>
          <w:p w14:paraId="0FA0B723"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100.0%</w:t>
            </w:r>
          </w:p>
        </w:tc>
      </w:tr>
      <w:tr w:rsidR="00267663" w:rsidRPr="003D2556" w14:paraId="435548CD" w14:textId="77777777" w:rsidTr="008469E3">
        <w:tc>
          <w:tcPr>
            <w:tcW w:w="1440" w:type="dxa"/>
            <w:vMerge w:val="restart"/>
          </w:tcPr>
          <w:p w14:paraId="13399B29" w14:textId="77777777" w:rsidR="00267663" w:rsidRPr="006D3745" w:rsidRDefault="00267663" w:rsidP="005F3C17">
            <w:pPr>
              <w:keepNext/>
              <w:spacing w:line="300" w:lineRule="auto"/>
              <w:rPr>
                <w:rFonts w:ascii="Arial" w:hAnsi="Arial" w:cs="Arial"/>
                <w:sz w:val="20"/>
                <w:szCs w:val="20"/>
              </w:rPr>
            </w:pPr>
            <w:r w:rsidRPr="006D3745">
              <w:rPr>
                <w:rFonts w:ascii="Arial" w:hAnsi="Arial" w:cs="Arial"/>
                <w:sz w:val="20"/>
                <w:szCs w:val="20"/>
              </w:rPr>
              <w:t>Wesham</w:t>
            </w:r>
          </w:p>
        </w:tc>
        <w:tc>
          <w:tcPr>
            <w:tcW w:w="540" w:type="dxa"/>
          </w:tcPr>
          <w:p w14:paraId="2402341C"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No.</w:t>
            </w:r>
          </w:p>
        </w:tc>
        <w:tc>
          <w:tcPr>
            <w:tcW w:w="1094" w:type="dxa"/>
            <w:vAlign w:val="bottom"/>
          </w:tcPr>
          <w:p w14:paraId="0395E334"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874</w:t>
            </w:r>
          </w:p>
        </w:tc>
        <w:tc>
          <w:tcPr>
            <w:tcW w:w="1094" w:type="dxa"/>
            <w:vAlign w:val="bottom"/>
          </w:tcPr>
          <w:p w14:paraId="2839EAE1"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606</w:t>
            </w:r>
          </w:p>
        </w:tc>
        <w:tc>
          <w:tcPr>
            <w:tcW w:w="1094" w:type="dxa"/>
            <w:vAlign w:val="bottom"/>
          </w:tcPr>
          <w:p w14:paraId="50F47AED"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965</w:t>
            </w:r>
          </w:p>
        </w:tc>
        <w:tc>
          <w:tcPr>
            <w:tcW w:w="1094" w:type="dxa"/>
            <w:vAlign w:val="bottom"/>
          </w:tcPr>
          <w:p w14:paraId="4E1CB0FC"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946</w:t>
            </w:r>
          </w:p>
        </w:tc>
        <w:tc>
          <w:tcPr>
            <w:tcW w:w="1094" w:type="dxa"/>
            <w:vAlign w:val="bottom"/>
          </w:tcPr>
          <w:p w14:paraId="3DBE9A0D"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804</w:t>
            </w:r>
          </w:p>
        </w:tc>
        <w:tc>
          <w:tcPr>
            <w:tcW w:w="1094" w:type="dxa"/>
            <w:vAlign w:val="bottom"/>
          </w:tcPr>
          <w:p w14:paraId="5428AAC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257</w:t>
            </w:r>
          </w:p>
        </w:tc>
        <w:tc>
          <w:tcPr>
            <w:tcW w:w="1095" w:type="dxa"/>
            <w:vAlign w:val="bottom"/>
          </w:tcPr>
          <w:p w14:paraId="372C8E21"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4,452</w:t>
            </w:r>
          </w:p>
        </w:tc>
      </w:tr>
      <w:tr w:rsidR="00267663" w:rsidRPr="003D2556" w14:paraId="7990070B" w14:textId="77777777" w:rsidTr="008469E3">
        <w:tc>
          <w:tcPr>
            <w:tcW w:w="1440" w:type="dxa"/>
            <w:vMerge/>
          </w:tcPr>
          <w:p w14:paraId="39D6BEE2" w14:textId="77777777" w:rsidR="00267663" w:rsidRPr="006D3745" w:rsidRDefault="00267663" w:rsidP="005F3C17">
            <w:pPr>
              <w:keepNext/>
              <w:spacing w:line="300" w:lineRule="auto"/>
              <w:rPr>
                <w:rFonts w:ascii="Arial" w:hAnsi="Arial" w:cs="Arial"/>
                <w:sz w:val="20"/>
                <w:szCs w:val="20"/>
              </w:rPr>
            </w:pPr>
          </w:p>
        </w:tc>
        <w:tc>
          <w:tcPr>
            <w:tcW w:w="540" w:type="dxa"/>
          </w:tcPr>
          <w:p w14:paraId="7E65B8D8"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w:t>
            </w:r>
          </w:p>
        </w:tc>
        <w:tc>
          <w:tcPr>
            <w:tcW w:w="1094" w:type="dxa"/>
            <w:vAlign w:val="bottom"/>
          </w:tcPr>
          <w:p w14:paraId="1F712105"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19.6%</w:t>
            </w:r>
          </w:p>
        </w:tc>
        <w:tc>
          <w:tcPr>
            <w:tcW w:w="1094" w:type="dxa"/>
            <w:vAlign w:val="bottom"/>
          </w:tcPr>
          <w:p w14:paraId="520C7BAE"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13.6%</w:t>
            </w:r>
          </w:p>
        </w:tc>
        <w:tc>
          <w:tcPr>
            <w:tcW w:w="1094" w:type="dxa"/>
            <w:vAlign w:val="bottom"/>
          </w:tcPr>
          <w:p w14:paraId="43F1AB43"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21.7%</w:t>
            </w:r>
          </w:p>
        </w:tc>
        <w:tc>
          <w:tcPr>
            <w:tcW w:w="1094" w:type="dxa"/>
            <w:vAlign w:val="bottom"/>
          </w:tcPr>
          <w:p w14:paraId="2943F625"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21.2%</w:t>
            </w:r>
          </w:p>
        </w:tc>
        <w:tc>
          <w:tcPr>
            <w:tcW w:w="1094" w:type="dxa"/>
            <w:vAlign w:val="bottom"/>
          </w:tcPr>
          <w:p w14:paraId="2F46A3E3"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18.1%</w:t>
            </w:r>
          </w:p>
        </w:tc>
        <w:tc>
          <w:tcPr>
            <w:tcW w:w="1094" w:type="dxa"/>
            <w:vAlign w:val="bottom"/>
          </w:tcPr>
          <w:p w14:paraId="440A0904"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5.8%</w:t>
            </w:r>
          </w:p>
        </w:tc>
        <w:tc>
          <w:tcPr>
            <w:tcW w:w="1095" w:type="dxa"/>
            <w:vAlign w:val="bottom"/>
          </w:tcPr>
          <w:p w14:paraId="5008B837"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100.0%</w:t>
            </w:r>
          </w:p>
        </w:tc>
      </w:tr>
      <w:tr w:rsidR="00267663" w:rsidRPr="003D2556" w14:paraId="30BB99A8" w14:textId="77777777" w:rsidTr="008469E3">
        <w:tc>
          <w:tcPr>
            <w:tcW w:w="1440" w:type="dxa"/>
            <w:vMerge w:val="restart"/>
          </w:tcPr>
          <w:p w14:paraId="256B34DF" w14:textId="77777777" w:rsidR="00267663" w:rsidRPr="006D3745" w:rsidRDefault="00267663" w:rsidP="005F3C17">
            <w:pPr>
              <w:keepNext/>
              <w:spacing w:line="300" w:lineRule="auto"/>
              <w:rPr>
                <w:rFonts w:ascii="Arial" w:hAnsi="Arial" w:cs="Arial"/>
                <w:sz w:val="20"/>
                <w:szCs w:val="20"/>
              </w:rPr>
            </w:pPr>
            <w:r w:rsidRPr="006D3745">
              <w:rPr>
                <w:rFonts w:ascii="Arial" w:hAnsi="Arial" w:cs="Arial"/>
                <w:sz w:val="20"/>
                <w:szCs w:val="20"/>
              </w:rPr>
              <w:t>Freckleton</w:t>
            </w:r>
          </w:p>
        </w:tc>
        <w:tc>
          <w:tcPr>
            <w:tcW w:w="540" w:type="dxa"/>
          </w:tcPr>
          <w:p w14:paraId="1CD81CDD"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No.</w:t>
            </w:r>
          </w:p>
        </w:tc>
        <w:tc>
          <w:tcPr>
            <w:tcW w:w="1094" w:type="dxa"/>
            <w:vAlign w:val="bottom"/>
          </w:tcPr>
          <w:p w14:paraId="29D81990"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641</w:t>
            </w:r>
          </w:p>
        </w:tc>
        <w:tc>
          <w:tcPr>
            <w:tcW w:w="1094" w:type="dxa"/>
            <w:vAlign w:val="bottom"/>
          </w:tcPr>
          <w:p w14:paraId="6259638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945</w:t>
            </w:r>
          </w:p>
        </w:tc>
        <w:tc>
          <w:tcPr>
            <w:tcW w:w="1094" w:type="dxa"/>
            <w:vAlign w:val="bottom"/>
          </w:tcPr>
          <w:p w14:paraId="1A4C376B"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835</w:t>
            </w:r>
          </w:p>
        </w:tc>
        <w:tc>
          <w:tcPr>
            <w:tcW w:w="1094" w:type="dxa"/>
            <w:vAlign w:val="bottom"/>
          </w:tcPr>
          <w:p w14:paraId="78F6C3A2"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1,195</w:t>
            </w:r>
          </w:p>
        </w:tc>
        <w:tc>
          <w:tcPr>
            <w:tcW w:w="1094" w:type="dxa"/>
            <w:vAlign w:val="bottom"/>
          </w:tcPr>
          <w:p w14:paraId="2DBC0DCC"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1,294</w:t>
            </w:r>
          </w:p>
        </w:tc>
        <w:tc>
          <w:tcPr>
            <w:tcW w:w="1094" w:type="dxa"/>
            <w:vAlign w:val="bottom"/>
          </w:tcPr>
          <w:p w14:paraId="226A0CF9"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776</w:t>
            </w:r>
          </w:p>
        </w:tc>
        <w:tc>
          <w:tcPr>
            <w:tcW w:w="1095" w:type="dxa"/>
            <w:vAlign w:val="bottom"/>
          </w:tcPr>
          <w:p w14:paraId="59807955"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5,687</w:t>
            </w:r>
          </w:p>
        </w:tc>
      </w:tr>
      <w:tr w:rsidR="00267663" w:rsidRPr="003D2556" w14:paraId="0E6A9940" w14:textId="77777777" w:rsidTr="008469E3">
        <w:tc>
          <w:tcPr>
            <w:tcW w:w="1440" w:type="dxa"/>
            <w:vMerge/>
          </w:tcPr>
          <w:p w14:paraId="28028B76" w14:textId="77777777" w:rsidR="00267663" w:rsidRPr="006D3745" w:rsidRDefault="00267663" w:rsidP="005F3C17">
            <w:pPr>
              <w:keepNext/>
              <w:spacing w:line="300" w:lineRule="auto"/>
              <w:rPr>
                <w:rFonts w:ascii="Arial" w:hAnsi="Arial" w:cs="Arial"/>
                <w:sz w:val="20"/>
                <w:szCs w:val="20"/>
              </w:rPr>
            </w:pPr>
          </w:p>
        </w:tc>
        <w:tc>
          <w:tcPr>
            <w:tcW w:w="540" w:type="dxa"/>
          </w:tcPr>
          <w:p w14:paraId="04AD0803"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w:t>
            </w:r>
          </w:p>
        </w:tc>
        <w:tc>
          <w:tcPr>
            <w:tcW w:w="1094" w:type="dxa"/>
            <w:vAlign w:val="bottom"/>
          </w:tcPr>
          <w:p w14:paraId="7D18FBE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11.3%</w:t>
            </w:r>
          </w:p>
        </w:tc>
        <w:tc>
          <w:tcPr>
            <w:tcW w:w="1094" w:type="dxa"/>
            <w:vAlign w:val="bottom"/>
          </w:tcPr>
          <w:p w14:paraId="4284E28D"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16.6%</w:t>
            </w:r>
          </w:p>
        </w:tc>
        <w:tc>
          <w:tcPr>
            <w:tcW w:w="1094" w:type="dxa"/>
            <w:vAlign w:val="bottom"/>
          </w:tcPr>
          <w:p w14:paraId="7EF40B05"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14.7%</w:t>
            </w:r>
          </w:p>
        </w:tc>
        <w:tc>
          <w:tcPr>
            <w:tcW w:w="1094" w:type="dxa"/>
            <w:vAlign w:val="bottom"/>
          </w:tcPr>
          <w:p w14:paraId="7357A9D0"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21.0%</w:t>
            </w:r>
          </w:p>
        </w:tc>
        <w:tc>
          <w:tcPr>
            <w:tcW w:w="1094" w:type="dxa"/>
            <w:vAlign w:val="bottom"/>
          </w:tcPr>
          <w:p w14:paraId="051A7917"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22.8%</w:t>
            </w:r>
          </w:p>
        </w:tc>
        <w:tc>
          <w:tcPr>
            <w:tcW w:w="1094" w:type="dxa"/>
            <w:vAlign w:val="bottom"/>
          </w:tcPr>
          <w:p w14:paraId="63A429D1"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13.7%</w:t>
            </w:r>
          </w:p>
        </w:tc>
        <w:tc>
          <w:tcPr>
            <w:tcW w:w="1095" w:type="dxa"/>
            <w:vAlign w:val="bottom"/>
          </w:tcPr>
          <w:p w14:paraId="2BE51530"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100.0%</w:t>
            </w:r>
          </w:p>
        </w:tc>
      </w:tr>
      <w:tr w:rsidR="00267663" w:rsidRPr="003D2556" w14:paraId="5F61D519" w14:textId="77777777" w:rsidTr="008469E3">
        <w:tc>
          <w:tcPr>
            <w:tcW w:w="1440" w:type="dxa"/>
            <w:vMerge w:val="restart"/>
          </w:tcPr>
          <w:p w14:paraId="2A85D251" w14:textId="77777777" w:rsidR="00267663" w:rsidRPr="006D3745" w:rsidRDefault="00267663" w:rsidP="005F3C17">
            <w:pPr>
              <w:keepNext/>
              <w:spacing w:line="300" w:lineRule="auto"/>
              <w:rPr>
                <w:rFonts w:ascii="Arial" w:hAnsi="Arial" w:cs="Arial"/>
                <w:sz w:val="20"/>
                <w:szCs w:val="20"/>
              </w:rPr>
            </w:pPr>
            <w:r w:rsidRPr="006D3745">
              <w:rPr>
                <w:rFonts w:ascii="Arial" w:hAnsi="Arial" w:cs="Arial"/>
                <w:sz w:val="20"/>
                <w:szCs w:val="20"/>
              </w:rPr>
              <w:t>Rural North</w:t>
            </w:r>
          </w:p>
        </w:tc>
        <w:tc>
          <w:tcPr>
            <w:tcW w:w="540" w:type="dxa"/>
          </w:tcPr>
          <w:p w14:paraId="6AE22B64"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No.</w:t>
            </w:r>
          </w:p>
        </w:tc>
        <w:tc>
          <w:tcPr>
            <w:tcW w:w="1094" w:type="dxa"/>
            <w:vAlign w:val="bottom"/>
          </w:tcPr>
          <w:p w14:paraId="01A77D7D"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777</w:t>
            </w:r>
          </w:p>
        </w:tc>
        <w:tc>
          <w:tcPr>
            <w:tcW w:w="1094" w:type="dxa"/>
            <w:vAlign w:val="bottom"/>
          </w:tcPr>
          <w:p w14:paraId="1185D617"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841</w:t>
            </w:r>
          </w:p>
        </w:tc>
        <w:tc>
          <w:tcPr>
            <w:tcW w:w="1094" w:type="dxa"/>
            <w:vAlign w:val="bottom"/>
          </w:tcPr>
          <w:p w14:paraId="5672F43E"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796</w:t>
            </w:r>
          </w:p>
        </w:tc>
        <w:tc>
          <w:tcPr>
            <w:tcW w:w="1094" w:type="dxa"/>
            <w:vAlign w:val="bottom"/>
          </w:tcPr>
          <w:p w14:paraId="1310C33C"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1,674</w:t>
            </w:r>
          </w:p>
        </w:tc>
        <w:tc>
          <w:tcPr>
            <w:tcW w:w="1094" w:type="dxa"/>
            <w:vAlign w:val="bottom"/>
          </w:tcPr>
          <w:p w14:paraId="051E825B"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1,602</w:t>
            </w:r>
          </w:p>
        </w:tc>
        <w:tc>
          <w:tcPr>
            <w:tcW w:w="1094" w:type="dxa"/>
            <w:vAlign w:val="bottom"/>
          </w:tcPr>
          <w:p w14:paraId="7E7BA151"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683</w:t>
            </w:r>
          </w:p>
        </w:tc>
        <w:tc>
          <w:tcPr>
            <w:tcW w:w="1095" w:type="dxa"/>
            <w:vAlign w:val="bottom"/>
          </w:tcPr>
          <w:p w14:paraId="67E88C7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6,374</w:t>
            </w:r>
          </w:p>
        </w:tc>
      </w:tr>
      <w:tr w:rsidR="00267663" w:rsidRPr="003D2556" w14:paraId="5AC49C06" w14:textId="77777777" w:rsidTr="008469E3">
        <w:tc>
          <w:tcPr>
            <w:tcW w:w="1440" w:type="dxa"/>
            <w:vMerge/>
          </w:tcPr>
          <w:p w14:paraId="47390370" w14:textId="77777777" w:rsidR="00267663" w:rsidRPr="006D3745" w:rsidRDefault="00267663" w:rsidP="005F3C17">
            <w:pPr>
              <w:keepNext/>
              <w:spacing w:line="300" w:lineRule="auto"/>
              <w:rPr>
                <w:rFonts w:ascii="Arial" w:hAnsi="Arial" w:cs="Arial"/>
                <w:sz w:val="20"/>
                <w:szCs w:val="20"/>
              </w:rPr>
            </w:pPr>
          </w:p>
        </w:tc>
        <w:tc>
          <w:tcPr>
            <w:tcW w:w="540" w:type="dxa"/>
          </w:tcPr>
          <w:p w14:paraId="7145B3FB"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w:t>
            </w:r>
          </w:p>
        </w:tc>
        <w:tc>
          <w:tcPr>
            <w:tcW w:w="1094" w:type="dxa"/>
            <w:vAlign w:val="bottom"/>
          </w:tcPr>
          <w:p w14:paraId="1A168B4A"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12.2%</w:t>
            </w:r>
          </w:p>
        </w:tc>
        <w:tc>
          <w:tcPr>
            <w:tcW w:w="1094" w:type="dxa"/>
            <w:vAlign w:val="bottom"/>
          </w:tcPr>
          <w:p w14:paraId="6DEA46F5"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13.2%</w:t>
            </w:r>
          </w:p>
        </w:tc>
        <w:tc>
          <w:tcPr>
            <w:tcW w:w="1094" w:type="dxa"/>
            <w:vAlign w:val="bottom"/>
          </w:tcPr>
          <w:p w14:paraId="4FB1243B"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12.5%</w:t>
            </w:r>
          </w:p>
        </w:tc>
        <w:tc>
          <w:tcPr>
            <w:tcW w:w="1094" w:type="dxa"/>
            <w:vAlign w:val="bottom"/>
          </w:tcPr>
          <w:p w14:paraId="59C7D5C1"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26.3%</w:t>
            </w:r>
          </w:p>
        </w:tc>
        <w:tc>
          <w:tcPr>
            <w:tcW w:w="1094" w:type="dxa"/>
            <w:vAlign w:val="bottom"/>
          </w:tcPr>
          <w:p w14:paraId="626043A6"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25.1%</w:t>
            </w:r>
          </w:p>
        </w:tc>
        <w:tc>
          <w:tcPr>
            <w:tcW w:w="1094" w:type="dxa"/>
            <w:vAlign w:val="bottom"/>
          </w:tcPr>
          <w:p w14:paraId="22101EC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10.7%</w:t>
            </w:r>
          </w:p>
        </w:tc>
        <w:tc>
          <w:tcPr>
            <w:tcW w:w="1095" w:type="dxa"/>
            <w:vAlign w:val="bottom"/>
          </w:tcPr>
          <w:p w14:paraId="5F79B293"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100.0%</w:t>
            </w:r>
          </w:p>
        </w:tc>
      </w:tr>
      <w:tr w:rsidR="00267663" w:rsidRPr="003D2556" w14:paraId="03B821A9" w14:textId="77777777" w:rsidTr="008469E3">
        <w:tc>
          <w:tcPr>
            <w:tcW w:w="1440" w:type="dxa"/>
            <w:vMerge w:val="restart"/>
          </w:tcPr>
          <w:p w14:paraId="43A27E3A" w14:textId="77777777" w:rsidR="00267663" w:rsidRPr="006D3745" w:rsidRDefault="00267663" w:rsidP="005F3C17">
            <w:pPr>
              <w:keepNext/>
              <w:spacing w:line="300" w:lineRule="auto"/>
              <w:rPr>
                <w:rFonts w:ascii="Arial" w:hAnsi="Arial" w:cs="Arial"/>
                <w:sz w:val="20"/>
                <w:szCs w:val="20"/>
              </w:rPr>
            </w:pPr>
            <w:r w:rsidRPr="006D3745">
              <w:rPr>
                <w:rFonts w:ascii="Arial" w:hAnsi="Arial" w:cs="Arial"/>
                <w:sz w:val="20"/>
                <w:szCs w:val="20"/>
              </w:rPr>
              <w:t>Rural West</w:t>
            </w:r>
          </w:p>
        </w:tc>
        <w:tc>
          <w:tcPr>
            <w:tcW w:w="540" w:type="dxa"/>
          </w:tcPr>
          <w:p w14:paraId="4BD14E10"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No.</w:t>
            </w:r>
          </w:p>
        </w:tc>
        <w:tc>
          <w:tcPr>
            <w:tcW w:w="1094" w:type="dxa"/>
            <w:vAlign w:val="bottom"/>
          </w:tcPr>
          <w:p w14:paraId="37AC913B"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359</w:t>
            </w:r>
          </w:p>
        </w:tc>
        <w:tc>
          <w:tcPr>
            <w:tcW w:w="1094" w:type="dxa"/>
            <w:vAlign w:val="bottom"/>
          </w:tcPr>
          <w:p w14:paraId="724C60F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321</w:t>
            </w:r>
          </w:p>
        </w:tc>
        <w:tc>
          <w:tcPr>
            <w:tcW w:w="1094" w:type="dxa"/>
            <w:vAlign w:val="bottom"/>
          </w:tcPr>
          <w:p w14:paraId="7730F071"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373</w:t>
            </w:r>
          </w:p>
        </w:tc>
        <w:tc>
          <w:tcPr>
            <w:tcW w:w="1094" w:type="dxa"/>
            <w:vAlign w:val="bottom"/>
          </w:tcPr>
          <w:p w14:paraId="2B85240D"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596</w:t>
            </w:r>
          </w:p>
        </w:tc>
        <w:tc>
          <w:tcPr>
            <w:tcW w:w="1094" w:type="dxa"/>
            <w:vAlign w:val="bottom"/>
          </w:tcPr>
          <w:p w14:paraId="2DC4CA16"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671</w:t>
            </w:r>
          </w:p>
        </w:tc>
        <w:tc>
          <w:tcPr>
            <w:tcW w:w="1094" w:type="dxa"/>
            <w:vAlign w:val="bottom"/>
          </w:tcPr>
          <w:p w14:paraId="71896CC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522</w:t>
            </w:r>
          </w:p>
        </w:tc>
        <w:tc>
          <w:tcPr>
            <w:tcW w:w="1095" w:type="dxa"/>
            <w:vAlign w:val="bottom"/>
          </w:tcPr>
          <w:p w14:paraId="401F16BD"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2,843</w:t>
            </w:r>
          </w:p>
        </w:tc>
      </w:tr>
      <w:tr w:rsidR="00267663" w:rsidRPr="003D2556" w14:paraId="5DD9329C" w14:textId="77777777" w:rsidTr="008469E3">
        <w:tc>
          <w:tcPr>
            <w:tcW w:w="1440" w:type="dxa"/>
            <w:vMerge/>
          </w:tcPr>
          <w:p w14:paraId="49F0116F" w14:textId="77777777" w:rsidR="00267663" w:rsidRPr="006D3745" w:rsidRDefault="00267663" w:rsidP="005F3C17">
            <w:pPr>
              <w:keepNext/>
              <w:spacing w:line="300" w:lineRule="auto"/>
              <w:rPr>
                <w:rFonts w:ascii="Arial" w:hAnsi="Arial" w:cs="Arial"/>
                <w:sz w:val="20"/>
                <w:szCs w:val="20"/>
              </w:rPr>
            </w:pPr>
          </w:p>
        </w:tc>
        <w:tc>
          <w:tcPr>
            <w:tcW w:w="540" w:type="dxa"/>
          </w:tcPr>
          <w:p w14:paraId="19D99C47" w14:textId="77777777" w:rsidR="00267663" w:rsidRPr="006D3745" w:rsidRDefault="00267663" w:rsidP="00172F56">
            <w:pPr>
              <w:keepNext/>
              <w:spacing w:line="300" w:lineRule="auto"/>
              <w:rPr>
                <w:rFonts w:ascii="Arial" w:hAnsi="Arial" w:cs="Arial"/>
                <w:color w:val="000000"/>
                <w:sz w:val="20"/>
                <w:szCs w:val="20"/>
              </w:rPr>
            </w:pPr>
            <w:r w:rsidRPr="006D3745">
              <w:rPr>
                <w:rFonts w:ascii="Arial" w:hAnsi="Arial" w:cs="Arial"/>
                <w:color w:val="000000"/>
                <w:sz w:val="20"/>
                <w:szCs w:val="20"/>
              </w:rPr>
              <w:t>%</w:t>
            </w:r>
          </w:p>
        </w:tc>
        <w:tc>
          <w:tcPr>
            <w:tcW w:w="1094" w:type="dxa"/>
            <w:vAlign w:val="bottom"/>
          </w:tcPr>
          <w:p w14:paraId="4C4D182C"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12.6%</w:t>
            </w:r>
          </w:p>
        </w:tc>
        <w:tc>
          <w:tcPr>
            <w:tcW w:w="1094" w:type="dxa"/>
            <w:vAlign w:val="bottom"/>
          </w:tcPr>
          <w:p w14:paraId="44A53BA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11.3%</w:t>
            </w:r>
          </w:p>
        </w:tc>
        <w:tc>
          <w:tcPr>
            <w:tcW w:w="1094" w:type="dxa"/>
            <w:vAlign w:val="bottom"/>
          </w:tcPr>
          <w:p w14:paraId="11EE768C"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13.1%</w:t>
            </w:r>
          </w:p>
        </w:tc>
        <w:tc>
          <w:tcPr>
            <w:tcW w:w="1094" w:type="dxa"/>
            <w:vAlign w:val="bottom"/>
          </w:tcPr>
          <w:p w14:paraId="04469C86"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21.0%</w:t>
            </w:r>
          </w:p>
        </w:tc>
        <w:tc>
          <w:tcPr>
            <w:tcW w:w="1094" w:type="dxa"/>
            <w:vAlign w:val="bottom"/>
          </w:tcPr>
          <w:p w14:paraId="23EF74FB"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23.6%</w:t>
            </w:r>
          </w:p>
        </w:tc>
        <w:tc>
          <w:tcPr>
            <w:tcW w:w="1094" w:type="dxa"/>
            <w:vAlign w:val="bottom"/>
          </w:tcPr>
          <w:p w14:paraId="346792C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18.4%</w:t>
            </w:r>
          </w:p>
        </w:tc>
        <w:tc>
          <w:tcPr>
            <w:tcW w:w="1095" w:type="dxa"/>
            <w:vAlign w:val="bottom"/>
          </w:tcPr>
          <w:p w14:paraId="0476D515"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100.0%</w:t>
            </w:r>
          </w:p>
        </w:tc>
      </w:tr>
      <w:tr w:rsidR="00267663" w:rsidRPr="008724E9" w14:paraId="4333131C" w14:textId="77777777" w:rsidTr="008469E3">
        <w:tc>
          <w:tcPr>
            <w:tcW w:w="1440" w:type="dxa"/>
            <w:vMerge w:val="restart"/>
          </w:tcPr>
          <w:p w14:paraId="70777C69" w14:textId="77777777" w:rsidR="00267663" w:rsidRPr="006D3745" w:rsidRDefault="00267663" w:rsidP="005F3C17">
            <w:pPr>
              <w:keepNext/>
              <w:spacing w:line="300" w:lineRule="auto"/>
              <w:rPr>
                <w:rFonts w:ascii="Arial" w:hAnsi="Arial" w:cs="Arial"/>
                <w:sz w:val="20"/>
                <w:szCs w:val="20"/>
              </w:rPr>
            </w:pPr>
            <w:r w:rsidRPr="006D3745">
              <w:rPr>
                <w:rFonts w:ascii="Arial" w:hAnsi="Arial" w:cs="Arial"/>
                <w:sz w:val="20"/>
                <w:szCs w:val="20"/>
              </w:rPr>
              <w:t>Rural East</w:t>
            </w:r>
          </w:p>
        </w:tc>
        <w:tc>
          <w:tcPr>
            <w:tcW w:w="540" w:type="dxa"/>
          </w:tcPr>
          <w:p w14:paraId="32ECBE02" w14:textId="77777777" w:rsidR="00267663" w:rsidRPr="006D3745" w:rsidRDefault="00267663" w:rsidP="00172F56">
            <w:pPr>
              <w:keepNext/>
              <w:spacing w:line="300" w:lineRule="auto"/>
              <w:rPr>
                <w:rFonts w:ascii="Arial" w:hAnsi="Arial" w:cs="Arial"/>
                <w:sz w:val="20"/>
                <w:szCs w:val="20"/>
              </w:rPr>
            </w:pPr>
            <w:r w:rsidRPr="006D3745">
              <w:rPr>
                <w:rFonts w:ascii="Arial" w:hAnsi="Arial" w:cs="Arial"/>
                <w:sz w:val="20"/>
                <w:szCs w:val="20"/>
              </w:rPr>
              <w:t>No.</w:t>
            </w:r>
          </w:p>
        </w:tc>
        <w:tc>
          <w:tcPr>
            <w:tcW w:w="1094" w:type="dxa"/>
            <w:vAlign w:val="bottom"/>
          </w:tcPr>
          <w:p w14:paraId="3F4221ED"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349</w:t>
            </w:r>
          </w:p>
        </w:tc>
        <w:tc>
          <w:tcPr>
            <w:tcW w:w="1094" w:type="dxa"/>
            <w:vAlign w:val="bottom"/>
          </w:tcPr>
          <w:p w14:paraId="671C5AB6"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405</w:t>
            </w:r>
          </w:p>
        </w:tc>
        <w:tc>
          <w:tcPr>
            <w:tcW w:w="1094" w:type="dxa"/>
            <w:vAlign w:val="bottom"/>
          </w:tcPr>
          <w:p w14:paraId="45D0DB3F"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438</w:t>
            </w:r>
          </w:p>
        </w:tc>
        <w:tc>
          <w:tcPr>
            <w:tcW w:w="1094" w:type="dxa"/>
            <w:vAlign w:val="bottom"/>
          </w:tcPr>
          <w:p w14:paraId="7877E5A3"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689</w:t>
            </w:r>
          </w:p>
        </w:tc>
        <w:tc>
          <w:tcPr>
            <w:tcW w:w="1094" w:type="dxa"/>
            <w:vAlign w:val="bottom"/>
          </w:tcPr>
          <w:p w14:paraId="2AB191AE"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742</w:t>
            </w:r>
          </w:p>
        </w:tc>
        <w:tc>
          <w:tcPr>
            <w:tcW w:w="1094" w:type="dxa"/>
            <w:vAlign w:val="bottom"/>
          </w:tcPr>
          <w:p w14:paraId="792E969A"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380</w:t>
            </w:r>
          </w:p>
        </w:tc>
        <w:tc>
          <w:tcPr>
            <w:tcW w:w="1095" w:type="dxa"/>
            <w:vAlign w:val="bottom"/>
          </w:tcPr>
          <w:p w14:paraId="0B547C59"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3,002</w:t>
            </w:r>
          </w:p>
        </w:tc>
      </w:tr>
      <w:tr w:rsidR="00267663" w:rsidRPr="008724E9" w14:paraId="52FA3584" w14:textId="77777777" w:rsidTr="008469E3">
        <w:tc>
          <w:tcPr>
            <w:tcW w:w="1440" w:type="dxa"/>
            <w:vMerge/>
          </w:tcPr>
          <w:p w14:paraId="1970FC88" w14:textId="77777777" w:rsidR="00267663" w:rsidRPr="006D3745" w:rsidRDefault="00267663" w:rsidP="005F3C17">
            <w:pPr>
              <w:keepNext/>
              <w:spacing w:line="300" w:lineRule="auto"/>
              <w:rPr>
                <w:rFonts w:ascii="Arial" w:hAnsi="Arial" w:cs="Arial"/>
                <w:sz w:val="20"/>
                <w:szCs w:val="20"/>
              </w:rPr>
            </w:pPr>
          </w:p>
        </w:tc>
        <w:tc>
          <w:tcPr>
            <w:tcW w:w="540" w:type="dxa"/>
          </w:tcPr>
          <w:p w14:paraId="1E949B57" w14:textId="77777777" w:rsidR="00267663" w:rsidRPr="006D3745" w:rsidRDefault="00267663" w:rsidP="00172F56">
            <w:pPr>
              <w:keepNext/>
              <w:spacing w:line="300" w:lineRule="auto"/>
              <w:rPr>
                <w:rFonts w:ascii="Arial" w:hAnsi="Arial" w:cs="Arial"/>
                <w:sz w:val="20"/>
                <w:szCs w:val="20"/>
              </w:rPr>
            </w:pPr>
            <w:r w:rsidRPr="006D3745">
              <w:rPr>
                <w:rFonts w:ascii="Arial" w:hAnsi="Arial" w:cs="Arial"/>
                <w:sz w:val="20"/>
                <w:szCs w:val="20"/>
              </w:rPr>
              <w:t>%</w:t>
            </w:r>
          </w:p>
        </w:tc>
        <w:tc>
          <w:tcPr>
            <w:tcW w:w="1094" w:type="dxa"/>
            <w:vAlign w:val="bottom"/>
          </w:tcPr>
          <w:p w14:paraId="4618195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11.6%</w:t>
            </w:r>
          </w:p>
        </w:tc>
        <w:tc>
          <w:tcPr>
            <w:tcW w:w="1094" w:type="dxa"/>
            <w:vAlign w:val="bottom"/>
          </w:tcPr>
          <w:p w14:paraId="25911C69"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13.5%</w:t>
            </w:r>
          </w:p>
        </w:tc>
        <w:tc>
          <w:tcPr>
            <w:tcW w:w="1094" w:type="dxa"/>
            <w:vAlign w:val="bottom"/>
          </w:tcPr>
          <w:p w14:paraId="4AFBC102"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14.6%</w:t>
            </w:r>
          </w:p>
        </w:tc>
        <w:tc>
          <w:tcPr>
            <w:tcW w:w="1094" w:type="dxa"/>
            <w:vAlign w:val="bottom"/>
          </w:tcPr>
          <w:p w14:paraId="372853E7"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22.9%</w:t>
            </w:r>
          </w:p>
        </w:tc>
        <w:tc>
          <w:tcPr>
            <w:tcW w:w="1094" w:type="dxa"/>
            <w:vAlign w:val="bottom"/>
          </w:tcPr>
          <w:p w14:paraId="21278728"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24.7%</w:t>
            </w:r>
          </w:p>
        </w:tc>
        <w:tc>
          <w:tcPr>
            <w:tcW w:w="1094" w:type="dxa"/>
            <w:vAlign w:val="bottom"/>
          </w:tcPr>
          <w:p w14:paraId="0478D2E4"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12.6%</w:t>
            </w:r>
          </w:p>
        </w:tc>
        <w:tc>
          <w:tcPr>
            <w:tcW w:w="1095" w:type="dxa"/>
            <w:vAlign w:val="bottom"/>
          </w:tcPr>
          <w:p w14:paraId="2A3F21A3"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100.0%</w:t>
            </w:r>
          </w:p>
        </w:tc>
      </w:tr>
      <w:tr w:rsidR="00267663" w:rsidRPr="008724E9" w14:paraId="2C955B97" w14:textId="77777777" w:rsidTr="008469E3">
        <w:tc>
          <w:tcPr>
            <w:tcW w:w="1440" w:type="dxa"/>
            <w:vMerge w:val="restart"/>
          </w:tcPr>
          <w:p w14:paraId="63E3F7D8" w14:textId="77777777" w:rsidR="00267663" w:rsidRPr="006D3745" w:rsidRDefault="00267663" w:rsidP="005F3C17">
            <w:pPr>
              <w:keepNext/>
              <w:widowControl w:val="0"/>
              <w:spacing w:line="300" w:lineRule="auto"/>
              <w:rPr>
                <w:rFonts w:ascii="Arial" w:hAnsi="Arial" w:cs="Arial"/>
                <w:sz w:val="20"/>
                <w:szCs w:val="20"/>
              </w:rPr>
            </w:pPr>
            <w:r w:rsidRPr="006D3745">
              <w:rPr>
                <w:rFonts w:ascii="Arial" w:hAnsi="Arial" w:cs="Arial"/>
                <w:sz w:val="20"/>
                <w:szCs w:val="20"/>
              </w:rPr>
              <w:t>BOROUGH</w:t>
            </w:r>
          </w:p>
        </w:tc>
        <w:tc>
          <w:tcPr>
            <w:tcW w:w="540" w:type="dxa"/>
          </w:tcPr>
          <w:p w14:paraId="3BA81314" w14:textId="77777777" w:rsidR="00267663" w:rsidRPr="006D3745" w:rsidRDefault="00267663" w:rsidP="00172F56">
            <w:pPr>
              <w:keepNext/>
              <w:spacing w:line="300" w:lineRule="auto"/>
              <w:rPr>
                <w:rFonts w:ascii="Arial" w:hAnsi="Arial" w:cs="Arial"/>
                <w:sz w:val="20"/>
                <w:szCs w:val="20"/>
              </w:rPr>
            </w:pPr>
            <w:r w:rsidRPr="006D3745">
              <w:rPr>
                <w:rFonts w:ascii="Arial" w:hAnsi="Arial" w:cs="Arial"/>
                <w:sz w:val="20"/>
                <w:szCs w:val="20"/>
              </w:rPr>
              <w:t>No.</w:t>
            </w:r>
          </w:p>
        </w:tc>
        <w:tc>
          <w:tcPr>
            <w:tcW w:w="1094" w:type="dxa"/>
            <w:vAlign w:val="bottom"/>
          </w:tcPr>
          <w:p w14:paraId="39F0B88A"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12,053</w:t>
            </w:r>
          </w:p>
        </w:tc>
        <w:tc>
          <w:tcPr>
            <w:tcW w:w="1094" w:type="dxa"/>
            <w:vAlign w:val="bottom"/>
          </w:tcPr>
          <w:p w14:paraId="62E44A8A"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10,825</w:t>
            </w:r>
          </w:p>
        </w:tc>
        <w:tc>
          <w:tcPr>
            <w:tcW w:w="1094" w:type="dxa"/>
            <w:vAlign w:val="bottom"/>
          </w:tcPr>
          <w:p w14:paraId="6B0C8A1D"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12,199</w:t>
            </w:r>
          </w:p>
        </w:tc>
        <w:tc>
          <w:tcPr>
            <w:tcW w:w="1094" w:type="dxa"/>
            <w:vAlign w:val="bottom"/>
          </w:tcPr>
          <w:p w14:paraId="5B1B6FA6"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18,176</w:t>
            </w:r>
          </w:p>
        </w:tc>
        <w:tc>
          <w:tcPr>
            <w:tcW w:w="1094" w:type="dxa"/>
            <w:vAlign w:val="bottom"/>
          </w:tcPr>
          <w:p w14:paraId="4697098C"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18,388</w:t>
            </w:r>
          </w:p>
        </w:tc>
        <w:tc>
          <w:tcPr>
            <w:tcW w:w="1094" w:type="dxa"/>
            <w:vAlign w:val="bottom"/>
          </w:tcPr>
          <w:p w14:paraId="2B561C53"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11,412</w:t>
            </w:r>
          </w:p>
        </w:tc>
        <w:tc>
          <w:tcPr>
            <w:tcW w:w="1095" w:type="dxa"/>
            <w:vAlign w:val="bottom"/>
          </w:tcPr>
          <w:p w14:paraId="2189552D"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83,053</w:t>
            </w:r>
          </w:p>
        </w:tc>
      </w:tr>
      <w:tr w:rsidR="00267663" w:rsidRPr="008724E9" w14:paraId="665F93F2" w14:textId="77777777" w:rsidTr="008469E3">
        <w:tc>
          <w:tcPr>
            <w:tcW w:w="1440" w:type="dxa"/>
            <w:vMerge/>
          </w:tcPr>
          <w:p w14:paraId="78E78B31" w14:textId="77777777" w:rsidR="00267663" w:rsidRPr="006D3745" w:rsidRDefault="00267663" w:rsidP="005F3C17">
            <w:pPr>
              <w:keepNext/>
              <w:widowControl w:val="0"/>
              <w:spacing w:line="300" w:lineRule="auto"/>
              <w:rPr>
                <w:rFonts w:ascii="Arial" w:hAnsi="Arial" w:cs="Arial"/>
                <w:sz w:val="20"/>
                <w:szCs w:val="20"/>
              </w:rPr>
            </w:pPr>
          </w:p>
        </w:tc>
        <w:tc>
          <w:tcPr>
            <w:tcW w:w="540" w:type="dxa"/>
          </w:tcPr>
          <w:p w14:paraId="65D3C0BF" w14:textId="77777777" w:rsidR="00267663" w:rsidRPr="006D3745" w:rsidRDefault="00267663" w:rsidP="00172F56">
            <w:pPr>
              <w:keepNext/>
              <w:spacing w:line="300" w:lineRule="auto"/>
              <w:rPr>
                <w:rFonts w:ascii="Arial" w:hAnsi="Arial" w:cs="Arial"/>
                <w:sz w:val="20"/>
                <w:szCs w:val="20"/>
              </w:rPr>
            </w:pPr>
            <w:r w:rsidRPr="006D3745">
              <w:rPr>
                <w:rFonts w:ascii="Arial" w:hAnsi="Arial" w:cs="Arial"/>
                <w:sz w:val="20"/>
                <w:szCs w:val="20"/>
              </w:rPr>
              <w:t>%</w:t>
            </w:r>
          </w:p>
        </w:tc>
        <w:tc>
          <w:tcPr>
            <w:tcW w:w="1094" w:type="dxa"/>
            <w:vAlign w:val="bottom"/>
          </w:tcPr>
          <w:p w14:paraId="07965999"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14.5%</w:t>
            </w:r>
          </w:p>
        </w:tc>
        <w:tc>
          <w:tcPr>
            <w:tcW w:w="1094" w:type="dxa"/>
            <w:vAlign w:val="bottom"/>
          </w:tcPr>
          <w:p w14:paraId="2DF7FFE0"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13.0%</w:t>
            </w:r>
          </w:p>
        </w:tc>
        <w:tc>
          <w:tcPr>
            <w:tcW w:w="1094" w:type="dxa"/>
            <w:vAlign w:val="bottom"/>
          </w:tcPr>
          <w:p w14:paraId="1E1FFE2F"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14.7%</w:t>
            </w:r>
          </w:p>
        </w:tc>
        <w:tc>
          <w:tcPr>
            <w:tcW w:w="1094" w:type="dxa"/>
            <w:vAlign w:val="bottom"/>
          </w:tcPr>
          <w:p w14:paraId="4C670154"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21.9%</w:t>
            </w:r>
          </w:p>
        </w:tc>
        <w:tc>
          <w:tcPr>
            <w:tcW w:w="1094" w:type="dxa"/>
            <w:vAlign w:val="bottom"/>
          </w:tcPr>
          <w:p w14:paraId="26AACC75"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22.1%</w:t>
            </w:r>
          </w:p>
        </w:tc>
        <w:tc>
          <w:tcPr>
            <w:tcW w:w="1094" w:type="dxa"/>
            <w:vAlign w:val="bottom"/>
          </w:tcPr>
          <w:p w14:paraId="01726F49"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13.7%</w:t>
            </w:r>
          </w:p>
        </w:tc>
        <w:tc>
          <w:tcPr>
            <w:tcW w:w="1095" w:type="dxa"/>
            <w:vAlign w:val="bottom"/>
          </w:tcPr>
          <w:p w14:paraId="1E2401A3" w14:textId="77777777" w:rsidR="00267663" w:rsidRPr="006D3745" w:rsidRDefault="00267663" w:rsidP="005F3C17">
            <w:pPr>
              <w:keepNext/>
              <w:spacing w:line="300" w:lineRule="auto"/>
              <w:jc w:val="center"/>
              <w:rPr>
                <w:rFonts w:ascii="Arial" w:hAnsi="Arial" w:cs="Arial"/>
                <w:sz w:val="20"/>
                <w:szCs w:val="20"/>
              </w:rPr>
            </w:pPr>
            <w:r w:rsidRPr="006D3745">
              <w:rPr>
                <w:rFonts w:ascii="Arial" w:hAnsi="Arial" w:cs="Arial"/>
                <w:color w:val="000000"/>
                <w:sz w:val="20"/>
                <w:szCs w:val="20"/>
              </w:rPr>
              <w:t>100.0%</w:t>
            </w:r>
          </w:p>
        </w:tc>
      </w:tr>
    </w:tbl>
    <w:p w14:paraId="7BBB8610" w14:textId="13FEAEF0" w:rsidR="00267663" w:rsidRDefault="00AB789F" w:rsidP="005F3C17">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2D07C2C2" w14:textId="0E409ADF" w:rsidR="00106F07" w:rsidRDefault="00106F07" w:rsidP="00172F56">
      <w:pPr>
        <w:pStyle w:val="Reporttext0"/>
        <w:keepLines w:val="0"/>
        <w:widowControl w:val="0"/>
        <w:numPr>
          <w:ilvl w:val="0"/>
          <w:numId w:val="0"/>
        </w:numPr>
        <w:spacing w:line="300" w:lineRule="auto"/>
        <w:jc w:val="both"/>
        <w:rPr>
          <w:rFonts w:ascii="Arial" w:hAnsi="Arial" w:cs="Arial"/>
          <w:sz w:val="20"/>
        </w:rPr>
      </w:pPr>
    </w:p>
    <w:p w14:paraId="5E08814B" w14:textId="4574AF23" w:rsidR="00357898" w:rsidRDefault="00357898">
      <w:pPr>
        <w:pStyle w:val="11Bodytext"/>
        <w:numPr>
          <w:ilvl w:val="1"/>
          <w:numId w:val="23"/>
        </w:numPr>
        <w:spacing w:before="0" w:after="0" w:line="300" w:lineRule="auto"/>
        <w:ind w:left="720" w:hanging="720"/>
        <w:rPr>
          <w:color w:val="auto"/>
        </w:rPr>
      </w:pPr>
      <w:r>
        <w:rPr>
          <w:color w:val="auto"/>
        </w:rPr>
        <w:t>The figure below shows tenure and household types</w:t>
      </w:r>
      <w:r w:rsidR="7BA26A6F" w:rsidRPr="0DEAF352">
        <w:rPr>
          <w:color w:val="auto"/>
        </w:rPr>
        <w:t xml:space="preserve"> from the survey data</w:t>
      </w:r>
      <w:r>
        <w:rPr>
          <w:color w:val="auto"/>
        </w:rPr>
        <w:t xml:space="preserve">, clearly identifying the high proportion of older person households in the owned outright sector. Other </w:t>
      </w:r>
      <w:r w:rsidR="00041EB7">
        <w:rPr>
          <w:color w:val="auto"/>
        </w:rPr>
        <w:t xml:space="preserve">tenures </w:t>
      </w:r>
      <w:r>
        <w:rPr>
          <w:color w:val="auto"/>
        </w:rPr>
        <w:t>do</w:t>
      </w:r>
      <w:r w:rsidR="00D32086">
        <w:rPr>
          <w:color w:val="auto"/>
        </w:rPr>
        <w:t xml:space="preserve"> </w:t>
      </w:r>
      <w:r>
        <w:rPr>
          <w:color w:val="auto"/>
        </w:rPr>
        <w:t>n</w:t>
      </w:r>
      <w:r w:rsidR="00D32086">
        <w:rPr>
          <w:color w:val="auto"/>
        </w:rPr>
        <w:t>o</w:t>
      </w:r>
      <w:r>
        <w:rPr>
          <w:color w:val="auto"/>
        </w:rPr>
        <w:t>t see such concentrations of particular household type categories, although the high proportions of lone parents in the private rented sector (and to a lesser extent the social rented sector) is notable</w:t>
      </w:r>
      <w:r w:rsidR="7BA26A6F" w:rsidRPr="0DEAF352">
        <w:rPr>
          <w:color w:val="auto"/>
        </w:rPr>
        <w:t>.</w:t>
      </w:r>
      <w:r>
        <w:rPr>
          <w:color w:val="auto"/>
        </w:rPr>
        <w:t xml:space="preserve"> The private rented sector also sees a high proportion of single non-pensioner households.</w:t>
      </w:r>
    </w:p>
    <w:p w14:paraId="27A81014" w14:textId="77777777" w:rsidR="00357898" w:rsidRDefault="00357898"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ook w:val="04A0" w:firstRow="1" w:lastRow="0" w:firstColumn="1" w:lastColumn="0" w:noHBand="0" w:noVBand="1"/>
      </w:tblPr>
      <w:tblGrid>
        <w:gridCol w:w="8199"/>
      </w:tblGrid>
      <w:tr w:rsidR="00106F07" w:rsidRPr="00106F07" w14:paraId="28892176" w14:textId="77777777" w:rsidTr="00106F07">
        <w:trPr>
          <w:jc w:val="center"/>
        </w:trPr>
        <w:tc>
          <w:tcPr>
            <w:tcW w:w="8856" w:type="dxa"/>
          </w:tcPr>
          <w:p w14:paraId="20F9C1B6" w14:textId="2AC40A05" w:rsidR="00106F07" w:rsidRPr="00106F07" w:rsidRDefault="00106F07" w:rsidP="005F3C17">
            <w:pPr>
              <w:pStyle w:val="Reporttext0"/>
              <w:keepNext/>
              <w:keepLines w:val="0"/>
              <w:widowControl w:val="0"/>
              <w:numPr>
                <w:ilvl w:val="0"/>
                <w:numId w:val="0"/>
              </w:numPr>
              <w:spacing w:before="60" w:after="60" w:line="300" w:lineRule="auto"/>
              <w:jc w:val="center"/>
              <w:rPr>
                <w:rFonts w:ascii="Arial" w:hAnsi="Arial" w:cs="Arial"/>
                <w:b/>
                <w:bCs/>
                <w:sz w:val="20"/>
              </w:rPr>
            </w:pPr>
            <w:r w:rsidRPr="00106F07">
              <w:rPr>
                <w:rFonts w:ascii="Arial" w:hAnsi="Arial" w:cs="Arial"/>
                <w:b/>
                <w:bCs/>
                <w:sz w:val="20"/>
              </w:rPr>
              <w:t>Figure 1.</w:t>
            </w:r>
            <w:r w:rsidR="00AD29A6">
              <w:rPr>
                <w:rFonts w:ascii="Arial" w:hAnsi="Arial" w:cs="Arial"/>
                <w:b/>
                <w:bCs/>
                <w:sz w:val="20"/>
              </w:rPr>
              <w:t>6</w:t>
            </w:r>
            <w:r w:rsidRPr="00106F07">
              <w:rPr>
                <w:rFonts w:ascii="Arial" w:hAnsi="Arial" w:cs="Arial"/>
                <w:b/>
                <w:bCs/>
                <w:sz w:val="20"/>
              </w:rPr>
              <w:t>: Tenure and household type</w:t>
            </w:r>
          </w:p>
        </w:tc>
      </w:tr>
      <w:tr w:rsidR="00106F07" w14:paraId="286F7C5E" w14:textId="77777777" w:rsidTr="00106F07">
        <w:trPr>
          <w:jc w:val="center"/>
        </w:trPr>
        <w:tc>
          <w:tcPr>
            <w:tcW w:w="8856" w:type="dxa"/>
          </w:tcPr>
          <w:p w14:paraId="2FD56424" w14:textId="2E60CC34" w:rsidR="00106F07" w:rsidRDefault="00106F07" w:rsidP="00172F56">
            <w:pPr>
              <w:pStyle w:val="Reporttext0"/>
              <w:keepNext/>
              <w:keepLines w:val="0"/>
              <w:widowControl w:val="0"/>
              <w:numPr>
                <w:ilvl w:val="0"/>
                <w:numId w:val="0"/>
              </w:numPr>
              <w:spacing w:line="300" w:lineRule="auto"/>
              <w:jc w:val="center"/>
              <w:rPr>
                <w:rFonts w:ascii="Arial" w:hAnsi="Arial" w:cs="Arial"/>
                <w:sz w:val="20"/>
              </w:rPr>
            </w:pPr>
            <w:r>
              <w:rPr>
                <w:noProof/>
              </w:rPr>
              <w:drawing>
                <wp:inline distT="0" distB="0" distL="0" distR="0" wp14:anchorId="5286C154" wp14:editId="6D60D783">
                  <wp:extent cx="5040000" cy="2880000"/>
                  <wp:effectExtent l="0" t="0" r="82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7FDE59FF" w14:textId="4157219A" w:rsidR="00106F07" w:rsidRDefault="00AB789F" w:rsidP="005F3C17">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1BADA854" w14:textId="5410FFFD" w:rsidR="00106F07" w:rsidRPr="009B67E7" w:rsidRDefault="00106F07" w:rsidP="00172F56">
      <w:pPr>
        <w:pStyle w:val="Reporttext0"/>
        <w:keepLines w:val="0"/>
        <w:widowControl w:val="0"/>
        <w:numPr>
          <w:ilvl w:val="0"/>
          <w:numId w:val="0"/>
        </w:numPr>
        <w:spacing w:line="300" w:lineRule="auto"/>
        <w:jc w:val="both"/>
        <w:rPr>
          <w:rFonts w:ascii="Arial" w:hAnsi="Arial" w:cs="Arial"/>
          <w:sz w:val="20"/>
        </w:rPr>
      </w:pPr>
    </w:p>
    <w:p w14:paraId="1E743CA5" w14:textId="73FECAFC" w:rsidR="00357898" w:rsidRPr="009B67E7" w:rsidRDefault="00357898">
      <w:pPr>
        <w:pStyle w:val="11Bodytext"/>
        <w:numPr>
          <w:ilvl w:val="1"/>
          <w:numId w:val="23"/>
        </w:numPr>
        <w:spacing w:before="0" w:after="0" w:line="300" w:lineRule="auto"/>
        <w:ind w:left="720" w:hanging="720"/>
        <w:rPr>
          <w:color w:val="auto"/>
        </w:rPr>
      </w:pPr>
      <w:r w:rsidRPr="009B67E7">
        <w:t xml:space="preserve">The average household size in the Borough was estimated from the survey to be 2.13 persons. This figure is </w:t>
      </w:r>
      <w:r w:rsidR="009B67E7" w:rsidRPr="009B67E7">
        <w:t>slightly below</w:t>
      </w:r>
      <w:r w:rsidRPr="009B67E7">
        <w:t xml:space="preserve"> the most recent English Housing Survey (EHS) national estimate of around 2.</w:t>
      </w:r>
      <w:r w:rsidR="009B67E7" w:rsidRPr="009B67E7">
        <w:t>2</w:t>
      </w:r>
      <w:r w:rsidRPr="009B67E7">
        <w:t xml:space="preserve"> persons per household (20</w:t>
      </w:r>
      <w:r w:rsidR="009B67E7" w:rsidRPr="009B67E7">
        <w:t>20-21</w:t>
      </w:r>
      <w:r w:rsidRPr="009B67E7">
        <w:t xml:space="preserve">). The figure below shows the number of people in households by tenure, this information is then summarised as average household sizes in the table that follows. The largest households were owner occupiers with a mortgage (average </w:t>
      </w:r>
      <w:r w:rsidR="009B67E7" w:rsidRPr="009B67E7">
        <w:t>2.62</w:t>
      </w:r>
      <w:r w:rsidRPr="009B67E7">
        <w:t>) whilst the smallest were outright owners (who are less likely to have children</w:t>
      </w:r>
      <w:r w:rsidR="009B67E7" w:rsidRPr="009B67E7">
        <w:t>).</w:t>
      </w:r>
    </w:p>
    <w:p w14:paraId="656A17F6" w14:textId="33CA0B0A" w:rsidR="00357898" w:rsidRDefault="00357898"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ook w:val="04A0" w:firstRow="1" w:lastRow="0" w:firstColumn="1" w:lastColumn="0" w:noHBand="0" w:noVBand="1"/>
      </w:tblPr>
      <w:tblGrid>
        <w:gridCol w:w="8199"/>
      </w:tblGrid>
      <w:tr w:rsidR="009B67E7" w:rsidRPr="00106F07" w14:paraId="632D1C9E" w14:textId="77777777" w:rsidTr="008469E3">
        <w:trPr>
          <w:jc w:val="center"/>
        </w:trPr>
        <w:tc>
          <w:tcPr>
            <w:tcW w:w="8856" w:type="dxa"/>
          </w:tcPr>
          <w:p w14:paraId="6D3346B9" w14:textId="4475E21D" w:rsidR="009B67E7" w:rsidRPr="00106F07" w:rsidRDefault="009B67E7" w:rsidP="005F3C17">
            <w:pPr>
              <w:pStyle w:val="Reporttext0"/>
              <w:keepNext/>
              <w:keepLines w:val="0"/>
              <w:widowControl w:val="0"/>
              <w:numPr>
                <w:ilvl w:val="0"/>
                <w:numId w:val="0"/>
              </w:numPr>
              <w:spacing w:before="60" w:after="60" w:line="300" w:lineRule="auto"/>
              <w:jc w:val="center"/>
              <w:rPr>
                <w:rFonts w:ascii="Arial" w:hAnsi="Arial" w:cs="Arial"/>
                <w:b/>
                <w:bCs/>
                <w:sz w:val="20"/>
              </w:rPr>
            </w:pPr>
            <w:r w:rsidRPr="00106F07">
              <w:rPr>
                <w:rFonts w:ascii="Arial" w:hAnsi="Arial" w:cs="Arial"/>
                <w:b/>
                <w:bCs/>
                <w:sz w:val="20"/>
              </w:rPr>
              <w:t>Figure 1.</w:t>
            </w:r>
            <w:r w:rsidR="00AD29A6">
              <w:rPr>
                <w:rFonts w:ascii="Arial" w:hAnsi="Arial" w:cs="Arial"/>
                <w:b/>
                <w:bCs/>
                <w:sz w:val="20"/>
              </w:rPr>
              <w:t>7</w:t>
            </w:r>
            <w:r w:rsidRPr="00106F07">
              <w:rPr>
                <w:rFonts w:ascii="Arial" w:hAnsi="Arial" w:cs="Arial"/>
                <w:b/>
                <w:bCs/>
                <w:sz w:val="20"/>
              </w:rPr>
              <w:t xml:space="preserve">: Tenure and household </w:t>
            </w:r>
            <w:r>
              <w:rPr>
                <w:rFonts w:ascii="Arial" w:hAnsi="Arial" w:cs="Arial"/>
                <w:b/>
                <w:bCs/>
                <w:sz w:val="20"/>
              </w:rPr>
              <w:t>size</w:t>
            </w:r>
          </w:p>
        </w:tc>
      </w:tr>
      <w:tr w:rsidR="009B67E7" w14:paraId="771F52ED" w14:textId="77777777" w:rsidTr="008469E3">
        <w:trPr>
          <w:jc w:val="center"/>
        </w:trPr>
        <w:tc>
          <w:tcPr>
            <w:tcW w:w="8856" w:type="dxa"/>
          </w:tcPr>
          <w:p w14:paraId="54AFCB83" w14:textId="060035C3" w:rsidR="009B67E7" w:rsidRDefault="009B67E7" w:rsidP="00172F56">
            <w:pPr>
              <w:pStyle w:val="Reporttext0"/>
              <w:keepNext/>
              <w:keepLines w:val="0"/>
              <w:widowControl w:val="0"/>
              <w:numPr>
                <w:ilvl w:val="0"/>
                <w:numId w:val="0"/>
              </w:numPr>
              <w:spacing w:line="300" w:lineRule="auto"/>
              <w:jc w:val="center"/>
              <w:rPr>
                <w:rFonts w:ascii="Arial" w:hAnsi="Arial" w:cs="Arial"/>
                <w:sz w:val="20"/>
              </w:rPr>
            </w:pPr>
            <w:r w:rsidRPr="00A62EDF">
              <w:rPr>
                <w:rFonts w:ascii="Arial" w:hAnsi="Arial" w:cs="Arial"/>
                <w:noProof/>
              </w:rPr>
              <w:drawing>
                <wp:inline distT="0" distB="0" distL="0" distR="0" wp14:anchorId="511B3927" wp14:editId="1C6C79AB">
                  <wp:extent cx="5040000" cy="2880000"/>
                  <wp:effectExtent l="0" t="0" r="825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07BD5559" w14:textId="0B293E56" w:rsidR="009B67E7" w:rsidRDefault="00AB789F" w:rsidP="005F3C17">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4634522E" w14:textId="77777777" w:rsidR="009B67E7" w:rsidRPr="009B67E7" w:rsidRDefault="009B67E7"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ayout w:type="fixed"/>
        <w:tblLook w:val="0000" w:firstRow="0" w:lastRow="0" w:firstColumn="0" w:lastColumn="0" w:noHBand="0" w:noVBand="0"/>
      </w:tblPr>
      <w:tblGrid>
        <w:gridCol w:w="4995"/>
        <w:gridCol w:w="3204"/>
      </w:tblGrid>
      <w:tr w:rsidR="00267663" w:rsidRPr="00395912" w14:paraId="0365C5B9" w14:textId="77777777" w:rsidTr="009B67E7">
        <w:trPr>
          <w:jc w:val="center"/>
        </w:trPr>
        <w:tc>
          <w:tcPr>
            <w:tcW w:w="5318" w:type="dxa"/>
            <w:gridSpan w:val="2"/>
          </w:tcPr>
          <w:p w14:paraId="03202631" w14:textId="69E5432F" w:rsidR="00267663" w:rsidRPr="009B67E7" w:rsidRDefault="00267663" w:rsidP="005F3C17">
            <w:pPr>
              <w:pStyle w:val="Caption1"/>
              <w:widowControl w:val="0"/>
              <w:spacing w:before="60" w:after="60" w:line="300" w:lineRule="auto"/>
              <w:rPr>
                <w:rFonts w:ascii="Arial" w:hAnsi="Arial"/>
                <w:sz w:val="20"/>
                <w:szCs w:val="20"/>
              </w:rPr>
            </w:pPr>
            <w:r w:rsidRPr="009B67E7">
              <w:rPr>
                <w:rFonts w:ascii="Arial" w:hAnsi="Arial"/>
                <w:sz w:val="20"/>
                <w:szCs w:val="20"/>
              </w:rPr>
              <w:t xml:space="preserve">Figure </w:t>
            </w:r>
            <w:r w:rsidR="00AD29A6">
              <w:rPr>
                <w:rFonts w:ascii="Arial" w:hAnsi="Arial"/>
                <w:sz w:val="20"/>
                <w:szCs w:val="20"/>
              </w:rPr>
              <w:t>1.8:</w:t>
            </w:r>
            <w:r w:rsidRPr="009B67E7">
              <w:rPr>
                <w:rFonts w:ascii="Arial" w:hAnsi="Arial"/>
                <w:sz w:val="20"/>
                <w:szCs w:val="20"/>
              </w:rPr>
              <w:t xml:space="preserve"> Average household size by tenure</w:t>
            </w:r>
          </w:p>
        </w:tc>
      </w:tr>
      <w:tr w:rsidR="00267663" w:rsidRPr="00395912" w14:paraId="0913496E" w14:textId="77777777" w:rsidTr="009B67E7">
        <w:trPr>
          <w:jc w:val="center"/>
        </w:trPr>
        <w:tc>
          <w:tcPr>
            <w:tcW w:w="3240" w:type="dxa"/>
          </w:tcPr>
          <w:p w14:paraId="725F0C38" w14:textId="77777777" w:rsidR="00267663" w:rsidRPr="009B67E7" w:rsidRDefault="00267663" w:rsidP="00172F56">
            <w:pPr>
              <w:keepNext/>
              <w:widowControl w:val="0"/>
              <w:spacing w:before="60" w:after="60" w:line="300" w:lineRule="auto"/>
              <w:jc w:val="both"/>
              <w:rPr>
                <w:rFonts w:ascii="Arial" w:hAnsi="Arial" w:cs="Arial"/>
                <w:sz w:val="20"/>
                <w:szCs w:val="20"/>
              </w:rPr>
            </w:pPr>
            <w:r w:rsidRPr="009B67E7">
              <w:rPr>
                <w:rFonts w:ascii="Arial" w:hAnsi="Arial" w:cs="Arial"/>
                <w:sz w:val="20"/>
                <w:szCs w:val="20"/>
              </w:rPr>
              <w:t>Tenure</w:t>
            </w:r>
          </w:p>
        </w:tc>
        <w:tc>
          <w:tcPr>
            <w:tcW w:w="2078" w:type="dxa"/>
          </w:tcPr>
          <w:p w14:paraId="4364B227" w14:textId="77777777" w:rsidR="00267663" w:rsidRPr="009B67E7" w:rsidRDefault="00267663" w:rsidP="00243A09">
            <w:pPr>
              <w:keepNext/>
              <w:widowControl w:val="0"/>
              <w:spacing w:before="60" w:after="60" w:line="300" w:lineRule="auto"/>
              <w:jc w:val="center"/>
              <w:rPr>
                <w:rFonts w:ascii="Arial" w:hAnsi="Arial" w:cs="Arial"/>
                <w:sz w:val="20"/>
                <w:szCs w:val="20"/>
              </w:rPr>
            </w:pPr>
            <w:r w:rsidRPr="009B67E7">
              <w:rPr>
                <w:rFonts w:ascii="Arial" w:hAnsi="Arial" w:cs="Arial"/>
                <w:sz w:val="20"/>
                <w:szCs w:val="20"/>
              </w:rPr>
              <w:t>Average household size</w:t>
            </w:r>
          </w:p>
        </w:tc>
      </w:tr>
      <w:tr w:rsidR="00267663" w:rsidRPr="00395912" w14:paraId="5F27E55A" w14:textId="77777777" w:rsidTr="009B67E7">
        <w:trPr>
          <w:jc w:val="center"/>
        </w:trPr>
        <w:tc>
          <w:tcPr>
            <w:tcW w:w="3240" w:type="dxa"/>
          </w:tcPr>
          <w:p w14:paraId="43F4AA79" w14:textId="77777777" w:rsidR="00267663" w:rsidRPr="009B67E7" w:rsidRDefault="00267663" w:rsidP="00172F56">
            <w:pPr>
              <w:keepNext/>
              <w:widowControl w:val="0"/>
              <w:spacing w:line="300" w:lineRule="auto"/>
              <w:jc w:val="both"/>
              <w:rPr>
                <w:rFonts w:ascii="Arial" w:hAnsi="Arial" w:cs="Arial"/>
                <w:sz w:val="20"/>
                <w:szCs w:val="20"/>
              </w:rPr>
            </w:pPr>
            <w:r w:rsidRPr="009B67E7">
              <w:rPr>
                <w:rFonts w:ascii="Arial" w:hAnsi="Arial" w:cs="Arial"/>
                <w:sz w:val="20"/>
                <w:szCs w:val="20"/>
              </w:rPr>
              <w:t>Owner-occupied (no mortgage)</w:t>
            </w:r>
          </w:p>
        </w:tc>
        <w:tc>
          <w:tcPr>
            <w:tcW w:w="2078" w:type="dxa"/>
          </w:tcPr>
          <w:p w14:paraId="1C3CAF90" w14:textId="77777777" w:rsidR="00267663" w:rsidRPr="009B67E7" w:rsidRDefault="00267663" w:rsidP="00243A09">
            <w:pPr>
              <w:keepNext/>
              <w:spacing w:line="300" w:lineRule="auto"/>
              <w:jc w:val="center"/>
              <w:rPr>
                <w:rFonts w:ascii="Arial" w:hAnsi="Arial" w:cs="Arial"/>
                <w:color w:val="000000"/>
                <w:sz w:val="20"/>
                <w:szCs w:val="20"/>
              </w:rPr>
            </w:pPr>
            <w:r w:rsidRPr="009B67E7">
              <w:rPr>
                <w:rFonts w:ascii="Arial" w:eastAsiaTheme="minorHAnsi" w:hAnsi="Arial" w:cs="Arial"/>
                <w:color w:val="000000"/>
                <w:sz w:val="20"/>
                <w:szCs w:val="20"/>
                <w:lang w:eastAsia="en-US"/>
              </w:rPr>
              <w:t>1.85</w:t>
            </w:r>
          </w:p>
        </w:tc>
      </w:tr>
      <w:tr w:rsidR="00267663" w:rsidRPr="00395912" w14:paraId="72687E22" w14:textId="77777777" w:rsidTr="009B67E7">
        <w:trPr>
          <w:jc w:val="center"/>
        </w:trPr>
        <w:tc>
          <w:tcPr>
            <w:tcW w:w="3240" w:type="dxa"/>
          </w:tcPr>
          <w:p w14:paraId="189696D3" w14:textId="77777777" w:rsidR="00267663" w:rsidRPr="009B67E7" w:rsidRDefault="00267663" w:rsidP="00172F56">
            <w:pPr>
              <w:keepNext/>
              <w:widowControl w:val="0"/>
              <w:spacing w:line="300" w:lineRule="auto"/>
              <w:jc w:val="both"/>
              <w:rPr>
                <w:rFonts w:ascii="Arial" w:hAnsi="Arial" w:cs="Arial"/>
                <w:sz w:val="20"/>
                <w:szCs w:val="20"/>
              </w:rPr>
            </w:pPr>
            <w:r w:rsidRPr="009B67E7">
              <w:rPr>
                <w:rFonts w:ascii="Arial" w:hAnsi="Arial" w:cs="Arial"/>
                <w:sz w:val="20"/>
                <w:szCs w:val="20"/>
              </w:rPr>
              <w:t>Owner-occupied (with mortgage)</w:t>
            </w:r>
          </w:p>
        </w:tc>
        <w:tc>
          <w:tcPr>
            <w:tcW w:w="2078" w:type="dxa"/>
          </w:tcPr>
          <w:p w14:paraId="6424CA0F" w14:textId="77777777" w:rsidR="00267663" w:rsidRPr="009B67E7" w:rsidRDefault="00267663" w:rsidP="00243A09">
            <w:pPr>
              <w:keepNext/>
              <w:spacing w:line="300" w:lineRule="auto"/>
              <w:jc w:val="center"/>
              <w:rPr>
                <w:rFonts w:ascii="Arial" w:hAnsi="Arial" w:cs="Arial"/>
                <w:color w:val="000000"/>
                <w:sz w:val="20"/>
                <w:szCs w:val="20"/>
              </w:rPr>
            </w:pPr>
            <w:r w:rsidRPr="009B67E7">
              <w:rPr>
                <w:rFonts w:ascii="Arial" w:eastAsiaTheme="minorHAnsi" w:hAnsi="Arial" w:cs="Arial"/>
                <w:color w:val="000000"/>
                <w:sz w:val="20"/>
                <w:szCs w:val="20"/>
                <w:lang w:eastAsia="en-US"/>
              </w:rPr>
              <w:t>2.62</w:t>
            </w:r>
          </w:p>
        </w:tc>
      </w:tr>
      <w:tr w:rsidR="00267663" w:rsidRPr="00395912" w14:paraId="45DB5BC0" w14:textId="77777777" w:rsidTr="009B67E7">
        <w:trPr>
          <w:jc w:val="center"/>
        </w:trPr>
        <w:tc>
          <w:tcPr>
            <w:tcW w:w="3240" w:type="dxa"/>
          </w:tcPr>
          <w:p w14:paraId="2DBBD2A4" w14:textId="77777777" w:rsidR="00267663" w:rsidRPr="009B67E7" w:rsidRDefault="00267663" w:rsidP="00172F56">
            <w:pPr>
              <w:keepNext/>
              <w:widowControl w:val="0"/>
              <w:spacing w:line="300" w:lineRule="auto"/>
              <w:jc w:val="both"/>
              <w:rPr>
                <w:rFonts w:ascii="Arial" w:hAnsi="Arial" w:cs="Arial"/>
                <w:sz w:val="20"/>
                <w:szCs w:val="20"/>
              </w:rPr>
            </w:pPr>
            <w:r w:rsidRPr="009B67E7">
              <w:rPr>
                <w:rFonts w:ascii="Arial" w:hAnsi="Arial" w:cs="Arial"/>
                <w:sz w:val="20"/>
                <w:szCs w:val="20"/>
              </w:rPr>
              <w:t>Social rented</w:t>
            </w:r>
          </w:p>
        </w:tc>
        <w:tc>
          <w:tcPr>
            <w:tcW w:w="2078" w:type="dxa"/>
          </w:tcPr>
          <w:p w14:paraId="198CB3D3" w14:textId="77777777" w:rsidR="00267663" w:rsidRPr="009B67E7" w:rsidRDefault="00267663" w:rsidP="00243A09">
            <w:pPr>
              <w:keepNext/>
              <w:spacing w:line="300" w:lineRule="auto"/>
              <w:jc w:val="center"/>
              <w:rPr>
                <w:rFonts w:ascii="Arial" w:hAnsi="Arial" w:cs="Arial"/>
                <w:color w:val="000000"/>
                <w:sz w:val="20"/>
                <w:szCs w:val="20"/>
              </w:rPr>
            </w:pPr>
            <w:r w:rsidRPr="009B67E7">
              <w:rPr>
                <w:rFonts w:ascii="Arial" w:eastAsiaTheme="minorHAnsi" w:hAnsi="Arial" w:cs="Arial"/>
                <w:color w:val="000000"/>
                <w:sz w:val="20"/>
                <w:szCs w:val="20"/>
                <w:lang w:eastAsia="en-US"/>
              </w:rPr>
              <w:t>2.20</w:t>
            </w:r>
          </w:p>
        </w:tc>
      </w:tr>
      <w:tr w:rsidR="00267663" w:rsidRPr="00395912" w14:paraId="06B9B858" w14:textId="77777777" w:rsidTr="009B67E7">
        <w:trPr>
          <w:jc w:val="center"/>
        </w:trPr>
        <w:tc>
          <w:tcPr>
            <w:tcW w:w="3240" w:type="dxa"/>
          </w:tcPr>
          <w:p w14:paraId="0B5BB423" w14:textId="77777777" w:rsidR="00267663" w:rsidRPr="009B67E7" w:rsidRDefault="00267663" w:rsidP="00172F56">
            <w:pPr>
              <w:keepNext/>
              <w:widowControl w:val="0"/>
              <w:spacing w:line="300" w:lineRule="auto"/>
              <w:jc w:val="both"/>
              <w:rPr>
                <w:rFonts w:ascii="Arial" w:hAnsi="Arial" w:cs="Arial"/>
                <w:sz w:val="20"/>
                <w:szCs w:val="20"/>
              </w:rPr>
            </w:pPr>
            <w:r w:rsidRPr="009B67E7">
              <w:rPr>
                <w:rFonts w:ascii="Arial" w:hAnsi="Arial" w:cs="Arial"/>
                <w:sz w:val="20"/>
                <w:szCs w:val="20"/>
              </w:rPr>
              <w:t>Private rented</w:t>
            </w:r>
          </w:p>
        </w:tc>
        <w:tc>
          <w:tcPr>
            <w:tcW w:w="2078" w:type="dxa"/>
          </w:tcPr>
          <w:p w14:paraId="581A5EF5" w14:textId="77777777" w:rsidR="00267663" w:rsidRPr="009B67E7" w:rsidRDefault="00267663" w:rsidP="00243A09">
            <w:pPr>
              <w:keepNext/>
              <w:spacing w:line="300" w:lineRule="auto"/>
              <w:jc w:val="center"/>
              <w:rPr>
                <w:rFonts w:ascii="Arial" w:hAnsi="Arial" w:cs="Arial"/>
                <w:color w:val="000000"/>
                <w:sz w:val="20"/>
                <w:szCs w:val="20"/>
              </w:rPr>
            </w:pPr>
            <w:r w:rsidRPr="009B67E7">
              <w:rPr>
                <w:rFonts w:ascii="Arial" w:eastAsiaTheme="minorHAnsi" w:hAnsi="Arial" w:cs="Arial"/>
                <w:color w:val="000000"/>
                <w:sz w:val="20"/>
                <w:szCs w:val="20"/>
                <w:lang w:eastAsia="en-US"/>
              </w:rPr>
              <w:t>2.10</w:t>
            </w:r>
          </w:p>
        </w:tc>
      </w:tr>
      <w:tr w:rsidR="00267663" w:rsidRPr="00395912" w14:paraId="24A4D1E0" w14:textId="77777777" w:rsidTr="009B67E7">
        <w:trPr>
          <w:jc w:val="center"/>
        </w:trPr>
        <w:tc>
          <w:tcPr>
            <w:tcW w:w="3240" w:type="dxa"/>
          </w:tcPr>
          <w:p w14:paraId="1DE1CB8E" w14:textId="77777777" w:rsidR="00267663" w:rsidRPr="009B67E7" w:rsidRDefault="00267663" w:rsidP="00172F56">
            <w:pPr>
              <w:keepNext/>
              <w:widowControl w:val="0"/>
              <w:spacing w:line="300" w:lineRule="auto"/>
              <w:jc w:val="both"/>
              <w:rPr>
                <w:rFonts w:ascii="Arial" w:hAnsi="Arial" w:cs="Arial"/>
                <w:sz w:val="20"/>
                <w:szCs w:val="20"/>
              </w:rPr>
            </w:pPr>
            <w:r w:rsidRPr="009B67E7">
              <w:rPr>
                <w:rFonts w:ascii="Arial" w:hAnsi="Arial" w:cs="Arial"/>
                <w:sz w:val="20"/>
                <w:szCs w:val="20"/>
              </w:rPr>
              <w:t>Total</w:t>
            </w:r>
          </w:p>
        </w:tc>
        <w:tc>
          <w:tcPr>
            <w:tcW w:w="2078" w:type="dxa"/>
          </w:tcPr>
          <w:p w14:paraId="7A4ADA47" w14:textId="58E2CD58" w:rsidR="00267663" w:rsidRPr="009B67E7" w:rsidRDefault="00267663" w:rsidP="00243A09">
            <w:pPr>
              <w:keepNext/>
              <w:spacing w:line="300" w:lineRule="auto"/>
              <w:jc w:val="center"/>
              <w:rPr>
                <w:rFonts w:ascii="Arial" w:hAnsi="Arial" w:cs="Arial"/>
                <w:color w:val="000000"/>
                <w:sz w:val="20"/>
                <w:szCs w:val="20"/>
              </w:rPr>
            </w:pPr>
            <w:r w:rsidRPr="6B5ED115">
              <w:rPr>
                <w:rFonts w:ascii="Arial" w:eastAsiaTheme="minorEastAsia" w:hAnsi="Arial" w:cs="Arial"/>
                <w:color w:val="000000" w:themeColor="text1"/>
                <w:sz w:val="20"/>
                <w:szCs w:val="20"/>
                <w:lang w:eastAsia="en-US"/>
              </w:rPr>
              <w:t>2.13</w:t>
            </w:r>
          </w:p>
        </w:tc>
      </w:tr>
    </w:tbl>
    <w:p w14:paraId="6214506B" w14:textId="35E5A747" w:rsidR="00267663" w:rsidRDefault="00AB789F" w:rsidP="005F3C17">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48C9D324" w14:textId="685EC5D1" w:rsidR="009B67E7" w:rsidRPr="002D7D42" w:rsidRDefault="009B67E7" w:rsidP="00172F56">
      <w:pPr>
        <w:pStyle w:val="Reporttext0"/>
        <w:keepLines w:val="0"/>
        <w:widowControl w:val="0"/>
        <w:numPr>
          <w:ilvl w:val="0"/>
          <w:numId w:val="0"/>
        </w:numPr>
        <w:spacing w:line="300" w:lineRule="auto"/>
        <w:jc w:val="both"/>
        <w:rPr>
          <w:rFonts w:ascii="Arial" w:hAnsi="Arial" w:cs="Arial"/>
          <w:sz w:val="20"/>
        </w:rPr>
      </w:pPr>
    </w:p>
    <w:p w14:paraId="58C0D7BC" w14:textId="373C4288" w:rsidR="002D7D42" w:rsidRPr="00620FE9" w:rsidRDefault="009B67E7">
      <w:pPr>
        <w:pStyle w:val="ListParagraph"/>
        <w:widowControl w:val="0"/>
        <w:numPr>
          <w:ilvl w:val="1"/>
          <w:numId w:val="23"/>
        </w:numPr>
        <w:spacing w:line="300" w:lineRule="auto"/>
        <w:ind w:left="720" w:hanging="720"/>
        <w:jc w:val="both"/>
        <w:rPr>
          <w:rFonts w:ascii="Arial" w:hAnsi="Arial" w:cs="Arial"/>
          <w:sz w:val="20"/>
          <w:szCs w:val="20"/>
        </w:rPr>
      </w:pPr>
      <w:r w:rsidRPr="00620FE9">
        <w:rPr>
          <w:rFonts w:ascii="Arial" w:hAnsi="Arial" w:cs="Arial"/>
          <w:sz w:val="20"/>
          <w:szCs w:val="20"/>
        </w:rPr>
        <w:t xml:space="preserve">The table below shows how average household sizes vary by location. Overall, households in </w:t>
      </w:r>
      <w:r w:rsidR="00432414" w:rsidRPr="00620FE9">
        <w:rPr>
          <w:rFonts w:ascii="Arial" w:hAnsi="Arial" w:cs="Arial"/>
          <w:sz w:val="20"/>
          <w:szCs w:val="20"/>
        </w:rPr>
        <w:t>St. Annes</w:t>
      </w:r>
      <w:r w:rsidR="002D7D42" w:rsidRPr="00620FE9">
        <w:rPr>
          <w:rFonts w:ascii="Arial" w:hAnsi="Arial" w:cs="Arial"/>
          <w:sz w:val="20"/>
          <w:szCs w:val="20"/>
        </w:rPr>
        <w:t xml:space="preserve"> show the lowest </w:t>
      </w:r>
      <w:r w:rsidR="00432414" w:rsidRPr="00620FE9">
        <w:rPr>
          <w:rFonts w:ascii="Arial" w:hAnsi="Arial" w:cs="Arial"/>
          <w:sz w:val="20"/>
          <w:szCs w:val="20"/>
        </w:rPr>
        <w:t>household</w:t>
      </w:r>
      <w:r w:rsidR="002D7D42" w:rsidRPr="00620FE9">
        <w:rPr>
          <w:rFonts w:ascii="Arial" w:hAnsi="Arial" w:cs="Arial"/>
          <w:sz w:val="20"/>
          <w:szCs w:val="20"/>
        </w:rPr>
        <w:t xml:space="preserve"> sizes, with the largest being in Kirkham – rural areas </w:t>
      </w:r>
      <w:r w:rsidR="00432414" w:rsidRPr="00620FE9">
        <w:rPr>
          <w:rFonts w:ascii="Arial" w:hAnsi="Arial" w:cs="Arial"/>
          <w:sz w:val="20"/>
          <w:szCs w:val="20"/>
        </w:rPr>
        <w:t>typically</w:t>
      </w:r>
      <w:r w:rsidR="002D7D42" w:rsidRPr="00620FE9">
        <w:rPr>
          <w:rFonts w:ascii="Arial" w:hAnsi="Arial" w:cs="Arial"/>
          <w:sz w:val="20"/>
          <w:szCs w:val="20"/>
        </w:rPr>
        <w:t xml:space="preserve"> have average </w:t>
      </w:r>
      <w:r w:rsidR="00432414" w:rsidRPr="00620FE9">
        <w:rPr>
          <w:rFonts w:ascii="Arial" w:hAnsi="Arial" w:cs="Arial"/>
          <w:sz w:val="20"/>
          <w:szCs w:val="20"/>
        </w:rPr>
        <w:t>household</w:t>
      </w:r>
      <w:r w:rsidR="002D7D42" w:rsidRPr="00620FE9">
        <w:rPr>
          <w:rFonts w:ascii="Arial" w:hAnsi="Arial" w:cs="Arial"/>
          <w:sz w:val="20"/>
          <w:szCs w:val="20"/>
        </w:rPr>
        <w:t xml:space="preserve"> sizes above the Borough average.</w:t>
      </w:r>
    </w:p>
    <w:p w14:paraId="201AB092" w14:textId="77777777" w:rsidR="009B67E7" w:rsidRPr="002D7D42" w:rsidRDefault="009B67E7"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ayout w:type="fixed"/>
        <w:tblLook w:val="0000" w:firstRow="0" w:lastRow="0" w:firstColumn="0" w:lastColumn="0" w:noHBand="0" w:noVBand="0"/>
      </w:tblPr>
      <w:tblGrid>
        <w:gridCol w:w="4440"/>
        <w:gridCol w:w="3759"/>
      </w:tblGrid>
      <w:tr w:rsidR="009B67E7" w:rsidRPr="00395912" w14:paraId="514D5078" w14:textId="77777777" w:rsidTr="002D7D42">
        <w:trPr>
          <w:jc w:val="center"/>
        </w:trPr>
        <w:tc>
          <w:tcPr>
            <w:tcW w:w="5318" w:type="dxa"/>
            <w:gridSpan w:val="2"/>
          </w:tcPr>
          <w:p w14:paraId="3AF482DE" w14:textId="4016A55E" w:rsidR="009B67E7" w:rsidRPr="002D7D42" w:rsidRDefault="009B67E7" w:rsidP="005F3C17">
            <w:pPr>
              <w:pStyle w:val="Caption1"/>
              <w:widowControl w:val="0"/>
              <w:spacing w:before="60" w:after="60" w:line="300" w:lineRule="auto"/>
              <w:rPr>
                <w:rFonts w:ascii="Arial" w:hAnsi="Arial"/>
                <w:sz w:val="20"/>
                <w:szCs w:val="20"/>
              </w:rPr>
            </w:pPr>
            <w:r w:rsidRPr="002D7D42">
              <w:rPr>
                <w:rFonts w:ascii="Arial" w:hAnsi="Arial"/>
                <w:sz w:val="20"/>
                <w:szCs w:val="20"/>
              </w:rPr>
              <w:t xml:space="preserve">Figure </w:t>
            </w:r>
            <w:r w:rsidR="00AD29A6">
              <w:rPr>
                <w:rFonts w:ascii="Arial" w:hAnsi="Arial"/>
                <w:sz w:val="20"/>
                <w:szCs w:val="20"/>
              </w:rPr>
              <w:t>1.9:</w:t>
            </w:r>
            <w:r w:rsidRPr="002D7D42">
              <w:rPr>
                <w:rFonts w:ascii="Arial" w:hAnsi="Arial"/>
                <w:sz w:val="20"/>
                <w:szCs w:val="20"/>
              </w:rPr>
              <w:t xml:space="preserve"> Average household size by sub-area</w:t>
            </w:r>
          </w:p>
        </w:tc>
      </w:tr>
      <w:tr w:rsidR="009B67E7" w:rsidRPr="00395912" w14:paraId="43F31858" w14:textId="77777777" w:rsidTr="002D7D42">
        <w:trPr>
          <w:jc w:val="center"/>
        </w:trPr>
        <w:tc>
          <w:tcPr>
            <w:tcW w:w="2880" w:type="dxa"/>
          </w:tcPr>
          <w:p w14:paraId="1E14F2EC" w14:textId="77777777" w:rsidR="009B67E7" w:rsidRPr="002D7D42" w:rsidRDefault="009B67E7" w:rsidP="00172F56">
            <w:pPr>
              <w:keepNext/>
              <w:widowControl w:val="0"/>
              <w:spacing w:before="60" w:after="60" w:line="300" w:lineRule="auto"/>
              <w:jc w:val="both"/>
              <w:rPr>
                <w:rFonts w:ascii="Arial" w:hAnsi="Arial" w:cs="Arial"/>
                <w:sz w:val="20"/>
                <w:szCs w:val="20"/>
              </w:rPr>
            </w:pPr>
            <w:r w:rsidRPr="002D7D42">
              <w:rPr>
                <w:rFonts w:ascii="Arial" w:hAnsi="Arial" w:cs="Arial"/>
                <w:sz w:val="20"/>
                <w:szCs w:val="20"/>
              </w:rPr>
              <w:t>Sub-area</w:t>
            </w:r>
          </w:p>
        </w:tc>
        <w:tc>
          <w:tcPr>
            <w:tcW w:w="2438" w:type="dxa"/>
          </w:tcPr>
          <w:p w14:paraId="24B80DB8" w14:textId="77777777" w:rsidR="009B67E7" w:rsidRPr="002D7D42" w:rsidRDefault="009B67E7" w:rsidP="00243A09">
            <w:pPr>
              <w:keepNext/>
              <w:widowControl w:val="0"/>
              <w:spacing w:before="60" w:after="60" w:line="300" w:lineRule="auto"/>
              <w:jc w:val="center"/>
              <w:rPr>
                <w:rFonts w:ascii="Arial" w:hAnsi="Arial" w:cs="Arial"/>
                <w:sz w:val="20"/>
                <w:szCs w:val="20"/>
              </w:rPr>
            </w:pPr>
            <w:r w:rsidRPr="002D7D42">
              <w:rPr>
                <w:rFonts w:ascii="Arial" w:hAnsi="Arial" w:cs="Arial"/>
                <w:sz w:val="20"/>
                <w:szCs w:val="20"/>
              </w:rPr>
              <w:t>Average household size</w:t>
            </w:r>
          </w:p>
        </w:tc>
      </w:tr>
      <w:tr w:rsidR="002D7D42" w:rsidRPr="00395912" w14:paraId="178AEBEE" w14:textId="77777777" w:rsidTr="002D7D42">
        <w:trPr>
          <w:jc w:val="center"/>
        </w:trPr>
        <w:tc>
          <w:tcPr>
            <w:tcW w:w="2880" w:type="dxa"/>
          </w:tcPr>
          <w:p w14:paraId="5FF9D344" w14:textId="0D15AD27" w:rsidR="002D7D42" w:rsidRPr="002D7D42" w:rsidRDefault="002D7D42" w:rsidP="00172F56">
            <w:pPr>
              <w:keepNext/>
              <w:widowControl w:val="0"/>
              <w:spacing w:line="300" w:lineRule="auto"/>
              <w:jc w:val="both"/>
              <w:rPr>
                <w:rFonts w:ascii="Arial" w:hAnsi="Arial" w:cs="Arial"/>
                <w:sz w:val="20"/>
                <w:szCs w:val="20"/>
              </w:rPr>
            </w:pPr>
            <w:r w:rsidRPr="002D7D42">
              <w:rPr>
                <w:rFonts w:ascii="Arial" w:hAnsi="Arial" w:cs="Arial"/>
                <w:sz w:val="20"/>
                <w:szCs w:val="20"/>
              </w:rPr>
              <w:t>St Annes</w:t>
            </w:r>
          </w:p>
        </w:tc>
        <w:tc>
          <w:tcPr>
            <w:tcW w:w="2438" w:type="dxa"/>
          </w:tcPr>
          <w:p w14:paraId="0E2AB5BE" w14:textId="67F70D5C" w:rsidR="002D7D42" w:rsidRPr="002D7D42" w:rsidRDefault="002D7D42" w:rsidP="00243A09">
            <w:pPr>
              <w:keepNext/>
              <w:spacing w:line="300" w:lineRule="auto"/>
              <w:jc w:val="center"/>
              <w:rPr>
                <w:rFonts w:ascii="Arial" w:hAnsi="Arial" w:cs="Arial"/>
                <w:color w:val="000000"/>
                <w:sz w:val="20"/>
                <w:szCs w:val="20"/>
              </w:rPr>
            </w:pPr>
            <w:r w:rsidRPr="002D7D42">
              <w:rPr>
                <w:rFonts w:ascii="Arial" w:hAnsi="Arial" w:cs="Arial"/>
                <w:color w:val="000000"/>
                <w:sz w:val="20"/>
                <w:szCs w:val="20"/>
              </w:rPr>
              <w:t>2.01</w:t>
            </w:r>
          </w:p>
        </w:tc>
      </w:tr>
      <w:tr w:rsidR="002D7D42" w:rsidRPr="00395912" w14:paraId="50AD4AD7" w14:textId="77777777" w:rsidTr="002D7D42">
        <w:trPr>
          <w:jc w:val="center"/>
        </w:trPr>
        <w:tc>
          <w:tcPr>
            <w:tcW w:w="2880" w:type="dxa"/>
          </w:tcPr>
          <w:p w14:paraId="4789BBE3" w14:textId="0B394001" w:rsidR="002D7D42" w:rsidRPr="002D7D42" w:rsidRDefault="002D7D42" w:rsidP="00172F56">
            <w:pPr>
              <w:keepNext/>
              <w:widowControl w:val="0"/>
              <w:spacing w:line="300" w:lineRule="auto"/>
              <w:jc w:val="both"/>
              <w:rPr>
                <w:rFonts w:ascii="Arial" w:hAnsi="Arial" w:cs="Arial"/>
                <w:sz w:val="20"/>
                <w:szCs w:val="20"/>
              </w:rPr>
            </w:pPr>
            <w:r w:rsidRPr="002D7D42">
              <w:rPr>
                <w:rFonts w:ascii="Arial" w:hAnsi="Arial" w:cs="Arial"/>
                <w:sz w:val="20"/>
                <w:szCs w:val="20"/>
              </w:rPr>
              <w:t>Lytham</w:t>
            </w:r>
          </w:p>
        </w:tc>
        <w:tc>
          <w:tcPr>
            <w:tcW w:w="2438" w:type="dxa"/>
          </w:tcPr>
          <w:p w14:paraId="09F9D6AC" w14:textId="22CFCDC3" w:rsidR="002D7D42" w:rsidRPr="002D7D42" w:rsidRDefault="002D7D42" w:rsidP="00243A09">
            <w:pPr>
              <w:keepNext/>
              <w:spacing w:line="300" w:lineRule="auto"/>
              <w:jc w:val="center"/>
              <w:rPr>
                <w:rFonts w:ascii="Arial" w:hAnsi="Arial" w:cs="Arial"/>
                <w:color w:val="000000"/>
                <w:sz w:val="20"/>
                <w:szCs w:val="20"/>
              </w:rPr>
            </w:pPr>
            <w:r w:rsidRPr="002D7D42">
              <w:rPr>
                <w:rFonts w:ascii="Arial" w:hAnsi="Arial" w:cs="Arial"/>
                <w:color w:val="000000"/>
                <w:sz w:val="20"/>
                <w:szCs w:val="20"/>
              </w:rPr>
              <w:t>2.12</w:t>
            </w:r>
          </w:p>
        </w:tc>
      </w:tr>
      <w:tr w:rsidR="002D7D42" w:rsidRPr="00395912" w14:paraId="24287681" w14:textId="77777777" w:rsidTr="002D7D42">
        <w:trPr>
          <w:jc w:val="center"/>
        </w:trPr>
        <w:tc>
          <w:tcPr>
            <w:tcW w:w="2880" w:type="dxa"/>
          </w:tcPr>
          <w:p w14:paraId="231D0973" w14:textId="2D0A2A37" w:rsidR="002D7D42" w:rsidRPr="002D7D42" w:rsidRDefault="002D7D42" w:rsidP="00172F56">
            <w:pPr>
              <w:keepNext/>
              <w:widowControl w:val="0"/>
              <w:spacing w:line="300" w:lineRule="auto"/>
              <w:jc w:val="both"/>
              <w:rPr>
                <w:rFonts w:ascii="Arial" w:hAnsi="Arial" w:cs="Arial"/>
                <w:sz w:val="20"/>
                <w:szCs w:val="20"/>
              </w:rPr>
            </w:pPr>
            <w:r w:rsidRPr="002D7D42">
              <w:rPr>
                <w:rFonts w:ascii="Arial" w:hAnsi="Arial" w:cs="Arial"/>
                <w:sz w:val="20"/>
                <w:szCs w:val="20"/>
              </w:rPr>
              <w:t>Warton</w:t>
            </w:r>
          </w:p>
        </w:tc>
        <w:tc>
          <w:tcPr>
            <w:tcW w:w="2438" w:type="dxa"/>
          </w:tcPr>
          <w:p w14:paraId="2C005779" w14:textId="65E7FA11" w:rsidR="002D7D42" w:rsidRPr="002D7D42" w:rsidRDefault="002D7D42" w:rsidP="00243A09">
            <w:pPr>
              <w:keepNext/>
              <w:spacing w:line="300" w:lineRule="auto"/>
              <w:jc w:val="center"/>
              <w:rPr>
                <w:rFonts w:ascii="Arial" w:hAnsi="Arial" w:cs="Arial"/>
                <w:color w:val="000000"/>
                <w:sz w:val="20"/>
                <w:szCs w:val="20"/>
              </w:rPr>
            </w:pPr>
            <w:r w:rsidRPr="002D7D42">
              <w:rPr>
                <w:rFonts w:ascii="Arial" w:hAnsi="Arial" w:cs="Arial"/>
                <w:color w:val="000000"/>
                <w:sz w:val="20"/>
                <w:szCs w:val="20"/>
              </w:rPr>
              <w:t>2.21</w:t>
            </w:r>
          </w:p>
        </w:tc>
      </w:tr>
      <w:tr w:rsidR="002D7D42" w:rsidRPr="00395912" w14:paraId="0D708632" w14:textId="77777777" w:rsidTr="002D7D42">
        <w:trPr>
          <w:jc w:val="center"/>
        </w:trPr>
        <w:tc>
          <w:tcPr>
            <w:tcW w:w="2880" w:type="dxa"/>
          </w:tcPr>
          <w:p w14:paraId="3F56F985" w14:textId="46B5850A" w:rsidR="002D7D42" w:rsidRPr="002D7D42" w:rsidRDefault="002D7D42" w:rsidP="00172F56">
            <w:pPr>
              <w:keepNext/>
              <w:widowControl w:val="0"/>
              <w:spacing w:line="300" w:lineRule="auto"/>
              <w:jc w:val="both"/>
              <w:rPr>
                <w:rFonts w:ascii="Arial" w:hAnsi="Arial" w:cs="Arial"/>
                <w:sz w:val="20"/>
                <w:szCs w:val="20"/>
              </w:rPr>
            </w:pPr>
            <w:r w:rsidRPr="002D7D42">
              <w:rPr>
                <w:rFonts w:ascii="Arial" w:hAnsi="Arial" w:cs="Arial"/>
                <w:sz w:val="20"/>
                <w:szCs w:val="20"/>
              </w:rPr>
              <w:t>Fylde-Blackpool Periphery</w:t>
            </w:r>
          </w:p>
        </w:tc>
        <w:tc>
          <w:tcPr>
            <w:tcW w:w="2438" w:type="dxa"/>
          </w:tcPr>
          <w:p w14:paraId="06AF482C" w14:textId="0B3BA10B" w:rsidR="002D7D42" w:rsidRPr="002D7D42" w:rsidRDefault="002D7D42" w:rsidP="00243A09">
            <w:pPr>
              <w:keepNext/>
              <w:spacing w:line="300" w:lineRule="auto"/>
              <w:jc w:val="center"/>
              <w:rPr>
                <w:rFonts w:ascii="Arial" w:hAnsi="Arial" w:cs="Arial"/>
                <w:color w:val="000000"/>
                <w:sz w:val="20"/>
                <w:szCs w:val="20"/>
              </w:rPr>
            </w:pPr>
            <w:r w:rsidRPr="002D7D42">
              <w:rPr>
                <w:rFonts w:ascii="Arial" w:hAnsi="Arial" w:cs="Arial"/>
                <w:color w:val="000000"/>
                <w:sz w:val="20"/>
                <w:szCs w:val="20"/>
              </w:rPr>
              <w:t>2.28</w:t>
            </w:r>
          </w:p>
        </w:tc>
      </w:tr>
      <w:tr w:rsidR="002D7D42" w:rsidRPr="00395912" w14:paraId="5E5BFF98" w14:textId="77777777" w:rsidTr="002D7D42">
        <w:trPr>
          <w:jc w:val="center"/>
        </w:trPr>
        <w:tc>
          <w:tcPr>
            <w:tcW w:w="2880" w:type="dxa"/>
          </w:tcPr>
          <w:p w14:paraId="30D8E735" w14:textId="537B330B" w:rsidR="002D7D42" w:rsidRPr="002D7D42" w:rsidRDefault="002D7D42" w:rsidP="00172F56">
            <w:pPr>
              <w:keepNext/>
              <w:widowControl w:val="0"/>
              <w:spacing w:line="300" w:lineRule="auto"/>
              <w:jc w:val="both"/>
              <w:rPr>
                <w:rFonts w:ascii="Arial" w:hAnsi="Arial" w:cs="Arial"/>
                <w:sz w:val="20"/>
                <w:szCs w:val="20"/>
              </w:rPr>
            </w:pPr>
            <w:r w:rsidRPr="002D7D42">
              <w:rPr>
                <w:rFonts w:ascii="Arial" w:hAnsi="Arial" w:cs="Arial"/>
                <w:sz w:val="20"/>
                <w:szCs w:val="20"/>
              </w:rPr>
              <w:t>Kirkham</w:t>
            </w:r>
          </w:p>
        </w:tc>
        <w:tc>
          <w:tcPr>
            <w:tcW w:w="2438" w:type="dxa"/>
          </w:tcPr>
          <w:p w14:paraId="0C2ABB31" w14:textId="07C68B4C" w:rsidR="002D7D42" w:rsidRPr="002D7D42" w:rsidRDefault="002D7D42" w:rsidP="00243A09">
            <w:pPr>
              <w:keepNext/>
              <w:spacing w:line="300" w:lineRule="auto"/>
              <w:jc w:val="center"/>
              <w:rPr>
                <w:rFonts w:ascii="Arial" w:hAnsi="Arial" w:cs="Arial"/>
                <w:color w:val="000000"/>
                <w:sz w:val="20"/>
                <w:szCs w:val="20"/>
              </w:rPr>
            </w:pPr>
            <w:r w:rsidRPr="002D7D42">
              <w:rPr>
                <w:rFonts w:ascii="Arial" w:hAnsi="Arial" w:cs="Arial"/>
                <w:color w:val="000000"/>
                <w:sz w:val="20"/>
                <w:szCs w:val="20"/>
              </w:rPr>
              <w:t>2.33</w:t>
            </w:r>
          </w:p>
        </w:tc>
      </w:tr>
      <w:tr w:rsidR="002D7D42" w:rsidRPr="00395912" w14:paraId="102FD563" w14:textId="77777777" w:rsidTr="002D7D42">
        <w:trPr>
          <w:jc w:val="center"/>
        </w:trPr>
        <w:tc>
          <w:tcPr>
            <w:tcW w:w="2880" w:type="dxa"/>
          </w:tcPr>
          <w:p w14:paraId="0A695E49" w14:textId="22C15C05" w:rsidR="002D7D42" w:rsidRPr="002D7D42" w:rsidRDefault="002D7D42" w:rsidP="00172F56">
            <w:pPr>
              <w:keepNext/>
              <w:widowControl w:val="0"/>
              <w:spacing w:line="300" w:lineRule="auto"/>
              <w:jc w:val="both"/>
              <w:rPr>
                <w:rFonts w:ascii="Arial" w:hAnsi="Arial" w:cs="Arial"/>
                <w:sz w:val="20"/>
                <w:szCs w:val="20"/>
              </w:rPr>
            </w:pPr>
            <w:r w:rsidRPr="002D7D42">
              <w:rPr>
                <w:rFonts w:ascii="Arial" w:hAnsi="Arial" w:cs="Arial"/>
                <w:sz w:val="20"/>
                <w:szCs w:val="20"/>
              </w:rPr>
              <w:t>Wesham</w:t>
            </w:r>
          </w:p>
        </w:tc>
        <w:tc>
          <w:tcPr>
            <w:tcW w:w="2438" w:type="dxa"/>
          </w:tcPr>
          <w:p w14:paraId="0752D7DC" w14:textId="69274DE6" w:rsidR="002D7D42" w:rsidRPr="002D7D42" w:rsidRDefault="002D7D42" w:rsidP="00243A09">
            <w:pPr>
              <w:keepNext/>
              <w:spacing w:line="300" w:lineRule="auto"/>
              <w:jc w:val="center"/>
              <w:rPr>
                <w:rFonts w:ascii="Arial" w:hAnsi="Arial" w:cs="Arial"/>
                <w:color w:val="000000"/>
                <w:sz w:val="20"/>
                <w:szCs w:val="20"/>
              </w:rPr>
            </w:pPr>
            <w:r w:rsidRPr="002D7D42">
              <w:rPr>
                <w:rFonts w:ascii="Arial" w:hAnsi="Arial" w:cs="Arial"/>
                <w:color w:val="000000"/>
                <w:sz w:val="20"/>
                <w:szCs w:val="20"/>
              </w:rPr>
              <w:t>2.29</w:t>
            </w:r>
          </w:p>
        </w:tc>
      </w:tr>
      <w:tr w:rsidR="002D7D42" w:rsidRPr="00395912" w14:paraId="5BCC7425" w14:textId="77777777" w:rsidTr="002D7D42">
        <w:trPr>
          <w:jc w:val="center"/>
        </w:trPr>
        <w:tc>
          <w:tcPr>
            <w:tcW w:w="2880" w:type="dxa"/>
          </w:tcPr>
          <w:p w14:paraId="1619EEDD" w14:textId="215EDD28" w:rsidR="002D7D42" w:rsidRPr="002D7D42" w:rsidRDefault="002D7D42" w:rsidP="00172F56">
            <w:pPr>
              <w:keepNext/>
              <w:widowControl w:val="0"/>
              <w:spacing w:line="300" w:lineRule="auto"/>
              <w:jc w:val="both"/>
              <w:rPr>
                <w:rFonts w:ascii="Arial" w:hAnsi="Arial" w:cs="Arial"/>
                <w:sz w:val="20"/>
                <w:szCs w:val="20"/>
              </w:rPr>
            </w:pPr>
            <w:r w:rsidRPr="002D7D42">
              <w:rPr>
                <w:rFonts w:ascii="Arial" w:hAnsi="Arial" w:cs="Arial"/>
                <w:sz w:val="20"/>
                <w:szCs w:val="20"/>
              </w:rPr>
              <w:t>Freckleton</w:t>
            </w:r>
          </w:p>
        </w:tc>
        <w:tc>
          <w:tcPr>
            <w:tcW w:w="2438" w:type="dxa"/>
          </w:tcPr>
          <w:p w14:paraId="7BED5B17" w14:textId="08CD2D72" w:rsidR="002D7D42" w:rsidRPr="002D7D42" w:rsidRDefault="002D7D42" w:rsidP="00243A09">
            <w:pPr>
              <w:keepNext/>
              <w:spacing w:line="300" w:lineRule="auto"/>
              <w:jc w:val="center"/>
              <w:rPr>
                <w:rFonts w:ascii="Arial" w:hAnsi="Arial" w:cs="Arial"/>
                <w:color w:val="000000"/>
                <w:sz w:val="20"/>
                <w:szCs w:val="20"/>
              </w:rPr>
            </w:pPr>
            <w:r w:rsidRPr="002D7D42">
              <w:rPr>
                <w:rFonts w:ascii="Arial" w:hAnsi="Arial" w:cs="Arial"/>
                <w:color w:val="000000"/>
                <w:sz w:val="20"/>
                <w:szCs w:val="20"/>
              </w:rPr>
              <w:t>2.12</w:t>
            </w:r>
          </w:p>
        </w:tc>
      </w:tr>
      <w:tr w:rsidR="002D7D42" w:rsidRPr="00395912" w14:paraId="14E4671A" w14:textId="77777777" w:rsidTr="002D7D42">
        <w:trPr>
          <w:jc w:val="center"/>
        </w:trPr>
        <w:tc>
          <w:tcPr>
            <w:tcW w:w="2880" w:type="dxa"/>
          </w:tcPr>
          <w:p w14:paraId="4D9093C5" w14:textId="57D9C289" w:rsidR="002D7D42" w:rsidRPr="002D7D42" w:rsidRDefault="002D7D42" w:rsidP="00172F56">
            <w:pPr>
              <w:keepNext/>
              <w:spacing w:line="300" w:lineRule="auto"/>
              <w:jc w:val="both"/>
              <w:rPr>
                <w:rFonts w:ascii="Arial" w:hAnsi="Arial" w:cs="Arial"/>
                <w:sz w:val="20"/>
                <w:szCs w:val="20"/>
              </w:rPr>
            </w:pPr>
            <w:r w:rsidRPr="002D7D42">
              <w:rPr>
                <w:rFonts w:ascii="Arial" w:hAnsi="Arial" w:cs="Arial"/>
                <w:sz w:val="20"/>
                <w:szCs w:val="20"/>
              </w:rPr>
              <w:t>Rural North</w:t>
            </w:r>
          </w:p>
        </w:tc>
        <w:tc>
          <w:tcPr>
            <w:tcW w:w="2438" w:type="dxa"/>
          </w:tcPr>
          <w:p w14:paraId="3E81CEB9" w14:textId="54923590" w:rsidR="002D7D42" w:rsidRPr="002D7D42" w:rsidRDefault="002D7D42" w:rsidP="00243A09">
            <w:pPr>
              <w:keepNext/>
              <w:spacing w:line="300" w:lineRule="auto"/>
              <w:jc w:val="center"/>
              <w:rPr>
                <w:rFonts w:ascii="Arial" w:hAnsi="Arial" w:cs="Arial"/>
                <w:color w:val="000000"/>
                <w:sz w:val="20"/>
                <w:szCs w:val="20"/>
              </w:rPr>
            </w:pPr>
            <w:r w:rsidRPr="002D7D42">
              <w:rPr>
                <w:rFonts w:ascii="Arial" w:hAnsi="Arial" w:cs="Arial"/>
                <w:color w:val="000000"/>
                <w:sz w:val="20"/>
                <w:szCs w:val="20"/>
              </w:rPr>
              <w:t>2.25</w:t>
            </w:r>
          </w:p>
        </w:tc>
      </w:tr>
      <w:tr w:rsidR="002D7D42" w:rsidRPr="00395912" w14:paraId="7FD8838F" w14:textId="77777777" w:rsidTr="002D7D42">
        <w:trPr>
          <w:jc w:val="center"/>
        </w:trPr>
        <w:tc>
          <w:tcPr>
            <w:tcW w:w="2880" w:type="dxa"/>
          </w:tcPr>
          <w:p w14:paraId="19540665" w14:textId="66AA03AB" w:rsidR="002D7D42" w:rsidRPr="002D7D42" w:rsidRDefault="002D7D42" w:rsidP="00172F56">
            <w:pPr>
              <w:keepNext/>
              <w:spacing w:line="300" w:lineRule="auto"/>
              <w:jc w:val="both"/>
              <w:rPr>
                <w:rFonts w:ascii="Arial" w:hAnsi="Arial" w:cs="Arial"/>
                <w:sz w:val="20"/>
                <w:szCs w:val="20"/>
              </w:rPr>
            </w:pPr>
            <w:r w:rsidRPr="002D7D42">
              <w:rPr>
                <w:rFonts w:ascii="Arial" w:hAnsi="Arial" w:cs="Arial"/>
                <w:sz w:val="20"/>
                <w:szCs w:val="20"/>
              </w:rPr>
              <w:t>Rural West</w:t>
            </w:r>
          </w:p>
        </w:tc>
        <w:tc>
          <w:tcPr>
            <w:tcW w:w="2438" w:type="dxa"/>
          </w:tcPr>
          <w:p w14:paraId="47862223" w14:textId="778D090D" w:rsidR="002D7D42" w:rsidRPr="002D7D42" w:rsidRDefault="002D7D42" w:rsidP="00243A09">
            <w:pPr>
              <w:keepNext/>
              <w:spacing w:line="300" w:lineRule="auto"/>
              <w:jc w:val="center"/>
              <w:rPr>
                <w:rFonts w:ascii="Arial" w:hAnsi="Arial" w:cs="Arial"/>
                <w:color w:val="000000"/>
                <w:sz w:val="20"/>
                <w:szCs w:val="20"/>
              </w:rPr>
            </w:pPr>
            <w:r w:rsidRPr="002D7D42">
              <w:rPr>
                <w:rFonts w:ascii="Arial" w:hAnsi="Arial" w:cs="Arial"/>
                <w:color w:val="000000"/>
                <w:sz w:val="20"/>
                <w:szCs w:val="20"/>
              </w:rPr>
              <w:t>2.14</w:t>
            </w:r>
          </w:p>
        </w:tc>
      </w:tr>
      <w:tr w:rsidR="002D7D42" w:rsidRPr="00395912" w14:paraId="6E9E6645" w14:textId="77777777" w:rsidTr="002D7D42">
        <w:trPr>
          <w:jc w:val="center"/>
        </w:trPr>
        <w:tc>
          <w:tcPr>
            <w:tcW w:w="2880" w:type="dxa"/>
          </w:tcPr>
          <w:p w14:paraId="303C05E7" w14:textId="1021C200" w:rsidR="002D7D42" w:rsidRPr="002D7D42" w:rsidRDefault="002D7D42" w:rsidP="00172F56">
            <w:pPr>
              <w:keepNext/>
              <w:spacing w:line="300" w:lineRule="auto"/>
              <w:jc w:val="both"/>
              <w:rPr>
                <w:rFonts w:ascii="Arial" w:hAnsi="Arial" w:cs="Arial"/>
                <w:sz w:val="20"/>
                <w:szCs w:val="20"/>
              </w:rPr>
            </w:pPr>
            <w:r w:rsidRPr="002D7D42">
              <w:rPr>
                <w:rFonts w:ascii="Arial" w:hAnsi="Arial" w:cs="Arial"/>
                <w:sz w:val="20"/>
                <w:szCs w:val="20"/>
              </w:rPr>
              <w:t>Rural East</w:t>
            </w:r>
          </w:p>
        </w:tc>
        <w:tc>
          <w:tcPr>
            <w:tcW w:w="2438" w:type="dxa"/>
          </w:tcPr>
          <w:p w14:paraId="09BB39A0" w14:textId="59590E89" w:rsidR="002D7D42" w:rsidRPr="002D7D42" w:rsidRDefault="002D7D42" w:rsidP="00243A09">
            <w:pPr>
              <w:keepNext/>
              <w:spacing w:line="300" w:lineRule="auto"/>
              <w:jc w:val="center"/>
              <w:rPr>
                <w:rFonts w:ascii="Arial" w:hAnsi="Arial" w:cs="Arial"/>
                <w:color w:val="000000"/>
                <w:sz w:val="20"/>
                <w:szCs w:val="20"/>
              </w:rPr>
            </w:pPr>
            <w:r w:rsidRPr="002D7D42">
              <w:rPr>
                <w:rFonts w:ascii="Arial" w:hAnsi="Arial" w:cs="Arial"/>
                <w:color w:val="000000"/>
                <w:sz w:val="20"/>
                <w:szCs w:val="20"/>
              </w:rPr>
              <w:t>2.23</w:t>
            </w:r>
          </w:p>
        </w:tc>
      </w:tr>
      <w:tr w:rsidR="002D7D42" w:rsidRPr="00395912" w14:paraId="5AD9B26A" w14:textId="77777777" w:rsidTr="002D7D42">
        <w:trPr>
          <w:jc w:val="center"/>
        </w:trPr>
        <w:tc>
          <w:tcPr>
            <w:tcW w:w="2880" w:type="dxa"/>
          </w:tcPr>
          <w:p w14:paraId="4DC65948" w14:textId="082455A8" w:rsidR="002D7D42" w:rsidRPr="002D7D42" w:rsidRDefault="002D7D42" w:rsidP="00172F56">
            <w:pPr>
              <w:keepNext/>
              <w:spacing w:line="300" w:lineRule="auto"/>
              <w:jc w:val="both"/>
              <w:rPr>
                <w:rFonts w:ascii="Arial" w:hAnsi="Arial" w:cs="Arial"/>
                <w:sz w:val="20"/>
                <w:szCs w:val="20"/>
              </w:rPr>
            </w:pPr>
            <w:r w:rsidRPr="002D7D42">
              <w:rPr>
                <w:rFonts w:ascii="Arial" w:hAnsi="Arial" w:cs="Arial"/>
                <w:sz w:val="20"/>
                <w:szCs w:val="20"/>
              </w:rPr>
              <w:t>BOROUGH</w:t>
            </w:r>
          </w:p>
        </w:tc>
        <w:tc>
          <w:tcPr>
            <w:tcW w:w="2438" w:type="dxa"/>
          </w:tcPr>
          <w:p w14:paraId="4D5BEE81" w14:textId="42A77073" w:rsidR="002D7D42" w:rsidRPr="002D7D42" w:rsidRDefault="002D7D42" w:rsidP="00243A09">
            <w:pPr>
              <w:keepNext/>
              <w:spacing w:line="300" w:lineRule="auto"/>
              <w:jc w:val="center"/>
              <w:rPr>
                <w:rFonts w:ascii="Arial" w:hAnsi="Arial" w:cs="Arial"/>
                <w:color w:val="000000"/>
                <w:sz w:val="20"/>
                <w:szCs w:val="20"/>
              </w:rPr>
            </w:pPr>
            <w:r w:rsidRPr="002D7D42">
              <w:rPr>
                <w:rFonts w:ascii="Arial" w:hAnsi="Arial" w:cs="Arial"/>
                <w:color w:val="000000"/>
                <w:sz w:val="20"/>
                <w:szCs w:val="20"/>
              </w:rPr>
              <w:t>2.13</w:t>
            </w:r>
          </w:p>
        </w:tc>
      </w:tr>
    </w:tbl>
    <w:p w14:paraId="6C9E6765" w14:textId="653B6781" w:rsidR="009B67E7" w:rsidRPr="00395912" w:rsidRDefault="00AB789F" w:rsidP="005F3C17">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39F74EAB" w14:textId="77777777" w:rsidR="009B67E7" w:rsidRPr="002D7D42" w:rsidRDefault="009B67E7" w:rsidP="00172F56">
      <w:pPr>
        <w:pStyle w:val="Reporttext0"/>
        <w:keepLines w:val="0"/>
        <w:widowControl w:val="0"/>
        <w:numPr>
          <w:ilvl w:val="0"/>
          <w:numId w:val="0"/>
        </w:numPr>
        <w:spacing w:line="300" w:lineRule="auto"/>
        <w:jc w:val="both"/>
        <w:rPr>
          <w:rFonts w:ascii="Arial" w:hAnsi="Arial" w:cs="Arial"/>
          <w:sz w:val="20"/>
        </w:rPr>
      </w:pPr>
    </w:p>
    <w:p w14:paraId="791ED33C" w14:textId="79566607" w:rsidR="006A6087" w:rsidRPr="006A6087" w:rsidRDefault="002D7D42">
      <w:pPr>
        <w:pStyle w:val="11Bodytext"/>
        <w:numPr>
          <w:ilvl w:val="1"/>
          <w:numId w:val="23"/>
        </w:numPr>
        <w:spacing w:before="0" w:after="0" w:line="300" w:lineRule="auto"/>
        <w:ind w:left="720" w:hanging="720"/>
        <w:rPr>
          <w:color w:val="auto"/>
        </w:rPr>
      </w:pPr>
      <w:r w:rsidRPr="002D7D42">
        <w:t xml:space="preserve">The figure below shows the distribution of dwelling types by different areas in </w:t>
      </w:r>
      <w:r>
        <w:t>Fylde</w:t>
      </w:r>
      <w:r w:rsidRPr="002D7D42">
        <w:t xml:space="preserve"> from the survey data. The data shows notable differences between towns and rural areas with </w:t>
      </w:r>
      <w:r w:rsidR="006A6087">
        <w:t>a much higher proportion of homes</w:t>
      </w:r>
      <w:r w:rsidRPr="002D7D42">
        <w:t xml:space="preserve"> in rural areas being detached houses and </w:t>
      </w:r>
      <w:r w:rsidR="006A6087">
        <w:t xml:space="preserve">a high proportion of bungalows. In </w:t>
      </w:r>
      <w:r w:rsidR="00432414">
        <w:t>St. Annes</w:t>
      </w:r>
      <w:r w:rsidR="006A6087">
        <w:t>, around two-fifths of properties were found from the survey to be flats.</w:t>
      </w:r>
    </w:p>
    <w:p w14:paraId="3D53CFF9" w14:textId="77777777" w:rsidR="006A6087" w:rsidRPr="006A6087" w:rsidRDefault="006A6087" w:rsidP="00172F56">
      <w:pPr>
        <w:pStyle w:val="11Bodytext"/>
        <w:numPr>
          <w:ilvl w:val="0"/>
          <w:numId w:val="0"/>
        </w:numPr>
        <w:spacing w:before="0" w:after="0" w:line="300" w:lineRule="auto"/>
        <w:rPr>
          <w:color w:val="auto"/>
        </w:rPr>
      </w:pPr>
    </w:p>
    <w:tbl>
      <w:tblPr>
        <w:tblStyle w:val="TableTheme"/>
        <w:tblW w:w="9639" w:type="dxa"/>
        <w:tblLayout w:type="fixed"/>
        <w:tblLook w:val="0000" w:firstRow="0" w:lastRow="0" w:firstColumn="0" w:lastColumn="0" w:noHBand="0" w:noVBand="0"/>
      </w:tblPr>
      <w:tblGrid>
        <w:gridCol w:w="1441"/>
        <w:gridCol w:w="540"/>
        <w:gridCol w:w="1276"/>
        <w:gridCol w:w="1276"/>
        <w:gridCol w:w="1277"/>
        <w:gridCol w:w="1276"/>
        <w:gridCol w:w="1276"/>
        <w:gridCol w:w="1277"/>
      </w:tblGrid>
      <w:tr w:rsidR="00267663" w:rsidRPr="003D2556" w14:paraId="17D25797" w14:textId="77777777" w:rsidTr="008469E3">
        <w:tc>
          <w:tcPr>
            <w:tcW w:w="9639" w:type="dxa"/>
            <w:gridSpan w:val="8"/>
          </w:tcPr>
          <w:p w14:paraId="745C666D" w14:textId="5A38587D" w:rsidR="00267663" w:rsidRPr="002D7D42" w:rsidRDefault="00267663" w:rsidP="005F3C17">
            <w:pPr>
              <w:keepNext/>
              <w:widowControl w:val="0"/>
              <w:spacing w:before="60" w:after="60" w:line="300" w:lineRule="auto"/>
              <w:jc w:val="center"/>
              <w:rPr>
                <w:rFonts w:ascii="Arial" w:hAnsi="Arial" w:cs="Arial"/>
                <w:b/>
                <w:sz w:val="20"/>
                <w:szCs w:val="20"/>
              </w:rPr>
            </w:pPr>
            <w:r w:rsidRPr="002D7D42">
              <w:rPr>
                <w:rFonts w:ascii="Arial" w:hAnsi="Arial" w:cs="Arial"/>
                <w:b/>
                <w:sz w:val="20"/>
                <w:szCs w:val="20"/>
              </w:rPr>
              <w:t xml:space="preserve">Figure </w:t>
            </w:r>
            <w:r w:rsidR="00AD29A6">
              <w:rPr>
                <w:rFonts w:ascii="Arial" w:hAnsi="Arial" w:cs="Arial"/>
                <w:b/>
                <w:sz w:val="20"/>
                <w:szCs w:val="20"/>
              </w:rPr>
              <w:t>1.10:</w:t>
            </w:r>
            <w:r w:rsidRPr="002D7D42">
              <w:rPr>
                <w:rFonts w:ascii="Arial" w:hAnsi="Arial" w:cs="Arial"/>
                <w:b/>
                <w:sz w:val="20"/>
                <w:szCs w:val="20"/>
              </w:rPr>
              <w:t xml:space="preserve"> Dwelling type by sub-area</w:t>
            </w:r>
          </w:p>
        </w:tc>
      </w:tr>
      <w:tr w:rsidR="00267663" w:rsidRPr="003D2556" w14:paraId="07145587" w14:textId="77777777" w:rsidTr="008469E3">
        <w:tc>
          <w:tcPr>
            <w:tcW w:w="1981" w:type="dxa"/>
            <w:gridSpan w:val="2"/>
          </w:tcPr>
          <w:p w14:paraId="7B76F639" w14:textId="77777777" w:rsidR="00267663" w:rsidRPr="002D7D42" w:rsidRDefault="00267663" w:rsidP="005F3C17">
            <w:pPr>
              <w:keepNext/>
              <w:widowControl w:val="0"/>
              <w:spacing w:line="300" w:lineRule="auto"/>
              <w:rPr>
                <w:rFonts w:ascii="Arial" w:hAnsi="Arial" w:cs="Arial"/>
                <w:sz w:val="20"/>
                <w:szCs w:val="20"/>
              </w:rPr>
            </w:pPr>
            <w:r w:rsidRPr="002D7D42">
              <w:rPr>
                <w:rFonts w:ascii="Arial" w:hAnsi="Arial" w:cs="Arial"/>
                <w:sz w:val="20"/>
                <w:szCs w:val="20"/>
              </w:rPr>
              <w:t>Sub-area</w:t>
            </w:r>
          </w:p>
        </w:tc>
        <w:tc>
          <w:tcPr>
            <w:tcW w:w="1276" w:type="dxa"/>
          </w:tcPr>
          <w:p w14:paraId="1DD0D5A8" w14:textId="77777777" w:rsidR="00267663" w:rsidRPr="002D7D42" w:rsidRDefault="00267663" w:rsidP="005F3C17">
            <w:pPr>
              <w:keepNext/>
              <w:widowControl w:val="0"/>
              <w:spacing w:line="300" w:lineRule="auto"/>
              <w:jc w:val="center"/>
              <w:rPr>
                <w:rFonts w:ascii="Arial" w:hAnsi="Arial" w:cs="Arial"/>
                <w:sz w:val="20"/>
                <w:szCs w:val="20"/>
              </w:rPr>
            </w:pPr>
            <w:r w:rsidRPr="002D7D42">
              <w:rPr>
                <w:rFonts w:ascii="Arial" w:hAnsi="Arial" w:cs="Arial"/>
                <w:sz w:val="20"/>
                <w:szCs w:val="20"/>
              </w:rPr>
              <w:t>Detached house</w:t>
            </w:r>
          </w:p>
        </w:tc>
        <w:tc>
          <w:tcPr>
            <w:tcW w:w="1276" w:type="dxa"/>
          </w:tcPr>
          <w:p w14:paraId="6FA145B3" w14:textId="77777777" w:rsidR="00267663" w:rsidRPr="002D7D42" w:rsidRDefault="00267663" w:rsidP="005F3C17">
            <w:pPr>
              <w:keepNext/>
              <w:widowControl w:val="0"/>
              <w:spacing w:line="300" w:lineRule="auto"/>
              <w:jc w:val="center"/>
              <w:rPr>
                <w:rFonts w:ascii="Arial" w:hAnsi="Arial" w:cs="Arial"/>
                <w:sz w:val="20"/>
                <w:szCs w:val="20"/>
              </w:rPr>
            </w:pPr>
            <w:r w:rsidRPr="002D7D42">
              <w:rPr>
                <w:rFonts w:ascii="Arial" w:hAnsi="Arial" w:cs="Arial"/>
                <w:sz w:val="20"/>
                <w:szCs w:val="20"/>
              </w:rPr>
              <w:t>Semi-detached house</w:t>
            </w:r>
          </w:p>
        </w:tc>
        <w:tc>
          <w:tcPr>
            <w:tcW w:w="1277" w:type="dxa"/>
          </w:tcPr>
          <w:p w14:paraId="18FBE2A9" w14:textId="77777777" w:rsidR="00267663" w:rsidRPr="002D7D42" w:rsidRDefault="00267663" w:rsidP="005F3C17">
            <w:pPr>
              <w:keepNext/>
              <w:widowControl w:val="0"/>
              <w:spacing w:line="300" w:lineRule="auto"/>
              <w:jc w:val="center"/>
              <w:rPr>
                <w:rFonts w:ascii="Arial" w:hAnsi="Arial" w:cs="Arial"/>
                <w:sz w:val="20"/>
                <w:szCs w:val="20"/>
              </w:rPr>
            </w:pPr>
            <w:r w:rsidRPr="002D7D42">
              <w:rPr>
                <w:rFonts w:ascii="Arial" w:hAnsi="Arial" w:cs="Arial"/>
                <w:sz w:val="20"/>
                <w:szCs w:val="20"/>
              </w:rPr>
              <w:t>Terraced house</w:t>
            </w:r>
          </w:p>
        </w:tc>
        <w:tc>
          <w:tcPr>
            <w:tcW w:w="1276" w:type="dxa"/>
          </w:tcPr>
          <w:p w14:paraId="12331FF9" w14:textId="77777777" w:rsidR="00267663" w:rsidRPr="002D7D42" w:rsidRDefault="00267663" w:rsidP="005F3C17">
            <w:pPr>
              <w:keepNext/>
              <w:widowControl w:val="0"/>
              <w:spacing w:line="300" w:lineRule="auto"/>
              <w:jc w:val="center"/>
              <w:rPr>
                <w:rFonts w:ascii="Arial" w:hAnsi="Arial" w:cs="Arial"/>
                <w:sz w:val="20"/>
                <w:szCs w:val="20"/>
              </w:rPr>
            </w:pPr>
            <w:r w:rsidRPr="002D7D42">
              <w:rPr>
                <w:rFonts w:ascii="Arial" w:hAnsi="Arial" w:cs="Arial"/>
                <w:sz w:val="20"/>
                <w:szCs w:val="20"/>
              </w:rPr>
              <w:t>Bungalow</w:t>
            </w:r>
          </w:p>
        </w:tc>
        <w:tc>
          <w:tcPr>
            <w:tcW w:w="1276" w:type="dxa"/>
          </w:tcPr>
          <w:p w14:paraId="4E5E5E3C" w14:textId="77777777" w:rsidR="00267663" w:rsidRPr="002D7D42" w:rsidRDefault="00267663" w:rsidP="005F3C17">
            <w:pPr>
              <w:keepNext/>
              <w:widowControl w:val="0"/>
              <w:spacing w:line="300" w:lineRule="auto"/>
              <w:jc w:val="center"/>
              <w:rPr>
                <w:rFonts w:ascii="Arial" w:hAnsi="Arial" w:cs="Arial"/>
                <w:sz w:val="20"/>
                <w:szCs w:val="20"/>
              </w:rPr>
            </w:pPr>
            <w:r w:rsidRPr="002D7D42">
              <w:rPr>
                <w:rFonts w:ascii="Arial" w:hAnsi="Arial" w:cs="Arial"/>
                <w:sz w:val="20"/>
                <w:szCs w:val="20"/>
              </w:rPr>
              <w:t>Flat/ maisonette/other</w:t>
            </w:r>
          </w:p>
        </w:tc>
        <w:tc>
          <w:tcPr>
            <w:tcW w:w="1277" w:type="dxa"/>
          </w:tcPr>
          <w:p w14:paraId="15520847" w14:textId="77777777" w:rsidR="00267663" w:rsidRPr="002D7D42" w:rsidRDefault="00267663" w:rsidP="005F3C17">
            <w:pPr>
              <w:keepNext/>
              <w:widowControl w:val="0"/>
              <w:spacing w:line="300" w:lineRule="auto"/>
              <w:jc w:val="center"/>
              <w:rPr>
                <w:rFonts w:ascii="Arial" w:hAnsi="Arial" w:cs="Arial"/>
                <w:sz w:val="20"/>
                <w:szCs w:val="20"/>
              </w:rPr>
            </w:pPr>
            <w:r w:rsidRPr="002D7D42">
              <w:rPr>
                <w:rFonts w:ascii="Arial" w:hAnsi="Arial" w:cs="Arial"/>
                <w:sz w:val="20"/>
                <w:szCs w:val="20"/>
              </w:rPr>
              <w:t>Total</w:t>
            </w:r>
          </w:p>
        </w:tc>
      </w:tr>
      <w:tr w:rsidR="00267663" w:rsidRPr="003D2556" w14:paraId="44887171" w14:textId="77777777" w:rsidTr="008469E3">
        <w:tc>
          <w:tcPr>
            <w:tcW w:w="1441" w:type="dxa"/>
            <w:vMerge w:val="restart"/>
          </w:tcPr>
          <w:p w14:paraId="3221C554" w14:textId="77777777" w:rsidR="00267663" w:rsidRPr="002D7D42" w:rsidRDefault="00267663" w:rsidP="005F3C17">
            <w:pPr>
              <w:keepNext/>
              <w:spacing w:line="300" w:lineRule="auto"/>
              <w:rPr>
                <w:rFonts w:ascii="Arial" w:hAnsi="Arial" w:cs="Arial"/>
                <w:color w:val="000000"/>
                <w:sz w:val="20"/>
                <w:szCs w:val="20"/>
              </w:rPr>
            </w:pPr>
            <w:r w:rsidRPr="002D7D42">
              <w:rPr>
                <w:rFonts w:ascii="Arial" w:hAnsi="Arial" w:cs="Arial"/>
                <w:color w:val="000000"/>
                <w:sz w:val="20"/>
                <w:szCs w:val="20"/>
              </w:rPr>
              <w:t>St. Annes</w:t>
            </w:r>
          </w:p>
        </w:tc>
        <w:tc>
          <w:tcPr>
            <w:tcW w:w="540" w:type="dxa"/>
          </w:tcPr>
          <w:p w14:paraId="549C0493"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No.</w:t>
            </w:r>
          </w:p>
        </w:tc>
        <w:tc>
          <w:tcPr>
            <w:tcW w:w="1276" w:type="dxa"/>
            <w:vAlign w:val="bottom"/>
          </w:tcPr>
          <w:p w14:paraId="00686C2C"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1,480</w:t>
            </w:r>
          </w:p>
        </w:tc>
        <w:tc>
          <w:tcPr>
            <w:tcW w:w="1276" w:type="dxa"/>
            <w:vAlign w:val="bottom"/>
          </w:tcPr>
          <w:p w14:paraId="410A959F"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2,999</w:t>
            </w:r>
          </w:p>
        </w:tc>
        <w:tc>
          <w:tcPr>
            <w:tcW w:w="1277" w:type="dxa"/>
            <w:vAlign w:val="bottom"/>
          </w:tcPr>
          <w:p w14:paraId="4E1AD319"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1,718</w:t>
            </w:r>
          </w:p>
        </w:tc>
        <w:tc>
          <w:tcPr>
            <w:tcW w:w="1276" w:type="dxa"/>
            <w:vAlign w:val="bottom"/>
          </w:tcPr>
          <w:p w14:paraId="7621423E"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2,215</w:t>
            </w:r>
          </w:p>
        </w:tc>
        <w:tc>
          <w:tcPr>
            <w:tcW w:w="1276" w:type="dxa"/>
            <w:vAlign w:val="bottom"/>
          </w:tcPr>
          <w:p w14:paraId="74F72E65"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5,399</w:t>
            </w:r>
          </w:p>
        </w:tc>
        <w:tc>
          <w:tcPr>
            <w:tcW w:w="1277" w:type="dxa"/>
            <w:vAlign w:val="bottom"/>
          </w:tcPr>
          <w:p w14:paraId="49BBCBDB"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13,811</w:t>
            </w:r>
          </w:p>
        </w:tc>
      </w:tr>
      <w:tr w:rsidR="00267663" w:rsidRPr="003D2556" w14:paraId="6D6B14BD" w14:textId="77777777" w:rsidTr="008469E3">
        <w:tc>
          <w:tcPr>
            <w:tcW w:w="1441" w:type="dxa"/>
            <w:vMerge/>
          </w:tcPr>
          <w:p w14:paraId="4174D092" w14:textId="77777777" w:rsidR="00267663" w:rsidRPr="002D7D42" w:rsidRDefault="00267663" w:rsidP="005F3C17">
            <w:pPr>
              <w:keepNext/>
              <w:spacing w:line="300" w:lineRule="auto"/>
              <w:rPr>
                <w:rFonts w:ascii="Arial" w:hAnsi="Arial" w:cs="Arial"/>
                <w:sz w:val="20"/>
                <w:szCs w:val="20"/>
              </w:rPr>
            </w:pPr>
          </w:p>
        </w:tc>
        <w:tc>
          <w:tcPr>
            <w:tcW w:w="540" w:type="dxa"/>
          </w:tcPr>
          <w:p w14:paraId="397246AF"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w:t>
            </w:r>
          </w:p>
        </w:tc>
        <w:tc>
          <w:tcPr>
            <w:tcW w:w="1276" w:type="dxa"/>
            <w:vAlign w:val="bottom"/>
          </w:tcPr>
          <w:p w14:paraId="700E72A6"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10.7%</w:t>
            </w:r>
          </w:p>
        </w:tc>
        <w:tc>
          <w:tcPr>
            <w:tcW w:w="1276" w:type="dxa"/>
            <w:vAlign w:val="bottom"/>
          </w:tcPr>
          <w:p w14:paraId="75514AA7"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21.7%</w:t>
            </w:r>
          </w:p>
        </w:tc>
        <w:tc>
          <w:tcPr>
            <w:tcW w:w="1277" w:type="dxa"/>
            <w:vAlign w:val="bottom"/>
          </w:tcPr>
          <w:p w14:paraId="4AA9EEB7"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12.4%</w:t>
            </w:r>
          </w:p>
        </w:tc>
        <w:tc>
          <w:tcPr>
            <w:tcW w:w="1276" w:type="dxa"/>
            <w:vAlign w:val="bottom"/>
          </w:tcPr>
          <w:p w14:paraId="7437BAAB"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16.0%</w:t>
            </w:r>
          </w:p>
        </w:tc>
        <w:tc>
          <w:tcPr>
            <w:tcW w:w="1276" w:type="dxa"/>
            <w:vAlign w:val="bottom"/>
          </w:tcPr>
          <w:p w14:paraId="19012A4F"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39.1%</w:t>
            </w:r>
          </w:p>
        </w:tc>
        <w:tc>
          <w:tcPr>
            <w:tcW w:w="1277" w:type="dxa"/>
            <w:vAlign w:val="bottom"/>
          </w:tcPr>
          <w:p w14:paraId="5CC0D9A9"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100.0%</w:t>
            </w:r>
          </w:p>
        </w:tc>
      </w:tr>
      <w:tr w:rsidR="00267663" w:rsidRPr="003D2556" w14:paraId="2A680253" w14:textId="77777777" w:rsidTr="008469E3">
        <w:tc>
          <w:tcPr>
            <w:tcW w:w="1441" w:type="dxa"/>
            <w:vMerge w:val="restart"/>
          </w:tcPr>
          <w:p w14:paraId="40078987" w14:textId="77777777" w:rsidR="00267663" w:rsidRPr="002D7D42" w:rsidRDefault="00267663" w:rsidP="005F3C17">
            <w:pPr>
              <w:keepNext/>
              <w:spacing w:line="300" w:lineRule="auto"/>
              <w:rPr>
                <w:rFonts w:ascii="Arial" w:hAnsi="Arial" w:cs="Arial"/>
                <w:sz w:val="20"/>
                <w:szCs w:val="20"/>
              </w:rPr>
            </w:pPr>
            <w:r w:rsidRPr="002D7D42">
              <w:rPr>
                <w:rFonts w:ascii="Arial" w:hAnsi="Arial" w:cs="Arial"/>
                <w:sz w:val="20"/>
                <w:szCs w:val="20"/>
              </w:rPr>
              <w:t>Lytham</w:t>
            </w:r>
          </w:p>
        </w:tc>
        <w:tc>
          <w:tcPr>
            <w:tcW w:w="540" w:type="dxa"/>
          </w:tcPr>
          <w:p w14:paraId="7C33C50C"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No.</w:t>
            </w:r>
          </w:p>
        </w:tc>
        <w:tc>
          <w:tcPr>
            <w:tcW w:w="1276" w:type="dxa"/>
            <w:vAlign w:val="bottom"/>
          </w:tcPr>
          <w:p w14:paraId="691B68B9"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1,239</w:t>
            </w:r>
          </w:p>
        </w:tc>
        <w:tc>
          <w:tcPr>
            <w:tcW w:w="1276" w:type="dxa"/>
            <w:vAlign w:val="bottom"/>
          </w:tcPr>
          <w:p w14:paraId="5B8D7BB7"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1,880</w:t>
            </w:r>
          </w:p>
        </w:tc>
        <w:tc>
          <w:tcPr>
            <w:tcW w:w="1277" w:type="dxa"/>
            <w:vAlign w:val="bottom"/>
          </w:tcPr>
          <w:p w14:paraId="5DCFF4A5"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2,050</w:t>
            </w:r>
          </w:p>
        </w:tc>
        <w:tc>
          <w:tcPr>
            <w:tcW w:w="1276" w:type="dxa"/>
            <w:vAlign w:val="bottom"/>
          </w:tcPr>
          <w:p w14:paraId="0DE93DA1"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1,327</w:t>
            </w:r>
          </w:p>
        </w:tc>
        <w:tc>
          <w:tcPr>
            <w:tcW w:w="1276" w:type="dxa"/>
            <w:vAlign w:val="bottom"/>
          </w:tcPr>
          <w:p w14:paraId="47EDFB3E"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2,003</w:t>
            </w:r>
          </w:p>
        </w:tc>
        <w:tc>
          <w:tcPr>
            <w:tcW w:w="1277" w:type="dxa"/>
            <w:vAlign w:val="bottom"/>
          </w:tcPr>
          <w:p w14:paraId="0FCC4461"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8,498</w:t>
            </w:r>
          </w:p>
        </w:tc>
      </w:tr>
      <w:tr w:rsidR="00267663" w:rsidRPr="003D2556" w14:paraId="24AD39E8" w14:textId="77777777" w:rsidTr="008469E3">
        <w:tc>
          <w:tcPr>
            <w:tcW w:w="1441" w:type="dxa"/>
            <w:vMerge/>
          </w:tcPr>
          <w:p w14:paraId="732DEFC2" w14:textId="77777777" w:rsidR="00267663" w:rsidRPr="002D7D42" w:rsidRDefault="00267663" w:rsidP="005F3C17">
            <w:pPr>
              <w:keepNext/>
              <w:spacing w:line="300" w:lineRule="auto"/>
              <w:rPr>
                <w:rFonts w:ascii="Arial" w:hAnsi="Arial" w:cs="Arial"/>
                <w:sz w:val="20"/>
                <w:szCs w:val="20"/>
              </w:rPr>
            </w:pPr>
          </w:p>
        </w:tc>
        <w:tc>
          <w:tcPr>
            <w:tcW w:w="540" w:type="dxa"/>
          </w:tcPr>
          <w:p w14:paraId="4453DBDD"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w:t>
            </w:r>
          </w:p>
        </w:tc>
        <w:tc>
          <w:tcPr>
            <w:tcW w:w="1276" w:type="dxa"/>
            <w:vAlign w:val="bottom"/>
          </w:tcPr>
          <w:p w14:paraId="602686D3"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14.6%</w:t>
            </w:r>
          </w:p>
        </w:tc>
        <w:tc>
          <w:tcPr>
            <w:tcW w:w="1276" w:type="dxa"/>
            <w:vAlign w:val="bottom"/>
          </w:tcPr>
          <w:p w14:paraId="410F28D0"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22.1%</w:t>
            </w:r>
          </w:p>
        </w:tc>
        <w:tc>
          <w:tcPr>
            <w:tcW w:w="1277" w:type="dxa"/>
            <w:vAlign w:val="bottom"/>
          </w:tcPr>
          <w:p w14:paraId="7D9D9D6F"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24.1%</w:t>
            </w:r>
          </w:p>
        </w:tc>
        <w:tc>
          <w:tcPr>
            <w:tcW w:w="1276" w:type="dxa"/>
            <w:vAlign w:val="bottom"/>
          </w:tcPr>
          <w:p w14:paraId="22AD9E6B"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15.6%</w:t>
            </w:r>
          </w:p>
        </w:tc>
        <w:tc>
          <w:tcPr>
            <w:tcW w:w="1276" w:type="dxa"/>
            <w:vAlign w:val="bottom"/>
          </w:tcPr>
          <w:p w14:paraId="79A32258"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23.6%</w:t>
            </w:r>
          </w:p>
        </w:tc>
        <w:tc>
          <w:tcPr>
            <w:tcW w:w="1277" w:type="dxa"/>
            <w:vAlign w:val="bottom"/>
          </w:tcPr>
          <w:p w14:paraId="02698202"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100.0%</w:t>
            </w:r>
          </w:p>
        </w:tc>
      </w:tr>
      <w:tr w:rsidR="00267663" w:rsidRPr="003D2556" w14:paraId="20DBCD8F" w14:textId="77777777" w:rsidTr="008469E3">
        <w:tc>
          <w:tcPr>
            <w:tcW w:w="1441" w:type="dxa"/>
            <w:vMerge w:val="restart"/>
          </w:tcPr>
          <w:p w14:paraId="24932F16" w14:textId="77777777" w:rsidR="00267663" w:rsidRPr="002D7D42" w:rsidRDefault="00267663" w:rsidP="005F3C17">
            <w:pPr>
              <w:keepNext/>
              <w:spacing w:line="300" w:lineRule="auto"/>
              <w:rPr>
                <w:rFonts w:ascii="Arial" w:hAnsi="Arial" w:cs="Arial"/>
                <w:color w:val="000000"/>
                <w:sz w:val="20"/>
                <w:szCs w:val="20"/>
              </w:rPr>
            </w:pPr>
            <w:r w:rsidRPr="002D7D42">
              <w:rPr>
                <w:rFonts w:ascii="Arial" w:hAnsi="Arial" w:cs="Arial"/>
                <w:color w:val="000000"/>
                <w:sz w:val="20"/>
                <w:szCs w:val="20"/>
              </w:rPr>
              <w:t>Warton</w:t>
            </w:r>
          </w:p>
        </w:tc>
        <w:tc>
          <w:tcPr>
            <w:tcW w:w="540" w:type="dxa"/>
          </w:tcPr>
          <w:p w14:paraId="3D821325"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No.</w:t>
            </w:r>
          </w:p>
        </w:tc>
        <w:tc>
          <w:tcPr>
            <w:tcW w:w="1276" w:type="dxa"/>
            <w:vAlign w:val="bottom"/>
          </w:tcPr>
          <w:p w14:paraId="4225361A"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420</w:t>
            </w:r>
          </w:p>
        </w:tc>
        <w:tc>
          <w:tcPr>
            <w:tcW w:w="1276" w:type="dxa"/>
            <w:vAlign w:val="bottom"/>
          </w:tcPr>
          <w:p w14:paraId="28995E1C"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595</w:t>
            </w:r>
          </w:p>
        </w:tc>
        <w:tc>
          <w:tcPr>
            <w:tcW w:w="1277" w:type="dxa"/>
            <w:vAlign w:val="bottom"/>
          </w:tcPr>
          <w:p w14:paraId="1EBC29C5"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548</w:t>
            </w:r>
          </w:p>
        </w:tc>
        <w:tc>
          <w:tcPr>
            <w:tcW w:w="1276" w:type="dxa"/>
            <w:vAlign w:val="bottom"/>
          </w:tcPr>
          <w:p w14:paraId="339B3CFD"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417</w:t>
            </w:r>
          </w:p>
        </w:tc>
        <w:tc>
          <w:tcPr>
            <w:tcW w:w="1276" w:type="dxa"/>
            <w:vAlign w:val="bottom"/>
          </w:tcPr>
          <w:p w14:paraId="657F8841"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165</w:t>
            </w:r>
          </w:p>
        </w:tc>
        <w:tc>
          <w:tcPr>
            <w:tcW w:w="1277" w:type="dxa"/>
            <w:vAlign w:val="bottom"/>
          </w:tcPr>
          <w:p w14:paraId="689B175A"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2,144</w:t>
            </w:r>
          </w:p>
        </w:tc>
      </w:tr>
      <w:tr w:rsidR="00267663" w:rsidRPr="003D2556" w14:paraId="568D165F" w14:textId="77777777" w:rsidTr="008469E3">
        <w:tc>
          <w:tcPr>
            <w:tcW w:w="1441" w:type="dxa"/>
            <w:vMerge/>
          </w:tcPr>
          <w:p w14:paraId="2B69B613" w14:textId="77777777" w:rsidR="00267663" w:rsidRPr="002D7D42" w:rsidRDefault="00267663" w:rsidP="005F3C17">
            <w:pPr>
              <w:keepNext/>
              <w:spacing w:line="300" w:lineRule="auto"/>
              <w:rPr>
                <w:rFonts w:ascii="Arial" w:hAnsi="Arial" w:cs="Arial"/>
                <w:color w:val="000000"/>
                <w:sz w:val="20"/>
                <w:szCs w:val="20"/>
              </w:rPr>
            </w:pPr>
          </w:p>
        </w:tc>
        <w:tc>
          <w:tcPr>
            <w:tcW w:w="540" w:type="dxa"/>
          </w:tcPr>
          <w:p w14:paraId="117AC98D"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w:t>
            </w:r>
          </w:p>
        </w:tc>
        <w:tc>
          <w:tcPr>
            <w:tcW w:w="1276" w:type="dxa"/>
            <w:vAlign w:val="bottom"/>
          </w:tcPr>
          <w:p w14:paraId="2E92E71D"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19.6%</w:t>
            </w:r>
          </w:p>
        </w:tc>
        <w:tc>
          <w:tcPr>
            <w:tcW w:w="1276" w:type="dxa"/>
            <w:vAlign w:val="bottom"/>
          </w:tcPr>
          <w:p w14:paraId="54B9028D"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27.7%</w:t>
            </w:r>
          </w:p>
        </w:tc>
        <w:tc>
          <w:tcPr>
            <w:tcW w:w="1277" w:type="dxa"/>
            <w:vAlign w:val="bottom"/>
          </w:tcPr>
          <w:p w14:paraId="58A3ABD8"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25.6%</w:t>
            </w:r>
          </w:p>
        </w:tc>
        <w:tc>
          <w:tcPr>
            <w:tcW w:w="1276" w:type="dxa"/>
            <w:vAlign w:val="bottom"/>
          </w:tcPr>
          <w:p w14:paraId="1A046865"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19.4%</w:t>
            </w:r>
          </w:p>
        </w:tc>
        <w:tc>
          <w:tcPr>
            <w:tcW w:w="1276" w:type="dxa"/>
            <w:vAlign w:val="bottom"/>
          </w:tcPr>
          <w:p w14:paraId="3625A5E3"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7.7%</w:t>
            </w:r>
          </w:p>
        </w:tc>
        <w:tc>
          <w:tcPr>
            <w:tcW w:w="1277" w:type="dxa"/>
            <w:vAlign w:val="bottom"/>
          </w:tcPr>
          <w:p w14:paraId="5D59BBF9"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100.0%</w:t>
            </w:r>
          </w:p>
        </w:tc>
      </w:tr>
      <w:tr w:rsidR="00267663" w:rsidRPr="003D2556" w14:paraId="248CE2A6" w14:textId="77777777" w:rsidTr="008469E3">
        <w:tc>
          <w:tcPr>
            <w:tcW w:w="1441" w:type="dxa"/>
            <w:vMerge w:val="restart"/>
          </w:tcPr>
          <w:p w14:paraId="7DA02F52" w14:textId="77777777" w:rsidR="00267663" w:rsidRPr="002D7D42" w:rsidRDefault="00267663" w:rsidP="005F3C17">
            <w:pPr>
              <w:keepNext/>
              <w:spacing w:line="300" w:lineRule="auto"/>
              <w:rPr>
                <w:rFonts w:ascii="Arial" w:hAnsi="Arial" w:cs="Arial"/>
                <w:color w:val="000000"/>
                <w:sz w:val="20"/>
                <w:szCs w:val="20"/>
              </w:rPr>
            </w:pPr>
            <w:r w:rsidRPr="002D7D42">
              <w:rPr>
                <w:rFonts w:ascii="Arial" w:hAnsi="Arial" w:cs="Arial"/>
                <w:color w:val="000000"/>
                <w:sz w:val="20"/>
                <w:szCs w:val="20"/>
              </w:rPr>
              <w:t>Fylde/BP Periphery</w:t>
            </w:r>
          </w:p>
        </w:tc>
        <w:tc>
          <w:tcPr>
            <w:tcW w:w="540" w:type="dxa"/>
          </w:tcPr>
          <w:p w14:paraId="054463D0"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No.</w:t>
            </w:r>
          </w:p>
        </w:tc>
        <w:tc>
          <w:tcPr>
            <w:tcW w:w="1276" w:type="dxa"/>
            <w:vAlign w:val="bottom"/>
          </w:tcPr>
          <w:p w14:paraId="2BB5E254"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317</w:t>
            </w:r>
          </w:p>
        </w:tc>
        <w:tc>
          <w:tcPr>
            <w:tcW w:w="1276" w:type="dxa"/>
            <w:vAlign w:val="bottom"/>
          </w:tcPr>
          <w:p w14:paraId="7BB87A18"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151</w:t>
            </w:r>
          </w:p>
        </w:tc>
        <w:tc>
          <w:tcPr>
            <w:tcW w:w="1277" w:type="dxa"/>
            <w:vAlign w:val="bottom"/>
          </w:tcPr>
          <w:p w14:paraId="6F30D2CB"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250</w:t>
            </w:r>
          </w:p>
        </w:tc>
        <w:tc>
          <w:tcPr>
            <w:tcW w:w="1276" w:type="dxa"/>
            <w:vAlign w:val="bottom"/>
          </w:tcPr>
          <w:p w14:paraId="3F139B20"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47</w:t>
            </w:r>
          </w:p>
        </w:tc>
        <w:tc>
          <w:tcPr>
            <w:tcW w:w="1276" w:type="dxa"/>
            <w:vAlign w:val="bottom"/>
          </w:tcPr>
          <w:p w14:paraId="6E32EB52"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364</w:t>
            </w:r>
          </w:p>
        </w:tc>
        <w:tc>
          <w:tcPr>
            <w:tcW w:w="1277" w:type="dxa"/>
            <w:vAlign w:val="bottom"/>
          </w:tcPr>
          <w:p w14:paraId="327A9AAE"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1,129</w:t>
            </w:r>
          </w:p>
        </w:tc>
      </w:tr>
      <w:tr w:rsidR="00267663" w:rsidRPr="003D2556" w14:paraId="28DC4CD9" w14:textId="77777777" w:rsidTr="008469E3">
        <w:tc>
          <w:tcPr>
            <w:tcW w:w="1441" w:type="dxa"/>
            <w:vMerge/>
          </w:tcPr>
          <w:p w14:paraId="4BDFC130" w14:textId="77777777" w:rsidR="00267663" w:rsidRPr="002D7D42" w:rsidRDefault="00267663" w:rsidP="005F3C17">
            <w:pPr>
              <w:keepNext/>
              <w:spacing w:line="300" w:lineRule="auto"/>
              <w:rPr>
                <w:rFonts w:ascii="Arial" w:hAnsi="Arial" w:cs="Arial"/>
                <w:color w:val="000000"/>
                <w:sz w:val="20"/>
                <w:szCs w:val="20"/>
              </w:rPr>
            </w:pPr>
          </w:p>
        </w:tc>
        <w:tc>
          <w:tcPr>
            <w:tcW w:w="540" w:type="dxa"/>
          </w:tcPr>
          <w:p w14:paraId="620321D5"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w:t>
            </w:r>
          </w:p>
        </w:tc>
        <w:tc>
          <w:tcPr>
            <w:tcW w:w="1276" w:type="dxa"/>
            <w:vAlign w:val="bottom"/>
          </w:tcPr>
          <w:p w14:paraId="2D35C897"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28.1%</w:t>
            </w:r>
          </w:p>
        </w:tc>
        <w:tc>
          <w:tcPr>
            <w:tcW w:w="1276" w:type="dxa"/>
            <w:vAlign w:val="bottom"/>
          </w:tcPr>
          <w:p w14:paraId="035D0507"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13.4%</w:t>
            </w:r>
          </w:p>
        </w:tc>
        <w:tc>
          <w:tcPr>
            <w:tcW w:w="1277" w:type="dxa"/>
            <w:vAlign w:val="bottom"/>
          </w:tcPr>
          <w:p w14:paraId="22968B8D"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22.1%</w:t>
            </w:r>
          </w:p>
        </w:tc>
        <w:tc>
          <w:tcPr>
            <w:tcW w:w="1276" w:type="dxa"/>
            <w:vAlign w:val="bottom"/>
          </w:tcPr>
          <w:p w14:paraId="047467EF"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4.2%</w:t>
            </w:r>
          </w:p>
        </w:tc>
        <w:tc>
          <w:tcPr>
            <w:tcW w:w="1276" w:type="dxa"/>
            <w:vAlign w:val="bottom"/>
          </w:tcPr>
          <w:p w14:paraId="00C3E8C9"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32.3%</w:t>
            </w:r>
          </w:p>
        </w:tc>
        <w:tc>
          <w:tcPr>
            <w:tcW w:w="1277" w:type="dxa"/>
            <w:vAlign w:val="bottom"/>
          </w:tcPr>
          <w:p w14:paraId="76C619E5"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100.0%</w:t>
            </w:r>
          </w:p>
        </w:tc>
      </w:tr>
      <w:tr w:rsidR="00267663" w:rsidRPr="003D2556" w14:paraId="11BA2ABF" w14:textId="77777777" w:rsidTr="008469E3">
        <w:tc>
          <w:tcPr>
            <w:tcW w:w="1441" w:type="dxa"/>
            <w:vMerge w:val="restart"/>
          </w:tcPr>
          <w:p w14:paraId="267CDA01" w14:textId="77777777" w:rsidR="00267663" w:rsidRPr="002D7D42" w:rsidRDefault="00267663" w:rsidP="005F3C17">
            <w:pPr>
              <w:keepNext/>
              <w:spacing w:line="300" w:lineRule="auto"/>
              <w:rPr>
                <w:rFonts w:ascii="Arial" w:hAnsi="Arial" w:cs="Arial"/>
                <w:color w:val="000000"/>
                <w:sz w:val="20"/>
                <w:szCs w:val="20"/>
              </w:rPr>
            </w:pPr>
            <w:r w:rsidRPr="002D7D42">
              <w:rPr>
                <w:rFonts w:ascii="Arial" w:hAnsi="Arial" w:cs="Arial"/>
                <w:color w:val="000000"/>
                <w:sz w:val="20"/>
                <w:szCs w:val="20"/>
              </w:rPr>
              <w:t>Kirkham</w:t>
            </w:r>
          </w:p>
        </w:tc>
        <w:tc>
          <w:tcPr>
            <w:tcW w:w="540" w:type="dxa"/>
          </w:tcPr>
          <w:p w14:paraId="1EC4228B"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No.</w:t>
            </w:r>
          </w:p>
        </w:tc>
        <w:tc>
          <w:tcPr>
            <w:tcW w:w="1276" w:type="dxa"/>
            <w:vAlign w:val="bottom"/>
          </w:tcPr>
          <w:p w14:paraId="656E0197"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775</w:t>
            </w:r>
          </w:p>
        </w:tc>
        <w:tc>
          <w:tcPr>
            <w:tcW w:w="1276" w:type="dxa"/>
            <w:vAlign w:val="bottom"/>
          </w:tcPr>
          <w:p w14:paraId="483FE88E"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788</w:t>
            </w:r>
          </w:p>
        </w:tc>
        <w:tc>
          <w:tcPr>
            <w:tcW w:w="1277" w:type="dxa"/>
            <w:vAlign w:val="bottom"/>
          </w:tcPr>
          <w:p w14:paraId="56C95C3D"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1,054</w:t>
            </w:r>
          </w:p>
        </w:tc>
        <w:tc>
          <w:tcPr>
            <w:tcW w:w="1276" w:type="dxa"/>
            <w:vAlign w:val="bottom"/>
          </w:tcPr>
          <w:p w14:paraId="05E46309"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388</w:t>
            </w:r>
          </w:p>
        </w:tc>
        <w:tc>
          <w:tcPr>
            <w:tcW w:w="1276" w:type="dxa"/>
            <w:vAlign w:val="bottom"/>
          </w:tcPr>
          <w:p w14:paraId="25B7FFB3"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280</w:t>
            </w:r>
          </w:p>
        </w:tc>
        <w:tc>
          <w:tcPr>
            <w:tcW w:w="1277" w:type="dxa"/>
            <w:vAlign w:val="bottom"/>
          </w:tcPr>
          <w:p w14:paraId="1ED94F0B"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3,285</w:t>
            </w:r>
          </w:p>
        </w:tc>
      </w:tr>
      <w:tr w:rsidR="00267663" w:rsidRPr="003D2556" w14:paraId="392FF3D3" w14:textId="77777777" w:rsidTr="008469E3">
        <w:tc>
          <w:tcPr>
            <w:tcW w:w="1441" w:type="dxa"/>
            <w:vMerge/>
          </w:tcPr>
          <w:p w14:paraId="2E069B62" w14:textId="77777777" w:rsidR="00267663" w:rsidRPr="002D7D42" w:rsidRDefault="00267663" w:rsidP="005F3C17">
            <w:pPr>
              <w:keepNext/>
              <w:spacing w:line="300" w:lineRule="auto"/>
              <w:rPr>
                <w:rFonts w:ascii="Arial" w:hAnsi="Arial" w:cs="Arial"/>
                <w:color w:val="000000"/>
                <w:sz w:val="20"/>
                <w:szCs w:val="20"/>
              </w:rPr>
            </w:pPr>
          </w:p>
        </w:tc>
        <w:tc>
          <w:tcPr>
            <w:tcW w:w="540" w:type="dxa"/>
          </w:tcPr>
          <w:p w14:paraId="4E83C8B5"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w:t>
            </w:r>
          </w:p>
        </w:tc>
        <w:tc>
          <w:tcPr>
            <w:tcW w:w="1276" w:type="dxa"/>
            <w:vAlign w:val="bottom"/>
          </w:tcPr>
          <w:p w14:paraId="30B793E2"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23.6%</w:t>
            </w:r>
          </w:p>
        </w:tc>
        <w:tc>
          <w:tcPr>
            <w:tcW w:w="1276" w:type="dxa"/>
            <w:vAlign w:val="bottom"/>
          </w:tcPr>
          <w:p w14:paraId="0DB10D90"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24.0%</w:t>
            </w:r>
          </w:p>
        </w:tc>
        <w:tc>
          <w:tcPr>
            <w:tcW w:w="1277" w:type="dxa"/>
            <w:vAlign w:val="bottom"/>
          </w:tcPr>
          <w:p w14:paraId="5C61F33A"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32.1%</w:t>
            </w:r>
          </w:p>
        </w:tc>
        <w:tc>
          <w:tcPr>
            <w:tcW w:w="1276" w:type="dxa"/>
            <w:vAlign w:val="bottom"/>
          </w:tcPr>
          <w:p w14:paraId="34BCCE77"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11.8%</w:t>
            </w:r>
          </w:p>
        </w:tc>
        <w:tc>
          <w:tcPr>
            <w:tcW w:w="1276" w:type="dxa"/>
            <w:vAlign w:val="bottom"/>
          </w:tcPr>
          <w:p w14:paraId="4A496F44"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8.5%</w:t>
            </w:r>
          </w:p>
        </w:tc>
        <w:tc>
          <w:tcPr>
            <w:tcW w:w="1277" w:type="dxa"/>
            <w:vAlign w:val="bottom"/>
          </w:tcPr>
          <w:p w14:paraId="7E3E5AD7"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100.0%</w:t>
            </w:r>
          </w:p>
        </w:tc>
      </w:tr>
      <w:tr w:rsidR="00267663" w:rsidRPr="003D2556" w14:paraId="62356188" w14:textId="77777777" w:rsidTr="008469E3">
        <w:tc>
          <w:tcPr>
            <w:tcW w:w="1441" w:type="dxa"/>
            <w:vMerge w:val="restart"/>
          </w:tcPr>
          <w:p w14:paraId="7FA9BA18" w14:textId="77777777" w:rsidR="00267663" w:rsidRPr="002D7D42" w:rsidRDefault="00267663" w:rsidP="005F3C17">
            <w:pPr>
              <w:keepNext/>
              <w:spacing w:line="300" w:lineRule="auto"/>
              <w:rPr>
                <w:rFonts w:ascii="Arial" w:hAnsi="Arial" w:cs="Arial"/>
                <w:sz w:val="20"/>
                <w:szCs w:val="20"/>
              </w:rPr>
            </w:pPr>
            <w:r w:rsidRPr="002D7D42">
              <w:rPr>
                <w:rFonts w:ascii="Arial" w:hAnsi="Arial" w:cs="Arial"/>
                <w:sz w:val="20"/>
                <w:szCs w:val="20"/>
              </w:rPr>
              <w:t>Wesham</w:t>
            </w:r>
          </w:p>
        </w:tc>
        <w:tc>
          <w:tcPr>
            <w:tcW w:w="540" w:type="dxa"/>
          </w:tcPr>
          <w:p w14:paraId="2D551FC2"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No.</w:t>
            </w:r>
          </w:p>
        </w:tc>
        <w:tc>
          <w:tcPr>
            <w:tcW w:w="1276" w:type="dxa"/>
            <w:vAlign w:val="bottom"/>
          </w:tcPr>
          <w:p w14:paraId="35B024D4"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636</w:t>
            </w:r>
          </w:p>
        </w:tc>
        <w:tc>
          <w:tcPr>
            <w:tcW w:w="1276" w:type="dxa"/>
            <w:vAlign w:val="bottom"/>
          </w:tcPr>
          <w:p w14:paraId="41819A34"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315</w:t>
            </w:r>
          </w:p>
        </w:tc>
        <w:tc>
          <w:tcPr>
            <w:tcW w:w="1277" w:type="dxa"/>
            <w:vAlign w:val="bottom"/>
          </w:tcPr>
          <w:p w14:paraId="240597C8"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584</w:t>
            </w:r>
          </w:p>
        </w:tc>
        <w:tc>
          <w:tcPr>
            <w:tcW w:w="1276" w:type="dxa"/>
            <w:vAlign w:val="bottom"/>
          </w:tcPr>
          <w:p w14:paraId="059C93CC"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95</w:t>
            </w:r>
          </w:p>
        </w:tc>
        <w:tc>
          <w:tcPr>
            <w:tcW w:w="1276" w:type="dxa"/>
            <w:vAlign w:val="bottom"/>
          </w:tcPr>
          <w:p w14:paraId="62DEBF2A"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312</w:t>
            </w:r>
          </w:p>
        </w:tc>
        <w:tc>
          <w:tcPr>
            <w:tcW w:w="1277" w:type="dxa"/>
            <w:vAlign w:val="bottom"/>
          </w:tcPr>
          <w:p w14:paraId="1658A818"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1,942</w:t>
            </w:r>
          </w:p>
        </w:tc>
      </w:tr>
      <w:tr w:rsidR="00267663" w:rsidRPr="003D2556" w14:paraId="27412515" w14:textId="77777777" w:rsidTr="008469E3">
        <w:tc>
          <w:tcPr>
            <w:tcW w:w="1441" w:type="dxa"/>
            <w:vMerge/>
          </w:tcPr>
          <w:p w14:paraId="34EB7CD1" w14:textId="77777777" w:rsidR="00267663" w:rsidRPr="002D7D42" w:rsidRDefault="00267663" w:rsidP="005F3C17">
            <w:pPr>
              <w:keepNext/>
              <w:spacing w:line="300" w:lineRule="auto"/>
              <w:rPr>
                <w:rFonts w:ascii="Arial" w:hAnsi="Arial" w:cs="Arial"/>
                <w:sz w:val="20"/>
                <w:szCs w:val="20"/>
              </w:rPr>
            </w:pPr>
          </w:p>
        </w:tc>
        <w:tc>
          <w:tcPr>
            <w:tcW w:w="540" w:type="dxa"/>
          </w:tcPr>
          <w:p w14:paraId="492032AB"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w:t>
            </w:r>
          </w:p>
        </w:tc>
        <w:tc>
          <w:tcPr>
            <w:tcW w:w="1276" w:type="dxa"/>
            <w:vAlign w:val="bottom"/>
          </w:tcPr>
          <w:p w14:paraId="7344B4AB"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32.8%</w:t>
            </w:r>
          </w:p>
        </w:tc>
        <w:tc>
          <w:tcPr>
            <w:tcW w:w="1276" w:type="dxa"/>
            <w:vAlign w:val="bottom"/>
          </w:tcPr>
          <w:p w14:paraId="2DD3E933"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16.2%</w:t>
            </w:r>
          </w:p>
        </w:tc>
        <w:tc>
          <w:tcPr>
            <w:tcW w:w="1277" w:type="dxa"/>
            <w:vAlign w:val="bottom"/>
          </w:tcPr>
          <w:p w14:paraId="35A624B7"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30.1%</w:t>
            </w:r>
          </w:p>
        </w:tc>
        <w:tc>
          <w:tcPr>
            <w:tcW w:w="1276" w:type="dxa"/>
            <w:vAlign w:val="bottom"/>
          </w:tcPr>
          <w:p w14:paraId="41DB5C7E"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4.9%</w:t>
            </w:r>
          </w:p>
        </w:tc>
        <w:tc>
          <w:tcPr>
            <w:tcW w:w="1276" w:type="dxa"/>
            <w:vAlign w:val="bottom"/>
          </w:tcPr>
          <w:p w14:paraId="177829B7"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16.1%</w:t>
            </w:r>
          </w:p>
        </w:tc>
        <w:tc>
          <w:tcPr>
            <w:tcW w:w="1277" w:type="dxa"/>
            <w:vAlign w:val="bottom"/>
          </w:tcPr>
          <w:p w14:paraId="77E50015"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100.0%</w:t>
            </w:r>
          </w:p>
        </w:tc>
      </w:tr>
      <w:tr w:rsidR="00267663" w:rsidRPr="003D2556" w14:paraId="3353DD76" w14:textId="77777777" w:rsidTr="008469E3">
        <w:tc>
          <w:tcPr>
            <w:tcW w:w="1441" w:type="dxa"/>
            <w:vMerge w:val="restart"/>
          </w:tcPr>
          <w:p w14:paraId="09386F6C" w14:textId="77777777" w:rsidR="00267663" w:rsidRPr="002D7D42" w:rsidRDefault="00267663" w:rsidP="005F3C17">
            <w:pPr>
              <w:keepNext/>
              <w:spacing w:line="300" w:lineRule="auto"/>
              <w:rPr>
                <w:rFonts w:ascii="Arial" w:hAnsi="Arial" w:cs="Arial"/>
                <w:sz w:val="20"/>
                <w:szCs w:val="20"/>
              </w:rPr>
            </w:pPr>
            <w:r w:rsidRPr="002D7D42">
              <w:rPr>
                <w:rFonts w:ascii="Arial" w:hAnsi="Arial" w:cs="Arial"/>
                <w:sz w:val="20"/>
                <w:szCs w:val="20"/>
              </w:rPr>
              <w:t>Freckleton</w:t>
            </w:r>
          </w:p>
        </w:tc>
        <w:tc>
          <w:tcPr>
            <w:tcW w:w="540" w:type="dxa"/>
          </w:tcPr>
          <w:p w14:paraId="55173F13"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No.</w:t>
            </w:r>
          </w:p>
        </w:tc>
        <w:tc>
          <w:tcPr>
            <w:tcW w:w="1276" w:type="dxa"/>
            <w:vAlign w:val="bottom"/>
          </w:tcPr>
          <w:p w14:paraId="77DBA89F"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450</w:t>
            </w:r>
          </w:p>
        </w:tc>
        <w:tc>
          <w:tcPr>
            <w:tcW w:w="1276" w:type="dxa"/>
            <w:vAlign w:val="bottom"/>
          </w:tcPr>
          <w:p w14:paraId="40E0CB1B"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565</w:t>
            </w:r>
          </w:p>
        </w:tc>
        <w:tc>
          <w:tcPr>
            <w:tcW w:w="1277" w:type="dxa"/>
            <w:vAlign w:val="bottom"/>
          </w:tcPr>
          <w:p w14:paraId="0ADCA1A7"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405</w:t>
            </w:r>
          </w:p>
        </w:tc>
        <w:tc>
          <w:tcPr>
            <w:tcW w:w="1276" w:type="dxa"/>
            <w:vAlign w:val="bottom"/>
          </w:tcPr>
          <w:p w14:paraId="4D324B26"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941</w:t>
            </w:r>
          </w:p>
        </w:tc>
        <w:tc>
          <w:tcPr>
            <w:tcW w:w="1276" w:type="dxa"/>
            <w:vAlign w:val="bottom"/>
          </w:tcPr>
          <w:p w14:paraId="1D79D596"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317</w:t>
            </w:r>
          </w:p>
        </w:tc>
        <w:tc>
          <w:tcPr>
            <w:tcW w:w="1277" w:type="dxa"/>
            <w:vAlign w:val="bottom"/>
          </w:tcPr>
          <w:p w14:paraId="66039ABB"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2,678</w:t>
            </w:r>
          </w:p>
        </w:tc>
      </w:tr>
      <w:tr w:rsidR="00267663" w:rsidRPr="003D2556" w14:paraId="51248CED" w14:textId="77777777" w:rsidTr="008469E3">
        <w:tc>
          <w:tcPr>
            <w:tcW w:w="1441" w:type="dxa"/>
            <w:vMerge/>
          </w:tcPr>
          <w:p w14:paraId="3363D66E" w14:textId="77777777" w:rsidR="00267663" w:rsidRPr="002D7D42" w:rsidRDefault="00267663" w:rsidP="005F3C17">
            <w:pPr>
              <w:keepNext/>
              <w:spacing w:line="300" w:lineRule="auto"/>
              <w:rPr>
                <w:rFonts w:ascii="Arial" w:hAnsi="Arial" w:cs="Arial"/>
                <w:sz w:val="20"/>
                <w:szCs w:val="20"/>
              </w:rPr>
            </w:pPr>
          </w:p>
        </w:tc>
        <w:tc>
          <w:tcPr>
            <w:tcW w:w="540" w:type="dxa"/>
          </w:tcPr>
          <w:p w14:paraId="1825F648"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w:t>
            </w:r>
          </w:p>
        </w:tc>
        <w:tc>
          <w:tcPr>
            <w:tcW w:w="1276" w:type="dxa"/>
            <w:vAlign w:val="bottom"/>
          </w:tcPr>
          <w:p w14:paraId="0365E41A"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16.8%</w:t>
            </w:r>
          </w:p>
        </w:tc>
        <w:tc>
          <w:tcPr>
            <w:tcW w:w="1276" w:type="dxa"/>
            <w:vAlign w:val="bottom"/>
          </w:tcPr>
          <w:p w14:paraId="76EC78E8"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21.1%</w:t>
            </w:r>
          </w:p>
        </w:tc>
        <w:tc>
          <w:tcPr>
            <w:tcW w:w="1277" w:type="dxa"/>
            <w:vAlign w:val="bottom"/>
          </w:tcPr>
          <w:p w14:paraId="68E756B6"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15.1%</w:t>
            </w:r>
          </w:p>
        </w:tc>
        <w:tc>
          <w:tcPr>
            <w:tcW w:w="1276" w:type="dxa"/>
            <w:vAlign w:val="bottom"/>
          </w:tcPr>
          <w:p w14:paraId="0DF67CD4"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35.1%</w:t>
            </w:r>
          </w:p>
        </w:tc>
        <w:tc>
          <w:tcPr>
            <w:tcW w:w="1276" w:type="dxa"/>
            <w:vAlign w:val="bottom"/>
          </w:tcPr>
          <w:p w14:paraId="441F9C65"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11.8%</w:t>
            </w:r>
          </w:p>
        </w:tc>
        <w:tc>
          <w:tcPr>
            <w:tcW w:w="1277" w:type="dxa"/>
            <w:vAlign w:val="bottom"/>
          </w:tcPr>
          <w:p w14:paraId="0BBF9E32"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100.0%</w:t>
            </w:r>
          </w:p>
        </w:tc>
      </w:tr>
      <w:tr w:rsidR="00267663" w:rsidRPr="003D2556" w14:paraId="14ECC40D" w14:textId="77777777" w:rsidTr="008469E3">
        <w:tc>
          <w:tcPr>
            <w:tcW w:w="1441" w:type="dxa"/>
            <w:vMerge w:val="restart"/>
          </w:tcPr>
          <w:p w14:paraId="023F32BF" w14:textId="77777777" w:rsidR="00267663" w:rsidRPr="002D7D42" w:rsidRDefault="00267663" w:rsidP="005F3C17">
            <w:pPr>
              <w:keepNext/>
              <w:spacing w:line="300" w:lineRule="auto"/>
              <w:rPr>
                <w:rFonts w:ascii="Arial" w:hAnsi="Arial" w:cs="Arial"/>
                <w:sz w:val="20"/>
                <w:szCs w:val="20"/>
              </w:rPr>
            </w:pPr>
            <w:r w:rsidRPr="002D7D42">
              <w:rPr>
                <w:rFonts w:ascii="Arial" w:hAnsi="Arial" w:cs="Arial"/>
                <w:sz w:val="20"/>
                <w:szCs w:val="20"/>
              </w:rPr>
              <w:t>Rural North</w:t>
            </w:r>
          </w:p>
        </w:tc>
        <w:tc>
          <w:tcPr>
            <w:tcW w:w="540" w:type="dxa"/>
          </w:tcPr>
          <w:p w14:paraId="4D8A8A46"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No.</w:t>
            </w:r>
          </w:p>
        </w:tc>
        <w:tc>
          <w:tcPr>
            <w:tcW w:w="1276" w:type="dxa"/>
            <w:vAlign w:val="bottom"/>
          </w:tcPr>
          <w:p w14:paraId="56E784CF"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1,048</w:t>
            </w:r>
          </w:p>
        </w:tc>
        <w:tc>
          <w:tcPr>
            <w:tcW w:w="1276" w:type="dxa"/>
            <w:vAlign w:val="bottom"/>
          </w:tcPr>
          <w:p w14:paraId="0ADEE0D4"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641</w:t>
            </w:r>
          </w:p>
        </w:tc>
        <w:tc>
          <w:tcPr>
            <w:tcW w:w="1277" w:type="dxa"/>
            <w:vAlign w:val="bottom"/>
          </w:tcPr>
          <w:p w14:paraId="2363E083"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358</w:t>
            </w:r>
          </w:p>
        </w:tc>
        <w:tc>
          <w:tcPr>
            <w:tcW w:w="1276" w:type="dxa"/>
            <w:vAlign w:val="bottom"/>
          </w:tcPr>
          <w:p w14:paraId="49A8BD9B"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579</w:t>
            </w:r>
          </w:p>
        </w:tc>
        <w:tc>
          <w:tcPr>
            <w:tcW w:w="1276" w:type="dxa"/>
            <w:vAlign w:val="bottom"/>
          </w:tcPr>
          <w:p w14:paraId="697ED01A"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215</w:t>
            </w:r>
          </w:p>
        </w:tc>
        <w:tc>
          <w:tcPr>
            <w:tcW w:w="1277" w:type="dxa"/>
            <w:vAlign w:val="bottom"/>
          </w:tcPr>
          <w:p w14:paraId="41026BC2"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2,840</w:t>
            </w:r>
          </w:p>
        </w:tc>
      </w:tr>
      <w:tr w:rsidR="00267663" w:rsidRPr="003D2556" w14:paraId="2A68391D" w14:textId="77777777" w:rsidTr="008469E3">
        <w:tc>
          <w:tcPr>
            <w:tcW w:w="1441" w:type="dxa"/>
            <w:vMerge/>
          </w:tcPr>
          <w:p w14:paraId="5A29E0A4" w14:textId="77777777" w:rsidR="00267663" w:rsidRPr="002D7D42" w:rsidRDefault="00267663" w:rsidP="005F3C17">
            <w:pPr>
              <w:keepNext/>
              <w:spacing w:line="300" w:lineRule="auto"/>
              <w:rPr>
                <w:rFonts w:ascii="Arial" w:hAnsi="Arial" w:cs="Arial"/>
                <w:sz w:val="20"/>
                <w:szCs w:val="20"/>
              </w:rPr>
            </w:pPr>
          </w:p>
        </w:tc>
        <w:tc>
          <w:tcPr>
            <w:tcW w:w="540" w:type="dxa"/>
          </w:tcPr>
          <w:p w14:paraId="139BDD15"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w:t>
            </w:r>
          </w:p>
        </w:tc>
        <w:tc>
          <w:tcPr>
            <w:tcW w:w="1276" w:type="dxa"/>
            <w:vAlign w:val="bottom"/>
          </w:tcPr>
          <w:p w14:paraId="5D7D1883"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36.9%</w:t>
            </w:r>
          </w:p>
        </w:tc>
        <w:tc>
          <w:tcPr>
            <w:tcW w:w="1276" w:type="dxa"/>
            <w:vAlign w:val="bottom"/>
          </w:tcPr>
          <w:p w14:paraId="23224809"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22.6%</w:t>
            </w:r>
          </w:p>
        </w:tc>
        <w:tc>
          <w:tcPr>
            <w:tcW w:w="1277" w:type="dxa"/>
            <w:vAlign w:val="bottom"/>
          </w:tcPr>
          <w:p w14:paraId="75325111"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12.6%</w:t>
            </w:r>
          </w:p>
        </w:tc>
        <w:tc>
          <w:tcPr>
            <w:tcW w:w="1276" w:type="dxa"/>
            <w:vAlign w:val="bottom"/>
          </w:tcPr>
          <w:p w14:paraId="265CE42D"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20.4%</w:t>
            </w:r>
          </w:p>
        </w:tc>
        <w:tc>
          <w:tcPr>
            <w:tcW w:w="1276" w:type="dxa"/>
            <w:vAlign w:val="bottom"/>
          </w:tcPr>
          <w:p w14:paraId="54AA5482"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7.6%</w:t>
            </w:r>
          </w:p>
        </w:tc>
        <w:tc>
          <w:tcPr>
            <w:tcW w:w="1277" w:type="dxa"/>
            <w:vAlign w:val="bottom"/>
          </w:tcPr>
          <w:p w14:paraId="2578E7FA"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100.0%</w:t>
            </w:r>
          </w:p>
        </w:tc>
      </w:tr>
      <w:tr w:rsidR="00267663" w:rsidRPr="003D2556" w14:paraId="5FE92047" w14:textId="77777777" w:rsidTr="008469E3">
        <w:tc>
          <w:tcPr>
            <w:tcW w:w="1441" w:type="dxa"/>
            <w:vMerge w:val="restart"/>
          </w:tcPr>
          <w:p w14:paraId="7B63D876" w14:textId="77777777" w:rsidR="00267663" w:rsidRPr="002D7D42" w:rsidRDefault="00267663" w:rsidP="005F3C17">
            <w:pPr>
              <w:keepNext/>
              <w:spacing w:line="300" w:lineRule="auto"/>
              <w:rPr>
                <w:rFonts w:ascii="Arial" w:hAnsi="Arial" w:cs="Arial"/>
                <w:sz w:val="20"/>
                <w:szCs w:val="20"/>
              </w:rPr>
            </w:pPr>
            <w:r w:rsidRPr="002D7D42">
              <w:rPr>
                <w:rFonts w:ascii="Arial" w:hAnsi="Arial" w:cs="Arial"/>
                <w:sz w:val="20"/>
                <w:szCs w:val="20"/>
              </w:rPr>
              <w:t>Rural West</w:t>
            </w:r>
          </w:p>
        </w:tc>
        <w:tc>
          <w:tcPr>
            <w:tcW w:w="540" w:type="dxa"/>
          </w:tcPr>
          <w:p w14:paraId="40741948"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No.</w:t>
            </w:r>
          </w:p>
        </w:tc>
        <w:tc>
          <w:tcPr>
            <w:tcW w:w="1276" w:type="dxa"/>
            <w:vAlign w:val="bottom"/>
          </w:tcPr>
          <w:p w14:paraId="40FAC715"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651</w:t>
            </w:r>
          </w:p>
        </w:tc>
        <w:tc>
          <w:tcPr>
            <w:tcW w:w="1276" w:type="dxa"/>
            <w:vAlign w:val="bottom"/>
          </w:tcPr>
          <w:p w14:paraId="6FB447FE"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237</w:t>
            </w:r>
          </w:p>
        </w:tc>
        <w:tc>
          <w:tcPr>
            <w:tcW w:w="1277" w:type="dxa"/>
            <w:vAlign w:val="bottom"/>
          </w:tcPr>
          <w:p w14:paraId="723AD388"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122</w:t>
            </w:r>
          </w:p>
        </w:tc>
        <w:tc>
          <w:tcPr>
            <w:tcW w:w="1276" w:type="dxa"/>
            <w:vAlign w:val="bottom"/>
          </w:tcPr>
          <w:p w14:paraId="55D1F6C6"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198</w:t>
            </w:r>
          </w:p>
        </w:tc>
        <w:tc>
          <w:tcPr>
            <w:tcW w:w="1276" w:type="dxa"/>
            <w:vAlign w:val="bottom"/>
          </w:tcPr>
          <w:p w14:paraId="72F4F932"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116</w:t>
            </w:r>
          </w:p>
        </w:tc>
        <w:tc>
          <w:tcPr>
            <w:tcW w:w="1277" w:type="dxa"/>
            <w:vAlign w:val="bottom"/>
          </w:tcPr>
          <w:p w14:paraId="3B08E940"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1,325</w:t>
            </w:r>
          </w:p>
        </w:tc>
      </w:tr>
      <w:tr w:rsidR="00267663" w:rsidRPr="003D2556" w14:paraId="180D6691" w14:textId="77777777" w:rsidTr="008469E3">
        <w:tc>
          <w:tcPr>
            <w:tcW w:w="1441" w:type="dxa"/>
            <w:vMerge/>
          </w:tcPr>
          <w:p w14:paraId="0D883071" w14:textId="77777777" w:rsidR="00267663" w:rsidRPr="002D7D42" w:rsidRDefault="00267663" w:rsidP="005F3C17">
            <w:pPr>
              <w:keepNext/>
              <w:spacing w:line="300" w:lineRule="auto"/>
              <w:rPr>
                <w:rFonts w:ascii="Arial" w:hAnsi="Arial" w:cs="Arial"/>
                <w:sz w:val="20"/>
                <w:szCs w:val="20"/>
              </w:rPr>
            </w:pPr>
          </w:p>
        </w:tc>
        <w:tc>
          <w:tcPr>
            <w:tcW w:w="540" w:type="dxa"/>
          </w:tcPr>
          <w:p w14:paraId="3CB72110"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w:t>
            </w:r>
          </w:p>
        </w:tc>
        <w:tc>
          <w:tcPr>
            <w:tcW w:w="1276" w:type="dxa"/>
            <w:vAlign w:val="bottom"/>
          </w:tcPr>
          <w:p w14:paraId="587C3DA0"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49.1%</w:t>
            </w:r>
          </w:p>
        </w:tc>
        <w:tc>
          <w:tcPr>
            <w:tcW w:w="1276" w:type="dxa"/>
            <w:vAlign w:val="bottom"/>
          </w:tcPr>
          <w:p w14:paraId="315502A9"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17.9%</w:t>
            </w:r>
          </w:p>
        </w:tc>
        <w:tc>
          <w:tcPr>
            <w:tcW w:w="1277" w:type="dxa"/>
            <w:vAlign w:val="bottom"/>
          </w:tcPr>
          <w:p w14:paraId="2553D793"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9.2%</w:t>
            </w:r>
          </w:p>
        </w:tc>
        <w:tc>
          <w:tcPr>
            <w:tcW w:w="1276" w:type="dxa"/>
            <w:vAlign w:val="bottom"/>
          </w:tcPr>
          <w:p w14:paraId="1C81F580"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15.0%</w:t>
            </w:r>
          </w:p>
        </w:tc>
        <w:tc>
          <w:tcPr>
            <w:tcW w:w="1276" w:type="dxa"/>
            <w:vAlign w:val="bottom"/>
          </w:tcPr>
          <w:p w14:paraId="40B3F3D6"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8.8%</w:t>
            </w:r>
          </w:p>
        </w:tc>
        <w:tc>
          <w:tcPr>
            <w:tcW w:w="1277" w:type="dxa"/>
            <w:vAlign w:val="bottom"/>
          </w:tcPr>
          <w:p w14:paraId="529E2565"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100.0%</w:t>
            </w:r>
          </w:p>
        </w:tc>
      </w:tr>
      <w:tr w:rsidR="00267663" w:rsidRPr="003D2556" w14:paraId="50B8EAEC" w14:textId="77777777" w:rsidTr="008469E3">
        <w:tc>
          <w:tcPr>
            <w:tcW w:w="1441" w:type="dxa"/>
            <w:vMerge w:val="restart"/>
          </w:tcPr>
          <w:p w14:paraId="5524781B" w14:textId="77777777" w:rsidR="00267663" w:rsidRPr="002D7D42" w:rsidRDefault="00267663" w:rsidP="005F3C17">
            <w:pPr>
              <w:keepNext/>
              <w:spacing w:line="300" w:lineRule="auto"/>
              <w:rPr>
                <w:rFonts w:ascii="Arial" w:hAnsi="Arial" w:cs="Arial"/>
                <w:sz w:val="20"/>
                <w:szCs w:val="20"/>
              </w:rPr>
            </w:pPr>
            <w:r w:rsidRPr="002D7D42">
              <w:rPr>
                <w:rFonts w:ascii="Arial" w:hAnsi="Arial" w:cs="Arial"/>
                <w:sz w:val="20"/>
                <w:szCs w:val="20"/>
              </w:rPr>
              <w:t>Rural East</w:t>
            </w:r>
          </w:p>
        </w:tc>
        <w:tc>
          <w:tcPr>
            <w:tcW w:w="540" w:type="dxa"/>
          </w:tcPr>
          <w:p w14:paraId="73207CD2"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No.</w:t>
            </w:r>
          </w:p>
        </w:tc>
        <w:tc>
          <w:tcPr>
            <w:tcW w:w="1276" w:type="dxa"/>
            <w:vAlign w:val="bottom"/>
          </w:tcPr>
          <w:p w14:paraId="40617C66"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497</w:t>
            </w:r>
          </w:p>
        </w:tc>
        <w:tc>
          <w:tcPr>
            <w:tcW w:w="1276" w:type="dxa"/>
            <w:vAlign w:val="bottom"/>
          </w:tcPr>
          <w:p w14:paraId="76EE357C"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370</w:t>
            </w:r>
          </w:p>
        </w:tc>
        <w:tc>
          <w:tcPr>
            <w:tcW w:w="1277" w:type="dxa"/>
            <w:vAlign w:val="bottom"/>
          </w:tcPr>
          <w:p w14:paraId="2B86CD7C"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181</w:t>
            </w:r>
          </w:p>
        </w:tc>
        <w:tc>
          <w:tcPr>
            <w:tcW w:w="1276" w:type="dxa"/>
            <w:vAlign w:val="bottom"/>
          </w:tcPr>
          <w:p w14:paraId="6D85D633"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281</w:t>
            </w:r>
          </w:p>
        </w:tc>
        <w:tc>
          <w:tcPr>
            <w:tcW w:w="1276" w:type="dxa"/>
            <w:vAlign w:val="bottom"/>
          </w:tcPr>
          <w:p w14:paraId="42775FA8"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21</w:t>
            </w:r>
          </w:p>
        </w:tc>
        <w:tc>
          <w:tcPr>
            <w:tcW w:w="1277" w:type="dxa"/>
            <w:vAlign w:val="bottom"/>
          </w:tcPr>
          <w:p w14:paraId="789D970E"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1,348</w:t>
            </w:r>
          </w:p>
        </w:tc>
      </w:tr>
      <w:tr w:rsidR="00267663" w:rsidRPr="003D2556" w14:paraId="251B54C3" w14:textId="77777777" w:rsidTr="008469E3">
        <w:tc>
          <w:tcPr>
            <w:tcW w:w="1441" w:type="dxa"/>
            <w:vMerge/>
          </w:tcPr>
          <w:p w14:paraId="61193CDE" w14:textId="77777777" w:rsidR="00267663" w:rsidRPr="002D7D42" w:rsidRDefault="00267663" w:rsidP="005F3C17">
            <w:pPr>
              <w:keepNext/>
              <w:spacing w:line="300" w:lineRule="auto"/>
              <w:rPr>
                <w:rFonts w:ascii="Arial" w:hAnsi="Arial" w:cs="Arial"/>
                <w:sz w:val="20"/>
                <w:szCs w:val="20"/>
              </w:rPr>
            </w:pPr>
          </w:p>
        </w:tc>
        <w:tc>
          <w:tcPr>
            <w:tcW w:w="540" w:type="dxa"/>
          </w:tcPr>
          <w:p w14:paraId="20410863"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w:t>
            </w:r>
          </w:p>
        </w:tc>
        <w:tc>
          <w:tcPr>
            <w:tcW w:w="1276" w:type="dxa"/>
            <w:vAlign w:val="bottom"/>
          </w:tcPr>
          <w:p w14:paraId="79EB7B7A"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36.8%</w:t>
            </w:r>
          </w:p>
        </w:tc>
        <w:tc>
          <w:tcPr>
            <w:tcW w:w="1276" w:type="dxa"/>
            <w:vAlign w:val="bottom"/>
          </w:tcPr>
          <w:p w14:paraId="59ECFC64"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27.4%</w:t>
            </w:r>
          </w:p>
        </w:tc>
        <w:tc>
          <w:tcPr>
            <w:tcW w:w="1277" w:type="dxa"/>
            <w:vAlign w:val="bottom"/>
          </w:tcPr>
          <w:p w14:paraId="739B78F1"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13.4%</w:t>
            </w:r>
          </w:p>
        </w:tc>
        <w:tc>
          <w:tcPr>
            <w:tcW w:w="1276" w:type="dxa"/>
            <w:vAlign w:val="bottom"/>
          </w:tcPr>
          <w:p w14:paraId="2E7BB5FB"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20.8%</w:t>
            </w:r>
          </w:p>
        </w:tc>
        <w:tc>
          <w:tcPr>
            <w:tcW w:w="1276" w:type="dxa"/>
            <w:vAlign w:val="bottom"/>
          </w:tcPr>
          <w:p w14:paraId="5B011E8C"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1.5%</w:t>
            </w:r>
          </w:p>
        </w:tc>
        <w:tc>
          <w:tcPr>
            <w:tcW w:w="1277" w:type="dxa"/>
            <w:vAlign w:val="bottom"/>
          </w:tcPr>
          <w:p w14:paraId="54FDBBD2"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100.0%</w:t>
            </w:r>
          </w:p>
        </w:tc>
      </w:tr>
      <w:tr w:rsidR="00267663" w:rsidRPr="003D2556" w14:paraId="246A8FD0" w14:textId="77777777" w:rsidTr="008469E3">
        <w:tc>
          <w:tcPr>
            <w:tcW w:w="1441" w:type="dxa"/>
            <w:vMerge w:val="restart"/>
          </w:tcPr>
          <w:p w14:paraId="248F7EC7" w14:textId="77777777" w:rsidR="00267663" w:rsidRPr="002D7D42" w:rsidRDefault="00267663" w:rsidP="005F3C17">
            <w:pPr>
              <w:keepNext/>
              <w:widowControl w:val="0"/>
              <w:spacing w:line="300" w:lineRule="auto"/>
              <w:rPr>
                <w:rFonts w:ascii="Arial" w:hAnsi="Arial" w:cs="Arial"/>
                <w:sz w:val="20"/>
                <w:szCs w:val="20"/>
              </w:rPr>
            </w:pPr>
            <w:r w:rsidRPr="002D7D42">
              <w:rPr>
                <w:rFonts w:ascii="Arial" w:hAnsi="Arial" w:cs="Arial"/>
                <w:sz w:val="20"/>
                <w:szCs w:val="20"/>
              </w:rPr>
              <w:t>BOROUGH</w:t>
            </w:r>
          </w:p>
        </w:tc>
        <w:tc>
          <w:tcPr>
            <w:tcW w:w="540" w:type="dxa"/>
          </w:tcPr>
          <w:p w14:paraId="2FFF6C24"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No.</w:t>
            </w:r>
          </w:p>
        </w:tc>
        <w:tc>
          <w:tcPr>
            <w:tcW w:w="1276" w:type="dxa"/>
            <w:vAlign w:val="bottom"/>
          </w:tcPr>
          <w:p w14:paraId="74E45E5E"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7,513</w:t>
            </w:r>
          </w:p>
        </w:tc>
        <w:tc>
          <w:tcPr>
            <w:tcW w:w="1276" w:type="dxa"/>
            <w:vAlign w:val="bottom"/>
          </w:tcPr>
          <w:p w14:paraId="78052C50"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8,538</w:t>
            </w:r>
          </w:p>
        </w:tc>
        <w:tc>
          <w:tcPr>
            <w:tcW w:w="1277" w:type="dxa"/>
            <w:vAlign w:val="bottom"/>
          </w:tcPr>
          <w:p w14:paraId="7981F61D"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7,270</w:t>
            </w:r>
          </w:p>
        </w:tc>
        <w:tc>
          <w:tcPr>
            <w:tcW w:w="1276" w:type="dxa"/>
            <w:vAlign w:val="bottom"/>
          </w:tcPr>
          <w:p w14:paraId="09CBBCE3"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6,487</w:t>
            </w:r>
          </w:p>
        </w:tc>
        <w:tc>
          <w:tcPr>
            <w:tcW w:w="1276" w:type="dxa"/>
            <w:vAlign w:val="bottom"/>
          </w:tcPr>
          <w:p w14:paraId="6819F7CD"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9,191</w:t>
            </w:r>
          </w:p>
        </w:tc>
        <w:tc>
          <w:tcPr>
            <w:tcW w:w="1277" w:type="dxa"/>
            <w:vAlign w:val="bottom"/>
          </w:tcPr>
          <w:p w14:paraId="47445B2C"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39,000</w:t>
            </w:r>
          </w:p>
        </w:tc>
      </w:tr>
      <w:tr w:rsidR="00267663" w:rsidRPr="003D2556" w14:paraId="46EE8C8C" w14:textId="77777777" w:rsidTr="008469E3">
        <w:tc>
          <w:tcPr>
            <w:tcW w:w="1441" w:type="dxa"/>
            <w:vMerge/>
          </w:tcPr>
          <w:p w14:paraId="271BD676" w14:textId="77777777" w:rsidR="00267663" w:rsidRPr="002D7D42" w:rsidRDefault="00267663" w:rsidP="005F3C17">
            <w:pPr>
              <w:keepNext/>
              <w:widowControl w:val="0"/>
              <w:spacing w:line="300" w:lineRule="auto"/>
              <w:rPr>
                <w:rFonts w:ascii="Arial" w:hAnsi="Arial" w:cs="Arial"/>
                <w:sz w:val="20"/>
                <w:szCs w:val="20"/>
              </w:rPr>
            </w:pPr>
          </w:p>
        </w:tc>
        <w:tc>
          <w:tcPr>
            <w:tcW w:w="540" w:type="dxa"/>
          </w:tcPr>
          <w:p w14:paraId="71FF33AC" w14:textId="77777777" w:rsidR="00267663" w:rsidRPr="002D7D42" w:rsidRDefault="00267663" w:rsidP="00172F56">
            <w:pPr>
              <w:keepNext/>
              <w:spacing w:line="300" w:lineRule="auto"/>
              <w:rPr>
                <w:rFonts w:ascii="Arial" w:hAnsi="Arial" w:cs="Arial"/>
                <w:color w:val="000000"/>
                <w:sz w:val="20"/>
                <w:szCs w:val="20"/>
              </w:rPr>
            </w:pPr>
            <w:r w:rsidRPr="002D7D42">
              <w:rPr>
                <w:rFonts w:ascii="Arial" w:hAnsi="Arial" w:cs="Arial"/>
                <w:color w:val="000000"/>
                <w:sz w:val="20"/>
                <w:szCs w:val="20"/>
              </w:rPr>
              <w:t>%</w:t>
            </w:r>
          </w:p>
        </w:tc>
        <w:tc>
          <w:tcPr>
            <w:tcW w:w="1276" w:type="dxa"/>
            <w:vAlign w:val="bottom"/>
          </w:tcPr>
          <w:p w14:paraId="666E4046"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19.3%</w:t>
            </w:r>
          </w:p>
        </w:tc>
        <w:tc>
          <w:tcPr>
            <w:tcW w:w="1276" w:type="dxa"/>
            <w:vAlign w:val="bottom"/>
          </w:tcPr>
          <w:p w14:paraId="2EA4A1C3"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21.9%</w:t>
            </w:r>
          </w:p>
        </w:tc>
        <w:tc>
          <w:tcPr>
            <w:tcW w:w="1277" w:type="dxa"/>
            <w:vAlign w:val="bottom"/>
          </w:tcPr>
          <w:p w14:paraId="7CDE71A1"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18.6%</w:t>
            </w:r>
          </w:p>
        </w:tc>
        <w:tc>
          <w:tcPr>
            <w:tcW w:w="1276" w:type="dxa"/>
            <w:vAlign w:val="bottom"/>
          </w:tcPr>
          <w:p w14:paraId="7CBA2BBD"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16.6%</w:t>
            </w:r>
          </w:p>
        </w:tc>
        <w:tc>
          <w:tcPr>
            <w:tcW w:w="1276" w:type="dxa"/>
            <w:vAlign w:val="bottom"/>
          </w:tcPr>
          <w:p w14:paraId="0D2CF46A"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23.6%</w:t>
            </w:r>
          </w:p>
        </w:tc>
        <w:tc>
          <w:tcPr>
            <w:tcW w:w="1277" w:type="dxa"/>
            <w:vAlign w:val="bottom"/>
          </w:tcPr>
          <w:p w14:paraId="10A938A3" w14:textId="77777777" w:rsidR="00267663" w:rsidRPr="002D7D42" w:rsidRDefault="00267663" w:rsidP="005F3C17">
            <w:pPr>
              <w:keepNext/>
              <w:spacing w:line="300" w:lineRule="auto"/>
              <w:jc w:val="center"/>
              <w:rPr>
                <w:rFonts w:ascii="Arial" w:hAnsi="Arial" w:cs="Arial"/>
                <w:sz w:val="20"/>
                <w:szCs w:val="20"/>
              </w:rPr>
            </w:pPr>
            <w:r w:rsidRPr="002D7D42">
              <w:rPr>
                <w:rFonts w:ascii="Arial" w:hAnsi="Arial" w:cs="Arial"/>
                <w:color w:val="000000"/>
                <w:sz w:val="20"/>
                <w:szCs w:val="20"/>
              </w:rPr>
              <w:t>100.0%</w:t>
            </w:r>
          </w:p>
        </w:tc>
      </w:tr>
    </w:tbl>
    <w:p w14:paraId="4892ADB3" w14:textId="70E4ABD0" w:rsidR="00267663" w:rsidRPr="006A6087" w:rsidRDefault="00AB789F" w:rsidP="005F3C17">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07AC8C65" w14:textId="5B63A671" w:rsidR="006A6087" w:rsidRPr="006A6087" w:rsidRDefault="006A6087" w:rsidP="00172F56">
      <w:pPr>
        <w:pStyle w:val="Reporttext0"/>
        <w:keepLines w:val="0"/>
        <w:widowControl w:val="0"/>
        <w:numPr>
          <w:ilvl w:val="0"/>
          <w:numId w:val="0"/>
        </w:numPr>
        <w:spacing w:line="300" w:lineRule="auto"/>
        <w:jc w:val="both"/>
        <w:rPr>
          <w:rFonts w:ascii="Arial" w:hAnsi="Arial" w:cs="Arial"/>
          <w:sz w:val="20"/>
        </w:rPr>
      </w:pPr>
    </w:p>
    <w:p w14:paraId="6B553271" w14:textId="77777777" w:rsidR="006A6087" w:rsidRPr="006A6087" w:rsidRDefault="006A6087">
      <w:pPr>
        <w:pStyle w:val="11Bodytext"/>
        <w:numPr>
          <w:ilvl w:val="1"/>
          <w:numId w:val="23"/>
        </w:numPr>
        <w:spacing w:before="0" w:after="0" w:line="300" w:lineRule="auto"/>
        <w:ind w:left="720" w:hanging="720"/>
        <w:rPr>
          <w:color w:val="auto"/>
        </w:rPr>
      </w:pPr>
      <w:r w:rsidRPr="006A6087">
        <w:t>The figure below shows dwelling types by tenure. The data shows that owner-occupiers are particularly likely to live in detached houses with very few flats in this sector. Over half of dwellings in the social rented sector are flats with the private rented sector also having a large proportion of flatted housing.</w:t>
      </w:r>
    </w:p>
    <w:p w14:paraId="793B7725" w14:textId="09B81555" w:rsidR="006A6087" w:rsidRDefault="006A6087" w:rsidP="00172F56">
      <w:pPr>
        <w:pStyle w:val="11Bodytext"/>
        <w:numPr>
          <w:ilvl w:val="0"/>
          <w:numId w:val="0"/>
        </w:numPr>
        <w:spacing w:before="0" w:after="0" w:line="300" w:lineRule="auto"/>
        <w:rPr>
          <w:color w:val="auto"/>
        </w:rPr>
      </w:pPr>
    </w:p>
    <w:tbl>
      <w:tblPr>
        <w:tblStyle w:val="TableTheme"/>
        <w:tblW w:w="8199" w:type="dxa"/>
        <w:jc w:val="center"/>
        <w:tblLook w:val="04A0" w:firstRow="1" w:lastRow="0" w:firstColumn="1" w:lastColumn="0" w:noHBand="0" w:noVBand="1"/>
      </w:tblPr>
      <w:tblGrid>
        <w:gridCol w:w="8199"/>
      </w:tblGrid>
      <w:tr w:rsidR="006A6087" w:rsidRPr="00106F07" w14:paraId="55213B63" w14:textId="77777777" w:rsidTr="008469E3">
        <w:trPr>
          <w:jc w:val="center"/>
        </w:trPr>
        <w:tc>
          <w:tcPr>
            <w:tcW w:w="8856" w:type="dxa"/>
          </w:tcPr>
          <w:p w14:paraId="2B96D976" w14:textId="08E45A99" w:rsidR="006A6087" w:rsidRPr="00106F07" w:rsidRDefault="006A6087" w:rsidP="00454E5A">
            <w:pPr>
              <w:pStyle w:val="Reporttext0"/>
              <w:keepNext/>
              <w:keepLines w:val="0"/>
              <w:widowControl w:val="0"/>
              <w:numPr>
                <w:ilvl w:val="0"/>
                <w:numId w:val="0"/>
              </w:numPr>
              <w:spacing w:before="60" w:after="60" w:line="300" w:lineRule="auto"/>
              <w:jc w:val="center"/>
              <w:rPr>
                <w:rFonts w:ascii="Arial" w:hAnsi="Arial" w:cs="Arial"/>
                <w:b/>
                <w:bCs/>
                <w:sz w:val="20"/>
              </w:rPr>
            </w:pPr>
            <w:r w:rsidRPr="00106F07">
              <w:rPr>
                <w:rFonts w:ascii="Arial" w:hAnsi="Arial" w:cs="Arial"/>
                <w:b/>
                <w:bCs/>
                <w:sz w:val="20"/>
              </w:rPr>
              <w:t>Figure 1.1</w:t>
            </w:r>
            <w:r w:rsidR="00AD29A6">
              <w:rPr>
                <w:rFonts w:ascii="Arial" w:hAnsi="Arial" w:cs="Arial"/>
                <w:b/>
                <w:bCs/>
                <w:sz w:val="20"/>
              </w:rPr>
              <w:t>1</w:t>
            </w:r>
            <w:r w:rsidRPr="00106F07">
              <w:rPr>
                <w:rFonts w:ascii="Arial" w:hAnsi="Arial" w:cs="Arial"/>
                <w:b/>
                <w:bCs/>
                <w:sz w:val="20"/>
              </w:rPr>
              <w:t xml:space="preserve">: Tenure and </w:t>
            </w:r>
            <w:r>
              <w:rPr>
                <w:rFonts w:ascii="Arial" w:hAnsi="Arial" w:cs="Arial"/>
                <w:b/>
                <w:bCs/>
                <w:sz w:val="20"/>
              </w:rPr>
              <w:t>accommodation types</w:t>
            </w:r>
          </w:p>
        </w:tc>
      </w:tr>
      <w:tr w:rsidR="006A6087" w14:paraId="78474F0F" w14:textId="77777777" w:rsidTr="008469E3">
        <w:trPr>
          <w:jc w:val="center"/>
        </w:trPr>
        <w:tc>
          <w:tcPr>
            <w:tcW w:w="8856" w:type="dxa"/>
          </w:tcPr>
          <w:p w14:paraId="76F035A7" w14:textId="21298E7D" w:rsidR="006A6087" w:rsidRDefault="006A6087" w:rsidP="00172F56">
            <w:pPr>
              <w:pStyle w:val="Reporttext0"/>
              <w:keepNext/>
              <w:keepLines w:val="0"/>
              <w:widowControl w:val="0"/>
              <w:numPr>
                <w:ilvl w:val="0"/>
                <w:numId w:val="0"/>
              </w:numPr>
              <w:spacing w:line="300" w:lineRule="auto"/>
              <w:jc w:val="center"/>
              <w:rPr>
                <w:rFonts w:ascii="Arial" w:hAnsi="Arial" w:cs="Arial"/>
                <w:sz w:val="20"/>
              </w:rPr>
            </w:pPr>
            <w:r>
              <w:rPr>
                <w:noProof/>
              </w:rPr>
              <w:drawing>
                <wp:inline distT="0" distB="0" distL="0" distR="0" wp14:anchorId="524C1E5C" wp14:editId="4D359E2A">
                  <wp:extent cx="5040000" cy="2880000"/>
                  <wp:effectExtent l="0" t="0" r="825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2B0FB57" w14:textId="11056E1D" w:rsidR="006A6087" w:rsidRDefault="00AB789F" w:rsidP="00454E5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3AA7336A" w14:textId="178FDF2A" w:rsidR="006A6087" w:rsidRPr="00860D5E" w:rsidRDefault="006A6087" w:rsidP="00172F56">
      <w:pPr>
        <w:pStyle w:val="Reporttext0"/>
        <w:keepLines w:val="0"/>
        <w:widowControl w:val="0"/>
        <w:numPr>
          <w:ilvl w:val="0"/>
          <w:numId w:val="0"/>
        </w:numPr>
        <w:spacing w:line="300" w:lineRule="auto"/>
        <w:jc w:val="both"/>
        <w:rPr>
          <w:rFonts w:ascii="Arial" w:hAnsi="Arial" w:cs="Arial"/>
          <w:sz w:val="20"/>
        </w:rPr>
      </w:pPr>
    </w:p>
    <w:p w14:paraId="3038DB9E" w14:textId="6F3D48B1" w:rsidR="00860D5E" w:rsidRPr="00860D5E" w:rsidRDefault="00860D5E">
      <w:pPr>
        <w:pStyle w:val="11Bodytext"/>
        <w:numPr>
          <w:ilvl w:val="1"/>
          <w:numId w:val="23"/>
        </w:numPr>
        <w:spacing w:before="0" w:after="0" w:line="300" w:lineRule="auto"/>
        <w:ind w:left="720" w:hanging="720"/>
        <w:rPr>
          <w:color w:val="auto"/>
        </w:rPr>
      </w:pPr>
      <w:r w:rsidRPr="00860D5E">
        <w:t>A final initial analysis of survey data studies levels of overcrowding using the bedroom standard (see definition below). Essentially this is the difference between the number of bedrooms needed to avoid undesirable sharing (given the number of household members and their relationships to each other) and the number of bedrooms actually available to the household. The bedroom standard also provides the opportunity to look in more detail at households who under-occupy their dwelling.</w:t>
      </w:r>
    </w:p>
    <w:p w14:paraId="104E114C" w14:textId="77777777" w:rsidR="00860D5E" w:rsidRPr="00860D5E" w:rsidRDefault="00860D5E" w:rsidP="00172F56">
      <w:pPr>
        <w:widowControl w:val="0"/>
        <w:spacing w:line="300" w:lineRule="auto"/>
        <w:jc w:val="both"/>
        <w:rPr>
          <w:rFonts w:ascii="Arial" w:hAnsi="Arial" w:cs="Arial"/>
          <w:sz w:val="20"/>
          <w:szCs w:val="20"/>
        </w:rPr>
      </w:pPr>
    </w:p>
    <w:tbl>
      <w:tblPr>
        <w:tblW w:w="81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199"/>
      </w:tblGrid>
      <w:tr w:rsidR="00860D5E" w:rsidRPr="00860D5E" w14:paraId="43AF7B25" w14:textId="77777777" w:rsidTr="00860D5E">
        <w:trPr>
          <w:jc w:val="center"/>
        </w:trPr>
        <w:tc>
          <w:tcPr>
            <w:tcW w:w="8199" w:type="dxa"/>
            <w:shd w:val="clear" w:color="auto" w:fill="auto"/>
            <w:vAlign w:val="center"/>
          </w:tcPr>
          <w:p w14:paraId="1DFA3C5F" w14:textId="77777777" w:rsidR="00860D5E" w:rsidRPr="00860D5E" w:rsidRDefault="00860D5E" w:rsidP="00172F56">
            <w:pPr>
              <w:widowControl w:val="0"/>
              <w:spacing w:line="300" w:lineRule="auto"/>
              <w:jc w:val="both"/>
              <w:rPr>
                <w:rFonts w:ascii="Arial" w:hAnsi="Arial" w:cs="Arial"/>
                <w:b/>
                <w:sz w:val="20"/>
                <w:szCs w:val="20"/>
              </w:rPr>
            </w:pPr>
            <w:r w:rsidRPr="00860D5E">
              <w:rPr>
                <w:rFonts w:ascii="Arial" w:hAnsi="Arial" w:cs="Arial"/>
                <w:b/>
                <w:sz w:val="20"/>
                <w:szCs w:val="20"/>
              </w:rPr>
              <w:t>Bedroom Standard</w:t>
            </w:r>
          </w:p>
          <w:p w14:paraId="23EABEFD" w14:textId="77777777" w:rsidR="00860D5E" w:rsidRPr="00860D5E" w:rsidRDefault="00860D5E" w:rsidP="00172F56">
            <w:pPr>
              <w:widowControl w:val="0"/>
              <w:spacing w:line="300" w:lineRule="auto"/>
              <w:jc w:val="both"/>
              <w:rPr>
                <w:rFonts w:ascii="Arial" w:hAnsi="Arial" w:cs="Arial"/>
                <w:sz w:val="20"/>
                <w:szCs w:val="20"/>
              </w:rPr>
            </w:pPr>
          </w:p>
          <w:p w14:paraId="7FADA568" w14:textId="77777777" w:rsidR="00860D5E" w:rsidRPr="00860D5E" w:rsidRDefault="00860D5E" w:rsidP="00172F56">
            <w:pPr>
              <w:pStyle w:val="ListParagraph"/>
              <w:widowControl w:val="0"/>
              <w:spacing w:line="300" w:lineRule="auto"/>
              <w:ind w:left="0"/>
              <w:jc w:val="both"/>
              <w:rPr>
                <w:rFonts w:ascii="Arial" w:hAnsi="Arial" w:cs="Arial"/>
                <w:sz w:val="20"/>
                <w:szCs w:val="20"/>
              </w:rPr>
            </w:pPr>
            <w:r w:rsidRPr="00860D5E">
              <w:rPr>
                <w:rFonts w:ascii="Arial" w:hAnsi="Arial" w:cs="Arial"/>
                <w:sz w:val="20"/>
                <w:szCs w:val="20"/>
              </w:rPr>
              <w:t>The ‘Bedroom Standard’ is used as an indicator of occupation density. A standard number of bedrooms is calculated for each household in accordance with its age/sex/marital status composition and the relationship of the members to one another. A separate bedroom is allowed for each married or cohabiting couple, any other person aged 21 or over, each pair of adolescents aged 10-20 of the same sex and each pair of children under 10. Any unpaired person aged 10-20 is notionally paired, if possible, with a child under 10 of the same sex, or, if that is not possible, he or she is counted as requiring a separate bedroom, as is any unpaired child under 10.</w:t>
            </w:r>
          </w:p>
        </w:tc>
      </w:tr>
    </w:tbl>
    <w:p w14:paraId="60BC88C3" w14:textId="77777777" w:rsidR="00860D5E" w:rsidRPr="00860D5E" w:rsidRDefault="00860D5E" w:rsidP="00172F56">
      <w:pPr>
        <w:pStyle w:val="Reporttext0"/>
        <w:keepLines w:val="0"/>
        <w:widowControl w:val="0"/>
        <w:numPr>
          <w:ilvl w:val="0"/>
          <w:numId w:val="0"/>
        </w:numPr>
        <w:spacing w:line="300" w:lineRule="auto"/>
        <w:jc w:val="both"/>
        <w:rPr>
          <w:rFonts w:ascii="Arial" w:hAnsi="Arial" w:cs="Arial"/>
          <w:sz w:val="20"/>
        </w:rPr>
      </w:pPr>
    </w:p>
    <w:p w14:paraId="23DF19E2" w14:textId="46F09580" w:rsidR="00860D5E" w:rsidRPr="00860D5E" w:rsidRDefault="00860D5E">
      <w:pPr>
        <w:pStyle w:val="11Bodytext"/>
        <w:numPr>
          <w:ilvl w:val="1"/>
          <w:numId w:val="23"/>
        </w:numPr>
        <w:spacing w:before="0" w:after="0" w:line="300" w:lineRule="auto"/>
        <w:ind w:left="720" w:hanging="720"/>
        <w:rPr>
          <w:color w:val="auto"/>
        </w:rPr>
      </w:pPr>
      <w:r w:rsidRPr="00860D5E">
        <w:t>The standards used to check for overcrowding and under-occupation were as follows:</w:t>
      </w:r>
    </w:p>
    <w:p w14:paraId="40F0A860" w14:textId="77777777" w:rsidR="00860D5E" w:rsidRPr="00860D5E" w:rsidRDefault="00860D5E" w:rsidP="00172F56">
      <w:pPr>
        <w:pStyle w:val="Reporttext0"/>
        <w:keepLines w:val="0"/>
        <w:widowControl w:val="0"/>
        <w:numPr>
          <w:ilvl w:val="0"/>
          <w:numId w:val="0"/>
        </w:numPr>
        <w:spacing w:line="300" w:lineRule="auto"/>
        <w:jc w:val="both"/>
        <w:rPr>
          <w:rFonts w:ascii="Arial" w:hAnsi="Arial" w:cs="Arial"/>
          <w:sz w:val="20"/>
        </w:rPr>
      </w:pPr>
    </w:p>
    <w:p w14:paraId="6B784A55" w14:textId="286F9AEC" w:rsidR="00860D5E" w:rsidRPr="00860D5E" w:rsidRDefault="00860D5E">
      <w:pPr>
        <w:pStyle w:val="Reportlistbullet"/>
        <w:widowControl w:val="0"/>
        <w:numPr>
          <w:ilvl w:val="0"/>
          <w:numId w:val="30"/>
        </w:numPr>
        <w:spacing w:line="300" w:lineRule="auto"/>
        <w:jc w:val="both"/>
        <w:rPr>
          <w:rFonts w:ascii="Arial" w:hAnsi="Arial" w:cs="Arial"/>
          <w:sz w:val="20"/>
          <w:szCs w:val="20"/>
        </w:rPr>
      </w:pPr>
      <w:r w:rsidRPr="00860D5E">
        <w:rPr>
          <w:rFonts w:ascii="Arial" w:hAnsi="Arial" w:cs="Arial"/>
          <w:b/>
          <w:sz w:val="20"/>
          <w:szCs w:val="20"/>
        </w:rPr>
        <w:t>Overcrowding</w:t>
      </w:r>
      <w:r w:rsidRPr="00860D5E">
        <w:rPr>
          <w:rFonts w:ascii="Arial" w:hAnsi="Arial" w:cs="Arial"/>
          <w:sz w:val="20"/>
          <w:szCs w:val="20"/>
        </w:rPr>
        <w:t>: each household was assessed as to the number of bedrooms required. Any household without enough bedrooms was deemed to be over-crowded</w:t>
      </w:r>
      <w:r w:rsidR="00243A09">
        <w:rPr>
          <w:rFonts w:ascii="Arial" w:hAnsi="Arial" w:cs="Arial"/>
          <w:sz w:val="20"/>
          <w:szCs w:val="20"/>
        </w:rPr>
        <w:t>; and</w:t>
      </w:r>
    </w:p>
    <w:p w14:paraId="00C88875" w14:textId="77777777" w:rsidR="00860D5E" w:rsidRPr="00860D5E" w:rsidRDefault="00860D5E">
      <w:pPr>
        <w:pStyle w:val="Reportlistbullet"/>
        <w:widowControl w:val="0"/>
        <w:numPr>
          <w:ilvl w:val="0"/>
          <w:numId w:val="30"/>
        </w:numPr>
        <w:spacing w:line="300" w:lineRule="auto"/>
        <w:jc w:val="both"/>
        <w:rPr>
          <w:rFonts w:ascii="Arial" w:hAnsi="Arial" w:cs="Arial"/>
          <w:sz w:val="20"/>
          <w:szCs w:val="20"/>
        </w:rPr>
      </w:pPr>
      <w:r w:rsidRPr="00860D5E">
        <w:rPr>
          <w:rFonts w:ascii="Arial" w:hAnsi="Arial" w:cs="Arial"/>
          <w:b/>
          <w:sz w:val="20"/>
          <w:szCs w:val="20"/>
        </w:rPr>
        <w:t>Under-occupation</w:t>
      </w:r>
      <w:r w:rsidRPr="00860D5E">
        <w:rPr>
          <w:rFonts w:ascii="Arial" w:hAnsi="Arial" w:cs="Arial"/>
          <w:sz w:val="20"/>
          <w:szCs w:val="20"/>
        </w:rPr>
        <w:t>: households with more than one spare bedroom are deemed to be under-occupied.</w:t>
      </w:r>
    </w:p>
    <w:p w14:paraId="51A69956" w14:textId="33C44F21" w:rsidR="00860D5E" w:rsidRDefault="00860D5E" w:rsidP="00172F56">
      <w:pPr>
        <w:pStyle w:val="Reporttext0"/>
        <w:keepLines w:val="0"/>
        <w:widowControl w:val="0"/>
        <w:numPr>
          <w:ilvl w:val="0"/>
          <w:numId w:val="0"/>
        </w:numPr>
        <w:spacing w:line="300" w:lineRule="auto"/>
        <w:jc w:val="both"/>
        <w:rPr>
          <w:rFonts w:ascii="Arial" w:hAnsi="Arial" w:cs="Arial"/>
          <w:sz w:val="20"/>
        </w:rPr>
      </w:pPr>
    </w:p>
    <w:p w14:paraId="0D1C8221" w14:textId="3E364E5D" w:rsidR="00620FE9" w:rsidRDefault="00620FE9" w:rsidP="00172F56">
      <w:pPr>
        <w:pStyle w:val="Reporttext0"/>
        <w:keepLines w:val="0"/>
        <w:widowControl w:val="0"/>
        <w:numPr>
          <w:ilvl w:val="0"/>
          <w:numId w:val="0"/>
        </w:numPr>
        <w:spacing w:line="300" w:lineRule="auto"/>
        <w:jc w:val="both"/>
        <w:rPr>
          <w:rFonts w:ascii="Arial" w:hAnsi="Arial" w:cs="Arial"/>
          <w:sz w:val="20"/>
        </w:rPr>
      </w:pPr>
    </w:p>
    <w:p w14:paraId="44692C70" w14:textId="67D8088F" w:rsidR="00620FE9" w:rsidRDefault="00620FE9" w:rsidP="00172F56">
      <w:pPr>
        <w:pStyle w:val="Reporttext0"/>
        <w:keepLines w:val="0"/>
        <w:widowControl w:val="0"/>
        <w:numPr>
          <w:ilvl w:val="0"/>
          <w:numId w:val="0"/>
        </w:numPr>
        <w:spacing w:line="300" w:lineRule="auto"/>
        <w:jc w:val="both"/>
        <w:rPr>
          <w:rFonts w:ascii="Arial" w:hAnsi="Arial" w:cs="Arial"/>
          <w:sz w:val="20"/>
        </w:rPr>
      </w:pPr>
    </w:p>
    <w:p w14:paraId="65CD401F" w14:textId="77777777" w:rsidR="00620FE9" w:rsidRPr="00860D5E" w:rsidRDefault="00620FE9" w:rsidP="00172F56">
      <w:pPr>
        <w:pStyle w:val="Reporttext0"/>
        <w:keepLines w:val="0"/>
        <w:widowControl w:val="0"/>
        <w:numPr>
          <w:ilvl w:val="0"/>
          <w:numId w:val="0"/>
        </w:numPr>
        <w:spacing w:line="300" w:lineRule="auto"/>
        <w:jc w:val="both"/>
        <w:rPr>
          <w:rFonts w:ascii="Arial" w:hAnsi="Arial" w:cs="Arial"/>
          <w:sz w:val="20"/>
        </w:rPr>
      </w:pPr>
    </w:p>
    <w:p w14:paraId="3AEF972B" w14:textId="103EF85D" w:rsidR="00860D5E" w:rsidRPr="00860D5E" w:rsidRDefault="00860D5E">
      <w:pPr>
        <w:pStyle w:val="11Bodytext"/>
        <w:numPr>
          <w:ilvl w:val="1"/>
          <w:numId w:val="23"/>
        </w:numPr>
        <w:spacing w:before="0" w:after="0" w:line="300" w:lineRule="auto"/>
        <w:ind w:left="720" w:hanging="720"/>
        <w:rPr>
          <w:color w:val="auto"/>
        </w:rPr>
      </w:pPr>
      <w:r w:rsidRPr="00860D5E">
        <w:t xml:space="preserve">The table below shows a comparison between the numbers of bedrooms in each home against the number of bedrooms required for all households in the </w:t>
      </w:r>
      <w:r>
        <w:t>Borough</w:t>
      </w:r>
      <w:r w:rsidRPr="00860D5E">
        <w:t>.</w:t>
      </w:r>
      <w:r w:rsidRPr="00860D5E">
        <w:rPr>
          <w:iCs/>
        </w:rPr>
        <w:t xml:space="preserve"> It should be noted that the bottom two cells of the 4+ bedroom column contain some households that are either under occupied or overcrowded – for example they may require three bedrooms but live in a </w:t>
      </w:r>
      <w:r w:rsidR="005B6221" w:rsidRPr="00860D5E">
        <w:rPr>
          <w:iCs/>
        </w:rPr>
        <w:t>five</w:t>
      </w:r>
      <w:r w:rsidR="005B6221">
        <w:rPr>
          <w:iCs/>
        </w:rPr>
        <w:t>-</w:t>
      </w:r>
      <w:r w:rsidRPr="00860D5E">
        <w:rPr>
          <w:iCs/>
        </w:rPr>
        <w:t xml:space="preserve">bedroom property or may require a </w:t>
      </w:r>
      <w:r w:rsidR="00835E17" w:rsidRPr="00860D5E">
        <w:rPr>
          <w:iCs/>
        </w:rPr>
        <w:t>five</w:t>
      </w:r>
      <w:r w:rsidR="00835E17">
        <w:rPr>
          <w:iCs/>
        </w:rPr>
        <w:t>-</w:t>
      </w:r>
      <w:r w:rsidRPr="00860D5E">
        <w:rPr>
          <w:iCs/>
        </w:rPr>
        <w:t xml:space="preserve">bedroom property but are currently occupying a </w:t>
      </w:r>
      <w:r w:rsidR="00835E17" w:rsidRPr="00860D5E">
        <w:rPr>
          <w:iCs/>
        </w:rPr>
        <w:t>four</w:t>
      </w:r>
      <w:r w:rsidR="00835E17">
        <w:rPr>
          <w:iCs/>
        </w:rPr>
        <w:t>-</w:t>
      </w:r>
      <w:r w:rsidRPr="00860D5E">
        <w:rPr>
          <w:iCs/>
        </w:rPr>
        <w:t>bedroom property.</w:t>
      </w:r>
    </w:p>
    <w:p w14:paraId="76171FAA" w14:textId="77777777" w:rsidR="006A6087" w:rsidRPr="00860D5E" w:rsidRDefault="006A6087" w:rsidP="00172F56">
      <w:pPr>
        <w:pStyle w:val="11Bodytext"/>
        <w:numPr>
          <w:ilvl w:val="0"/>
          <w:numId w:val="0"/>
        </w:numPr>
        <w:spacing w:before="0" w:after="0" w:line="300" w:lineRule="auto"/>
        <w:rPr>
          <w:color w:val="auto"/>
        </w:rPr>
      </w:pP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1200"/>
        <w:gridCol w:w="1200"/>
        <w:gridCol w:w="1200"/>
        <w:gridCol w:w="1200"/>
        <w:gridCol w:w="1200"/>
      </w:tblGrid>
      <w:tr w:rsidR="00267663" w:rsidRPr="00CC47BE" w14:paraId="241A0516" w14:textId="77777777" w:rsidTr="00860D5E">
        <w:trPr>
          <w:jc w:val="center"/>
        </w:trPr>
        <w:tc>
          <w:tcPr>
            <w:tcW w:w="8199" w:type="dxa"/>
            <w:gridSpan w:val="6"/>
            <w:shd w:val="clear" w:color="auto" w:fill="auto"/>
            <w:vAlign w:val="center"/>
          </w:tcPr>
          <w:p w14:paraId="5C8CE42A" w14:textId="2EDA2CCF" w:rsidR="00267663" w:rsidRPr="00860D5E" w:rsidRDefault="00267663" w:rsidP="00454E5A">
            <w:pPr>
              <w:pStyle w:val="Caption1"/>
              <w:widowControl w:val="0"/>
              <w:spacing w:before="60" w:after="60" w:line="300" w:lineRule="auto"/>
              <w:rPr>
                <w:rFonts w:ascii="Arial" w:hAnsi="Arial"/>
                <w:sz w:val="20"/>
                <w:szCs w:val="20"/>
              </w:rPr>
            </w:pPr>
            <w:r w:rsidRPr="00860D5E">
              <w:rPr>
                <w:rFonts w:ascii="Arial" w:hAnsi="Arial"/>
                <w:sz w:val="20"/>
                <w:szCs w:val="20"/>
              </w:rPr>
              <w:t xml:space="preserve">Figure </w:t>
            </w:r>
            <w:r w:rsidR="00AD29A6">
              <w:rPr>
                <w:rFonts w:ascii="Arial" w:hAnsi="Arial"/>
                <w:sz w:val="20"/>
                <w:szCs w:val="20"/>
              </w:rPr>
              <w:t>1.12:</w:t>
            </w:r>
            <w:r w:rsidRPr="00860D5E">
              <w:rPr>
                <w:rFonts w:ascii="Arial" w:hAnsi="Arial"/>
                <w:sz w:val="20"/>
                <w:szCs w:val="20"/>
              </w:rPr>
              <w:t xml:space="preserve"> Overcrowding and under-occupation</w:t>
            </w:r>
          </w:p>
        </w:tc>
      </w:tr>
      <w:tr w:rsidR="00267663" w:rsidRPr="00CC47BE" w14:paraId="6097C188" w14:textId="77777777" w:rsidTr="00860D5E">
        <w:trPr>
          <w:jc w:val="center"/>
        </w:trPr>
        <w:tc>
          <w:tcPr>
            <w:tcW w:w="2199" w:type="dxa"/>
            <w:vMerge w:val="restart"/>
            <w:vAlign w:val="center"/>
          </w:tcPr>
          <w:p w14:paraId="1541F111" w14:textId="77777777" w:rsidR="00267663" w:rsidRPr="00860D5E" w:rsidRDefault="00267663" w:rsidP="00454E5A">
            <w:pPr>
              <w:keepNext/>
              <w:widowControl w:val="0"/>
              <w:spacing w:line="300" w:lineRule="auto"/>
              <w:rPr>
                <w:rFonts w:ascii="Arial" w:hAnsi="Arial" w:cs="Arial"/>
                <w:sz w:val="20"/>
                <w:szCs w:val="20"/>
              </w:rPr>
            </w:pPr>
            <w:r w:rsidRPr="00860D5E">
              <w:rPr>
                <w:rFonts w:ascii="Arial" w:hAnsi="Arial" w:cs="Arial"/>
                <w:sz w:val="20"/>
                <w:szCs w:val="20"/>
              </w:rPr>
              <w:t>Number of bedrooms required</w:t>
            </w:r>
          </w:p>
        </w:tc>
        <w:tc>
          <w:tcPr>
            <w:tcW w:w="6000" w:type="dxa"/>
            <w:gridSpan w:val="5"/>
            <w:vAlign w:val="center"/>
          </w:tcPr>
          <w:p w14:paraId="1DC9C503" w14:textId="77777777" w:rsidR="00267663" w:rsidRPr="00860D5E" w:rsidRDefault="00267663" w:rsidP="00454E5A">
            <w:pPr>
              <w:keepNext/>
              <w:widowControl w:val="0"/>
              <w:spacing w:line="300" w:lineRule="auto"/>
              <w:jc w:val="center"/>
              <w:rPr>
                <w:rFonts w:ascii="Arial" w:hAnsi="Arial" w:cs="Arial"/>
                <w:sz w:val="20"/>
                <w:szCs w:val="20"/>
              </w:rPr>
            </w:pPr>
            <w:r w:rsidRPr="00860D5E">
              <w:rPr>
                <w:rFonts w:ascii="Arial" w:hAnsi="Arial" w:cs="Arial"/>
                <w:sz w:val="20"/>
                <w:szCs w:val="20"/>
              </w:rPr>
              <w:t>Number of bedrooms in home</w:t>
            </w:r>
          </w:p>
        </w:tc>
      </w:tr>
      <w:tr w:rsidR="00267663" w:rsidRPr="00CC47BE" w14:paraId="18ACD213" w14:textId="77777777" w:rsidTr="00860D5E">
        <w:trPr>
          <w:jc w:val="center"/>
        </w:trPr>
        <w:tc>
          <w:tcPr>
            <w:tcW w:w="2199" w:type="dxa"/>
            <w:vMerge/>
            <w:vAlign w:val="center"/>
          </w:tcPr>
          <w:p w14:paraId="38E85626" w14:textId="77777777" w:rsidR="00267663" w:rsidRPr="00860D5E" w:rsidRDefault="00267663" w:rsidP="00454E5A">
            <w:pPr>
              <w:keepNext/>
              <w:widowControl w:val="0"/>
              <w:spacing w:line="300" w:lineRule="auto"/>
              <w:rPr>
                <w:rFonts w:ascii="Arial" w:hAnsi="Arial" w:cs="Arial"/>
                <w:sz w:val="20"/>
                <w:szCs w:val="20"/>
              </w:rPr>
            </w:pPr>
          </w:p>
        </w:tc>
        <w:tc>
          <w:tcPr>
            <w:tcW w:w="1200" w:type="dxa"/>
            <w:vAlign w:val="center"/>
          </w:tcPr>
          <w:p w14:paraId="443DBE2E" w14:textId="77777777" w:rsidR="00267663" w:rsidRPr="00860D5E" w:rsidRDefault="00267663" w:rsidP="00454E5A">
            <w:pPr>
              <w:keepNext/>
              <w:widowControl w:val="0"/>
              <w:spacing w:line="300" w:lineRule="auto"/>
              <w:jc w:val="center"/>
              <w:rPr>
                <w:rFonts w:ascii="Arial" w:hAnsi="Arial" w:cs="Arial"/>
                <w:sz w:val="20"/>
                <w:szCs w:val="20"/>
              </w:rPr>
            </w:pPr>
            <w:r w:rsidRPr="00860D5E">
              <w:rPr>
                <w:rFonts w:ascii="Arial" w:hAnsi="Arial" w:cs="Arial"/>
                <w:sz w:val="20"/>
                <w:szCs w:val="20"/>
              </w:rPr>
              <w:t>1</w:t>
            </w:r>
          </w:p>
        </w:tc>
        <w:tc>
          <w:tcPr>
            <w:tcW w:w="1200" w:type="dxa"/>
            <w:vAlign w:val="center"/>
          </w:tcPr>
          <w:p w14:paraId="0FB5C467" w14:textId="77777777" w:rsidR="00267663" w:rsidRPr="00860D5E" w:rsidRDefault="00267663" w:rsidP="00454E5A">
            <w:pPr>
              <w:keepNext/>
              <w:widowControl w:val="0"/>
              <w:spacing w:line="300" w:lineRule="auto"/>
              <w:jc w:val="center"/>
              <w:rPr>
                <w:rFonts w:ascii="Arial" w:hAnsi="Arial" w:cs="Arial"/>
                <w:sz w:val="20"/>
                <w:szCs w:val="20"/>
              </w:rPr>
            </w:pPr>
            <w:r w:rsidRPr="00860D5E">
              <w:rPr>
                <w:rFonts w:ascii="Arial" w:hAnsi="Arial" w:cs="Arial"/>
                <w:sz w:val="20"/>
                <w:szCs w:val="20"/>
              </w:rPr>
              <w:t>2</w:t>
            </w:r>
          </w:p>
        </w:tc>
        <w:tc>
          <w:tcPr>
            <w:tcW w:w="1200" w:type="dxa"/>
            <w:vAlign w:val="center"/>
          </w:tcPr>
          <w:p w14:paraId="4B3C6727" w14:textId="77777777" w:rsidR="00267663" w:rsidRPr="00860D5E" w:rsidRDefault="00267663" w:rsidP="00454E5A">
            <w:pPr>
              <w:keepNext/>
              <w:widowControl w:val="0"/>
              <w:spacing w:line="300" w:lineRule="auto"/>
              <w:jc w:val="center"/>
              <w:rPr>
                <w:rFonts w:ascii="Arial" w:hAnsi="Arial" w:cs="Arial"/>
                <w:sz w:val="20"/>
                <w:szCs w:val="20"/>
              </w:rPr>
            </w:pPr>
            <w:r w:rsidRPr="00860D5E">
              <w:rPr>
                <w:rFonts w:ascii="Arial" w:hAnsi="Arial" w:cs="Arial"/>
                <w:sz w:val="20"/>
                <w:szCs w:val="20"/>
              </w:rPr>
              <w:t>3</w:t>
            </w:r>
          </w:p>
        </w:tc>
        <w:tc>
          <w:tcPr>
            <w:tcW w:w="1200" w:type="dxa"/>
            <w:vAlign w:val="center"/>
          </w:tcPr>
          <w:p w14:paraId="674E24CC" w14:textId="77777777" w:rsidR="00267663" w:rsidRPr="00860D5E" w:rsidRDefault="00267663" w:rsidP="00454E5A">
            <w:pPr>
              <w:keepNext/>
              <w:widowControl w:val="0"/>
              <w:spacing w:line="300" w:lineRule="auto"/>
              <w:jc w:val="center"/>
              <w:rPr>
                <w:rFonts w:ascii="Arial" w:hAnsi="Arial" w:cs="Arial"/>
                <w:sz w:val="20"/>
                <w:szCs w:val="20"/>
              </w:rPr>
            </w:pPr>
            <w:r w:rsidRPr="00860D5E">
              <w:rPr>
                <w:rFonts w:ascii="Arial" w:hAnsi="Arial" w:cs="Arial"/>
                <w:sz w:val="20"/>
                <w:szCs w:val="20"/>
              </w:rPr>
              <w:t>4+</w:t>
            </w:r>
          </w:p>
        </w:tc>
        <w:tc>
          <w:tcPr>
            <w:tcW w:w="1200" w:type="dxa"/>
            <w:vAlign w:val="center"/>
          </w:tcPr>
          <w:p w14:paraId="3BE699F3" w14:textId="77777777" w:rsidR="00267663" w:rsidRPr="00860D5E" w:rsidRDefault="00267663" w:rsidP="00454E5A">
            <w:pPr>
              <w:keepNext/>
              <w:widowControl w:val="0"/>
              <w:spacing w:line="300" w:lineRule="auto"/>
              <w:jc w:val="center"/>
              <w:rPr>
                <w:rFonts w:ascii="Arial" w:hAnsi="Arial" w:cs="Arial"/>
                <w:sz w:val="20"/>
                <w:szCs w:val="20"/>
              </w:rPr>
            </w:pPr>
            <w:r w:rsidRPr="00860D5E">
              <w:rPr>
                <w:rFonts w:ascii="Arial" w:hAnsi="Arial" w:cs="Arial"/>
                <w:sz w:val="20"/>
                <w:szCs w:val="20"/>
              </w:rPr>
              <w:t>Total</w:t>
            </w:r>
          </w:p>
        </w:tc>
      </w:tr>
      <w:tr w:rsidR="00267663" w:rsidRPr="00CC47BE" w14:paraId="06148C50" w14:textId="77777777" w:rsidTr="00860D5E">
        <w:trPr>
          <w:jc w:val="center"/>
        </w:trPr>
        <w:tc>
          <w:tcPr>
            <w:tcW w:w="2199" w:type="dxa"/>
            <w:vAlign w:val="center"/>
          </w:tcPr>
          <w:p w14:paraId="3903F1BA" w14:textId="77777777" w:rsidR="00267663" w:rsidRPr="00860D5E" w:rsidRDefault="00267663" w:rsidP="00454E5A">
            <w:pPr>
              <w:keepNext/>
              <w:widowControl w:val="0"/>
              <w:spacing w:line="300" w:lineRule="auto"/>
              <w:rPr>
                <w:rFonts w:ascii="Arial" w:hAnsi="Arial" w:cs="Arial"/>
                <w:sz w:val="20"/>
                <w:szCs w:val="20"/>
              </w:rPr>
            </w:pPr>
            <w:r w:rsidRPr="00860D5E">
              <w:rPr>
                <w:rFonts w:ascii="Arial" w:hAnsi="Arial" w:cs="Arial"/>
                <w:sz w:val="20"/>
                <w:szCs w:val="20"/>
              </w:rPr>
              <w:t>1 bedroom</w:t>
            </w:r>
          </w:p>
        </w:tc>
        <w:tc>
          <w:tcPr>
            <w:tcW w:w="1200" w:type="dxa"/>
            <w:vAlign w:val="bottom"/>
          </w:tcPr>
          <w:p w14:paraId="675D49B4"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3,313</w:t>
            </w:r>
          </w:p>
        </w:tc>
        <w:tc>
          <w:tcPr>
            <w:tcW w:w="1200" w:type="dxa"/>
            <w:vAlign w:val="bottom"/>
          </w:tcPr>
          <w:p w14:paraId="00E17621"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9,108</w:t>
            </w:r>
          </w:p>
        </w:tc>
        <w:tc>
          <w:tcPr>
            <w:tcW w:w="1200" w:type="dxa"/>
            <w:shd w:val="clear" w:color="auto" w:fill="00FF00"/>
            <w:vAlign w:val="bottom"/>
          </w:tcPr>
          <w:p w14:paraId="647D8D81"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8,343</w:t>
            </w:r>
          </w:p>
        </w:tc>
        <w:tc>
          <w:tcPr>
            <w:tcW w:w="1200" w:type="dxa"/>
            <w:shd w:val="clear" w:color="auto" w:fill="00FF00"/>
            <w:vAlign w:val="bottom"/>
          </w:tcPr>
          <w:p w14:paraId="3FAA6C93"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5,011</w:t>
            </w:r>
          </w:p>
        </w:tc>
        <w:tc>
          <w:tcPr>
            <w:tcW w:w="1200" w:type="dxa"/>
            <w:vAlign w:val="bottom"/>
          </w:tcPr>
          <w:p w14:paraId="08141920"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25,775</w:t>
            </w:r>
          </w:p>
        </w:tc>
      </w:tr>
      <w:tr w:rsidR="00267663" w:rsidRPr="00CC47BE" w14:paraId="2A6715F9" w14:textId="77777777" w:rsidTr="00860D5E">
        <w:trPr>
          <w:jc w:val="center"/>
        </w:trPr>
        <w:tc>
          <w:tcPr>
            <w:tcW w:w="2199" w:type="dxa"/>
            <w:vAlign w:val="center"/>
          </w:tcPr>
          <w:p w14:paraId="5D578891" w14:textId="77777777" w:rsidR="00267663" w:rsidRPr="00860D5E" w:rsidRDefault="00267663" w:rsidP="00454E5A">
            <w:pPr>
              <w:keepNext/>
              <w:widowControl w:val="0"/>
              <w:spacing w:line="300" w:lineRule="auto"/>
              <w:rPr>
                <w:rFonts w:ascii="Arial" w:hAnsi="Arial" w:cs="Arial"/>
                <w:sz w:val="20"/>
                <w:szCs w:val="20"/>
              </w:rPr>
            </w:pPr>
            <w:r w:rsidRPr="00860D5E">
              <w:rPr>
                <w:rFonts w:ascii="Arial" w:hAnsi="Arial" w:cs="Arial"/>
                <w:sz w:val="20"/>
                <w:szCs w:val="20"/>
              </w:rPr>
              <w:t>2 bedrooms</w:t>
            </w:r>
          </w:p>
        </w:tc>
        <w:tc>
          <w:tcPr>
            <w:tcW w:w="1200" w:type="dxa"/>
            <w:shd w:val="clear" w:color="auto" w:fill="FFFF99"/>
            <w:vAlign w:val="bottom"/>
          </w:tcPr>
          <w:p w14:paraId="021F02AA"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156</w:t>
            </w:r>
          </w:p>
        </w:tc>
        <w:tc>
          <w:tcPr>
            <w:tcW w:w="1200" w:type="dxa"/>
            <w:vAlign w:val="bottom"/>
          </w:tcPr>
          <w:p w14:paraId="7AB5DB04"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2,446</w:t>
            </w:r>
          </w:p>
        </w:tc>
        <w:tc>
          <w:tcPr>
            <w:tcW w:w="1200" w:type="dxa"/>
            <w:vAlign w:val="bottom"/>
          </w:tcPr>
          <w:p w14:paraId="2DA02F8D"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3,814</w:t>
            </w:r>
          </w:p>
        </w:tc>
        <w:tc>
          <w:tcPr>
            <w:tcW w:w="1200" w:type="dxa"/>
            <w:shd w:val="clear" w:color="auto" w:fill="00FF00"/>
            <w:vAlign w:val="bottom"/>
          </w:tcPr>
          <w:p w14:paraId="754D11CE"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2,841</w:t>
            </w:r>
          </w:p>
        </w:tc>
        <w:tc>
          <w:tcPr>
            <w:tcW w:w="1200" w:type="dxa"/>
            <w:vAlign w:val="bottom"/>
          </w:tcPr>
          <w:p w14:paraId="28B10705"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9,257</w:t>
            </w:r>
          </w:p>
        </w:tc>
      </w:tr>
      <w:tr w:rsidR="00267663" w:rsidRPr="00CC47BE" w14:paraId="6CB5A242" w14:textId="77777777" w:rsidTr="00860D5E">
        <w:trPr>
          <w:jc w:val="center"/>
        </w:trPr>
        <w:tc>
          <w:tcPr>
            <w:tcW w:w="2199" w:type="dxa"/>
            <w:vAlign w:val="center"/>
          </w:tcPr>
          <w:p w14:paraId="4FC2AC0D" w14:textId="77777777" w:rsidR="00267663" w:rsidRPr="00860D5E" w:rsidRDefault="00267663" w:rsidP="00454E5A">
            <w:pPr>
              <w:keepNext/>
              <w:widowControl w:val="0"/>
              <w:spacing w:line="300" w:lineRule="auto"/>
              <w:rPr>
                <w:rFonts w:ascii="Arial" w:hAnsi="Arial" w:cs="Arial"/>
                <w:sz w:val="20"/>
                <w:szCs w:val="20"/>
              </w:rPr>
            </w:pPr>
            <w:r w:rsidRPr="00860D5E">
              <w:rPr>
                <w:rFonts w:ascii="Arial" w:hAnsi="Arial" w:cs="Arial"/>
                <w:sz w:val="20"/>
                <w:szCs w:val="20"/>
              </w:rPr>
              <w:t>3 bedrooms</w:t>
            </w:r>
          </w:p>
        </w:tc>
        <w:tc>
          <w:tcPr>
            <w:tcW w:w="1200" w:type="dxa"/>
            <w:shd w:val="clear" w:color="auto" w:fill="FFFF99"/>
            <w:vAlign w:val="bottom"/>
          </w:tcPr>
          <w:p w14:paraId="7A4F4A35"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19</w:t>
            </w:r>
          </w:p>
        </w:tc>
        <w:tc>
          <w:tcPr>
            <w:tcW w:w="1200" w:type="dxa"/>
            <w:shd w:val="clear" w:color="auto" w:fill="FFFF99"/>
            <w:vAlign w:val="bottom"/>
          </w:tcPr>
          <w:p w14:paraId="4EDECB23"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422</w:t>
            </w:r>
          </w:p>
        </w:tc>
        <w:tc>
          <w:tcPr>
            <w:tcW w:w="1200" w:type="dxa"/>
            <w:vAlign w:val="bottom"/>
          </w:tcPr>
          <w:p w14:paraId="5423EF88"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1,817</w:t>
            </w:r>
          </w:p>
        </w:tc>
        <w:tc>
          <w:tcPr>
            <w:tcW w:w="1200" w:type="dxa"/>
            <w:shd w:val="clear" w:color="auto" w:fill="C0C0C0"/>
            <w:vAlign w:val="bottom"/>
          </w:tcPr>
          <w:p w14:paraId="01A90AE1"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1,421</w:t>
            </w:r>
          </w:p>
        </w:tc>
        <w:tc>
          <w:tcPr>
            <w:tcW w:w="1200" w:type="dxa"/>
            <w:vAlign w:val="bottom"/>
          </w:tcPr>
          <w:p w14:paraId="4D12FE61"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3,679</w:t>
            </w:r>
          </w:p>
        </w:tc>
      </w:tr>
      <w:tr w:rsidR="00267663" w:rsidRPr="00CC47BE" w14:paraId="72D897AC" w14:textId="77777777" w:rsidTr="00860D5E">
        <w:trPr>
          <w:jc w:val="center"/>
        </w:trPr>
        <w:tc>
          <w:tcPr>
            <w:tcW w:w="2199" w:type="dxa"/>
            <w:vAlign w:val="center"/>
          </w:tcPr>
          <w:p w14:paraId="0F1EAD2C" w14:textId="77777777" w:rsidR="00267663" w:rsidRPr="00860D5E" w:rsidRDefault="00267663" w:rsidP="00454E5A">
            <w:pPr>
              <w:keepNext/>
              <w:widowControl w:val="0"/>
              <w:spacing w:line="300" w:lineRule="auto"/>
              <w:rPr>
                <w:rFonts w:ascii="Arial" w:hAnsi="Arial" w:cs="Arial"/>
                <w:sz w:val="20"/>
                <w:szCs w:val="20"/>
              </w:rPr>
            </w:pPr>
            <w:r w:rsidRPr="00860D5E">
              <w:rPr>
                <w:rFonts w:ascii="Arial" w:hAnsi="Arial" w:cs="Arial"/>
                <w:sz w:val="20"/>
                <w:szCs w:val="20"/>
              </w:rPr>
              <w:t>4+ bedrooms</w:t>
            </w:r>
          </w:p>
        </w:tc>
        <w:tc>
          <w:tcPr>
            <w:tcW w:w="1200" w:type="dxa"/>
            <w:shd w:val="clear" w:color="auto" w:fill="FFFF99"/>
            <w:vAlign w:val="bottom"/>
          </w:tcPr>
          <w:p w14:paraId="26E639BE"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0</w:t>
            </w:r>
          </w:p>
        </w:tc>
        <w:tc>
          <w:tcPr>
            <w:tcW w:w="1200" w:type="dxa"/>
            <w:shd w:val="clear" w:color="auto" w:fill="FFFF99"/>
            <w:vAlign w:val="bottom"/>
          </w:tcPr>
          <w:p w14:paraId="6941EFCF"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0</w:t>
            </w:r>
          </w:p>
        </w:tc>
        <w:tc>
          <w:tcPr>
            <w:tcW w:w="1200" w:type="dxa"/>
            <w:shd w:val="clear" w:color="auto" w:fill="FFFF99"/>
            <w:vAlign w:val="bottom"/>
          </w:tcPr>
          <w:p w14:paraId="2199C479"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95</w:t>
            </w:r>
          </w:p>
        </w:tc>
        <w:tc>
          <w:tcPr>
            <w:tcW w:w="1200" w:type="dxa"/>
            <w:shd w:val="clear" w:color="auto" w:fill="C0C0C0"/>
            <w:vAlign w:val="bottom"/>
          </w:tcPr>
          <w:p w14:paraId="23131B7E"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193</w:t>
            </w:r>
          </w:p>
        </w:tc>
        <w:tc>
          <w:tcPr>
            <w:tcW w:w="1200" w:type="dxa"/>
            <w:vAlign w:val="bottom"/>
          </w:tcPr>
          <w:p w14:paraId="2F1279D4"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289</w:t>
            </w:r>
          </w:p>
        </w:tc>
      </w:tr>
      <w:tr w:rsidR="00267663" w:rsidRPr="00CC47BE" w14:paraId="6247C0ED" w14:textId="77777777" w:rsidTr="00860D5E">
        <w:trPr>
          <w:jc w:val="center"/>
        </w:trPr>
        <w:tc>
          <w:tcPr>
            <w:tcW w:w="2199" w:type="dxa"/>
            <w:vAlign w:val="center"/>
          </w:tcPr>
          <w:p w14:paraId="7A3FA3A2" w14:textId="77777777" w:rsidR="00267663" w:rsidRPr="00860D5E" w:rsidRDefault="00267663" w:rsidP="00454E5A">
            <w:pPr>
              <w:keepNext/>
              <w:widowControl w:val="0"/>
              <w:spacing w:line="300" w:lineRule="auto"/>
              <w:rPr>
                <w:rFonts w:ascii="Arial" w:hAnsi="Arial" w:cs="Arial"/>
                <w:sz w:val="20"/>
                <w:szCs w:val="20"/>
              </w:rPr>
            </w:pPr>
            <w:r w:rsidRPr="00860D5E">
              <w:rPr>
                <w:rFonts w:ascii="Arial" w:hAnsi="Arial" w:cs="Arial"/>
                <w:sz w:val="20"/>
                <w:szCs w:val="20"/>
              </w:rPr>
              <w:t>Total</w:t>
            </w:r>
          </w:p>
        </w:tc>
        <w:tc>
          <w:tcPr>
            <w:tcW w:w="1200" w:type="dxa"/>
            <w:vAlign w:val="bottom"/>
          </w:tcPr>
          <w:p w14:paraId="76756B52"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3,488</w:t>
            </w:r>
          </w:p>
        </w:tc>
        <w:tc>
          <w:tcPr>
            <w:tcW w:w="1200" w:type="dxa"/>
            <w:vAlign w:val="bottom"/>
          </w:tcPr>
          <w:p w14:paraId="11A3112B"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11,976</w:t>
            </w:r>
          </w:p>
        </w:tc>
        <w:tc>
          <w:tcPr>
            <w:tcW w:w="1200" w:type="dxa"/>
            <w:vAlign w:val="bottom"/>
          </w:tcPr>
          <w:p w14:paraId="37D65326"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14,069</w:t>
            </w:r>
          </w:p>
        </w:tc>
        <w:tc>
          <w:tcPr>
            <w:tcW w:w="1200" w:type="dxa"/>
            <w:vAlign w:val="bottom"/>
          </w:tcPr>
          <w:p w14:paraId="344098F2"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9,467</w:t>
            </w:r>
          </w:p>
        </w:tc>
        <w:tc>
          <w:tcPr>
            <w:tcW w:w="1200" w:type="dxa"/>
            <w:vAlign w:val="bottom"/>
          </w:tcPr>
          <w:p w14:paraId="2D3841F9" w14:textId="77777777" w:rsidR="00267663" w:rsidRPr="00860D5E" w:rsidRDefault="00267663" w:rsidP="00454E5A">
            <w:pPr>
              <w:keepNext/>
              <w:spacing w:line="300" w:lineRule="auto"/>
              <w:jc w:val="center"/>
              <w:rPr>
                <w:rFonts w:ascii="Arial" w:hAnsi="Arial" w:cs="Arial"/>
                <w:color w:val="000000"/>
                <w:sz w:val="20"/>
                <w:szCs w:val="20"/>
              </w:rPr>
            </w:pPr>
            <w:r w:rsidRPr="00860D5E">
              <w:rPr>
                <w:rFonts w:ascii="Arial" w:hAnsi="Arial" w:cs="Arial"/>
                <w:color w:val="000000"/>
                <w:sz w:val="20"/>
                <w:szCs w:val="20"/>
              </w:rPr>
              <w:t>39,000</w:t>
            </w:r>
          </w:p>
        </w:tc>
      </w:tr>
    </w:tbl>
    <w:p w14:paraId="75C12B45" w14:textId="67F070BC" w:rsidR="00267663" w:rsidRPr="00CC47BE" w:rsidRDefault="00AB789F" w:rsidP="00454E5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tbl>
      <w:tblPr>
        <w:tblW w:w="0" w:type="auto"/>
        <w:jc w:val="center"/>
        <w:tblLayout w:type="fixed"/>
        <w:tblLook w:val="0000" w:firstRow="0" w:lastRow="0" w:firstColumn="0" w:lastColumn="0" w:noHBand="0" w:noVBand="0"/>
      </w:tblPr>
      <w:tblGrid>
        <w:gridCol w:w="720"/>
        <w:gridCol w:w="720"/>
        <w:gridCol w:w="2520"/>
        <w:gridCol w:w="720"/>
        <w:gridCol w:w="2880"/>
      </w:tblGrid>
      <w:tr w:rsidR="00267663" w:rsidRPr="00CC47BE" w14:paraId="761F902C" w14:textId="77777777" w:rsidTr="00860D5E">
        <w:trPr>
          <w:cantSplit/>
          <w:jc w:val="center"/>
        </w:trPr>
        <w:tc>
          <w:tcPr>
            <w:tcW w:w="720" w:type="dxa"/>
            <w:tcBorders>
              <w:right w:val="single" w:sz="4" w:space="0" w:color="auto"/>
            </w:tcBorders>
          </w:tcPr>
          <w:p w14:paraId="0EA5FAD8" w14:textId="77777777" w:rsidR="00267663" w:rsidRPr="00CC47BE" w:rsidRDefault="00267663" w:rsidP="00172F56">
            <w:pPr>
              <w:pStyle w:val="ReportSourceundertable0"/>
              <w:widowControl w:val="0"/>
              <w:spacing w:line="300" w:lineRule="auto"/>
              <w:jc w:val="both"/>
              <w:rPr>
                <w:rFonts w:ascii="Arial" w:hAnsi="Arial"/>
                <w:color w:val="auto"/>
                <w:szCs w:val="20"/>
              </w:rPr>
            </w:pPr>
            <w:r w:rsidRPr="00CC47BE">
              <w:rPr>
                <w:rFonts w:ascii="Arial" w:hAnsi="Arial"/>
                <w:color w:val="auto"/>
                <w:szCs w:val="20"/>
              </w:rPr>
              <w:t>KEY:</w:t>
            </w:r>
          </w:p>
        </w:tc>
        <w:tc>
          <w:tcPr>
            <w:tcW w:w="720" w:type="dxa"/>
            <w:tcBorders>
              <w:top w:val="single" w:sz="4" w:space="0" w:color="auto"/>
              <w:left w:val="single" w:sz="4" w:space="0" w:color="auto"/>
              <w:bottom w:val="single" w:sz="4" w:space="0" w:color="auto"/>
              <w:right w:val="single" w:sz="4" w:space="0" w:color="auto"/>
            </w:tcBorders>
            <w:shd w:val="clear" w:color="auto" w:fill="FFFF99"/>
          </w:tcPr>
          <w:p w14:paraId="1094DEDA" w14:textId="77777777" w:rsidR="00267663" w:rsidRPr="00CC47BE" w:rsidRDefault="00267663" w:rsidP="00172F56">
            <w:pPr>
              <w:widowControl w:val="0"/>
              <w:spacing w:line="300" w:lineRule="auto"/>
              <w:jc w:val="both"/>
              <w:rPr>
                <w:rFonts w:ascii="Arial" w:hAnsi="Arial" w:cs="Arial"/>
              </w:rPr>
            </w:pPr>
          </w:p>
        </w:tc>
        <w:tc>
          <w:tcPr>
            <w:tcW w:w="2520" w:type="dxa"/>
            <w:tcBorders>
              <w:left w:val="single" w:sz="4" w:space="0" w:color="auto"/>
              <w:right w:val="single" w:sz="4" w:space="0" w:color="auto"/>
            </w:tcBorders>
          </w:tcPr>
          <w:p w14:paraId="3A361561" w14:textId="77777777" w:rsidR="00267663" w:rsidRPr="00CC47BE" w:rsidRDefault="00267663" w:rsidP="00172F56">
            <w:pPr>
              <w:pStyle w:val="ReportSourceundertable0"/>
              <w:widowControl w:val="0"/>
              <w:spacing w:line="300" w:lineRule="auto"/>
              <w:jc w:val="both"/>
              <w:rPr>
                <w:rFonts w:ascii="Arial" w:hAnsi="Arial"/>
                <w:color w:val="auto"/>
                <w:szCs w:val="20"/>
              </w:rPr>
            </w:pPr>
            <w:r w:rsidRPr="00CC47BE">
              <w:rPr>
                <w:rFonts w:ascii="Arial" w:hAnsi="Arial"/>
                <w:color w:val="auto"/>
                <w:szCs w:val="20"/>
              </w:rPr>
              <w:t>Overcrowded households</w:t>
            </w:r>
          </w:p>
        </w:tc>
        <w:tc>
          <w:tcPr>
            <w:tcW w:w="720" w:type="dxa"/>
            <w:tcBorders>
              <w:top w:val="single" w:sz="4" w:space="0" w:color="999999"/>
              <w:left w:val="single" w:sz="4" w:space="0" w:color="auto"/>
              <w:bottom w:val="single" w:sz="4" w:space="0" w:color="auto"/>
              <w:right w:val="single" w:sz="4" w:space="0" w:color="auto"/>
            </w:tcBorders>
            <w:shd w:val="clear" w:color="auto" w:fill="00FF00"/>
          </w:tcPr>
          <w:p w14:paraId="47DF0F51" w14:textId="77777777" w:rsidR="00267663" w:rsidRPr="00CC47BE" w:rsidRDefault="00267663" w:rsidP="00172F56">
            <w:pPr>
              <w:widowControl w:val="0"/>
              <w:spacing w:line="300" w:lineRule="auto"/>
              <w:jc w:val="both"/>
              <w:rPr>
                <w:rFonts w:ascii="Arial" w:hAnsi="Arial" w:cs="Arial"/>
              </w:rPr>
            </w:pPr>
          </w:p>
        </w:tc>
        <w:tc>
          <w:tcPr>
            <w:tcW w:w="2880" w:type="dxa"/>
            <w:tcBorders>
              <w:left w:val="single" w:sz="4" w:space="0" w:color="auto"/>
            </w:tcBorders>
          </w:tcPr>
          <w:p w14:paraId="535B718A" w14:textId="77777777" w:rsidR="00267663" w:rsidRPr="00CC47BE" w:rsidRDefault="00267663" w:rsidP="00172F56">
            <w:pPr>
              <w:pStyle w:val="ReportSourceundertable0"/>
              <w:widowControl w:val="0"/>
              <w:spacing w:line="300" w:lineRule="auto"/>
              <w:jc w:val="both"/>
              <w:rPr>
                <w:rFonts w:ascii="Arial" w:hAnsi="Arial"/>
                <w:color w:val="auto"/>
                <w:szCs w:val="20"/>
              </w:rPr>
            </w:pPr>
            <w:r w:rsidRPr="00CC47BE">
              <w:rPr>
                <w:rFonts w:ascii="Arial" w:hAnsi="Arial"/>
                <w:color w:val="auto"/>
                <w:szCs w:val="20"/>
              </w:rPr>
              <w:t>Under-occupied households</w:t>
            </w:r>
          </w:p>
        </w:tc>
      </w:tr>
    </w:tbl>
    <w:p w14:paraId="607B6CC8" w14:textId="77777777" w:rsidR="00860D5E" w:rsidRPr="0081701D" w:rsidRDefault="00860D5E" w:rsidP="00172F56">
      <w:pPr>
        <w:pStyle w:val="Reporttext0"/>
        <w:keepLines w:val="0"/>
        <w:widowControl w:val="0"/>
        <w:numPr>
          <w:ilvl w:val="0"/>
          <w:numId w:val="0"/>
        </w:numPr>
        <w:spacing w:line="300" w:lineRule="auto"/>
        <w:jc w:val="both"/>
        <w:rPr>
          <w:rFonts w:ascii="Arial" w:hAnsi="Arial" w:cs="Arial"/>
          <w:sz w:val="20"/>
        </w:rPr>
      </w:pPr>
    </w:p>
    <w:p w14:paraId="58F45E82" w14:textId="190AE380" w:rsidR="00860D5E" w:rsidRPr="0081701D" w:rsidRDefault="00860D5E">
      <w:pPr>
        <w:pStyle w:val="11Bodytext"/>
        <w:numPr>
          <w:ilvl w:val="1"/>
          <w:numId w:val="23"/>
        </w:numPr>
        <w:spacing w:before="0" w:after="0" w:line="300" w:lineRule="auto"/>
        <w:ind w:left="720" w:hanging="720"/>
        <w:rPr>
          <w:color w:val="auto"/>
        </w:rPr>
      </w:pPr>
      <w:r w:rsidRPr="0081701D">
        <w:t>The estimated number of overcrowded and under-occupied households in Fylde is as follows:</w:t>
      </w:r>
    </w:p>
    <w:p w14:paraId="31DA8196" w14:textId="77777777" w:rsidR="00860D5E" w:rsidRPr="0081701D" w:rsidRDefault="00860D5E" w:rsidP="00172F56">
      <w:pPr>
        <w:widowControl w:val="0"/>
        <w:spacing w:line="300" w:lineRule="auto"/>
        <w:jc w:val="both"/>
        <w:rPr>
          <w:rFonts w:ascii="Arial" w:hAnsi="Arial" w:cs="Arial"/>
          <w:sz w:val="20"/>
          <w:szCs w:val="20"/>
        </w:rPr>
      </w:pPr>
    </w:p>
    <w:p w14:paraId="26AA2199" w14:textId="437F0F89" w:rsidR="00860D5E" w:rsidRPr="0081701D" w:rsidRDefault="00860D5E">
      <w:pPr>
        <w:widowControl w:val="0"/>
        <w:numPr>
          <w:ilvl w:val="0"/>
          <w:numId w:val="31"/>
        </w:numPr>
        <w:spacing w:line="300" w:lineRule="auto"/>
        <w:jc w:val="both"/>
        <w:rPr>
          <w:rFonts w:ascii="Arial" w:hAnsi="Arial" w:cs="Arial"/>
          <w:sz w:val="20"/>
          <w:szCs w:val="20"/>
        </w:rPr>
      </w:pPr>
      <w:r w:rsidRPr="0081701D">
        <w:rPr>
          <w:rFonts w:ascii="Arial" w:hAnsi="Arial" w:cs="Arial"/>
          <w:b/>
          <w:sz w:val="20"/>
          <w:szCs w:val="20"/>
        </w:rPr>
        <w:t>Overcrowded:</w:t>
      </w:r>
      <w:r w:rsidRPr="0081701D">
        <w:rPr>
          <w:rFonts w:ascii="Arial" w:hAnsi="Arial" w:cs="Arial"/>
          <w:sz w:val="20"/>
          <w:szCs w:val="20"/>
        </w:rPr>
        <w:t xml:space="preserve"> 1.</w:t>
      </w:r>
      <w:r w:rsidR="00AF102E" w:rsidRPr="0081701D">
        <w:rPr>
          <w:rFonts w:ascii="Arial" w:hAnsi="Arial" w:cs="Arial"/>
          <w:sz w:val="20"/>
          <w:szCs w:val="20"/>
        </w:rPr>
        <w:t>9</w:t>
      </w:r>
      <w:r w:rsidRPr="0081701D">
        <w:rPr>
          <w:rFonts w:ascii="Arial" w:hAnsi="Arial" w:cs="Arial"/>
          <w:sz w:val="20"/>
          <w:szCs w:val="20"/>
        </w:rPr>
        <w:t xml:space="preserve">% of households = </w:t>
      </w:r>
      <w:r w:rsidR="00AF102E" w:rsidRPr="0081701D">
        <w:rPr>
          <w:rFonts w:ascii="Arial" w:hAnsi="Arial" w:cs="Arial"/>
          <w:sz w:val="20"/>
          <w:szCs w:val="20"/>
        </w:rPr>
        <w:t>736</w:t>
      </w:r>
      <w:r w:rsidRPr="0081701D">
        <w:rPr>
          <w:rFonts w:ascii="Arial" w:hAnsi="Arial" w:cs="Arial"/>
          <w:sz w:val="20"/>
          <w:szCs w:val="20"/>
        </w:rPr>
        <w:t xml:space="preserve"> households</w:t>
      </w:r>
      <w:r w:rsidR="00243A09">
        <w:rPr>
          <w:rFonts w:ascii="Arial" w:hAnsi="Arial" w:cs="Arial"/>
          <w:sz w:val="20"/>
          <w:szCs w:val="20"/>
        </w:rPr>
        <w:t>; and</w:t>
      </w:r>
    </w:p>
    <w:p w14:paraId="67D7B6B5" w14:textId="572707C9" w:rsidR="00860D5E" w:rsidRPr="0081701D" w:rsidRDefault="00860D5E">
      <w:pPr>
        <w:widowControl w:val="0"/>
        <w:numPr>
          <w:ilvl w:val="0"/>
          <w:numId w:val="31"/>
        </w:numPr>
        <w:spacing w:line="300" w:lineRule="auto"/>
        <w:jc w:val="both"/>
        <w:rPr>
          <w:rFonts w:ascii="Arial" w:hAnsi="Arial" w:cs="Arial"/>
          <w:sz w:val="20"/>
          <w:szCs w:val="20"/>
        </w:rPr>
      </w:pPr>
      <w:r w:rsidRPr="0081701D">
        <w:rPr>
          <w:rFonts w:ascii="Arial" w:hAnsi="Arial" w:cs="Arial"/>
          <w:b/>
          <w:sz w:val="20"/>
          <w:szCs w:val="20"/>
        </w:rPr>
        <w:t>Under-occupied:</w:t>
      </w:r>
      <w:r w:rsidRPr="0081701D">
        <w:rPr>
          <w:rFonts w:ascii="Arial" w:hAnsi="Arial" w:cs="Arial"/>
          <w:sz w:val="20"/>
          <w:szCs w:val="20"/>
        </w:rPr>
        <w:t xml:space="preserve"> 4</w:t>
      </w:r>
      <w:r w:rsidR="00AF102E" w:rsidRPr="0081701D">
        <w:rPr>
          <w:rFonts w:ascii="Arial" w:hAnsi="Arial" w:cs="Arial"/>
          <w:sz w:val="20"/>
          <w:szCs w:val="20"/>
        </w:rPr>
        <w:t>2.4</w:t>
      </w:r>
      <w:r w:rsidRPr="0081701D">
        <w:rPr>
          <w:rFonts w:ascii="Arial" w:hAnsi="Arial" w:cs="Arial"/>
          <w:sz w:val="20"/>
          <w:szCs w:val="20"/>
        </w:rPr>
        <w:t xml:space="preserve">% of households = </w:t>
      </w:r>
      <w:r w:rsidR="00AF102E" w:rsidRPr="0081701D">
        <w:rPr>
          <w:rFonts w:ascii="Arial" w:hAnsi="Arial" w:cs="Arial"/>
          <w:sz w:val="20"/>
          <w:szCs w:val="20"/>
        </w:rPr>
        <w:t>16,517</w:t>
      </w:r>
      <w:r w:rsidRPr="0081701D">
        <w:rPr>
          <w:rFonts w:ascii="Arial" w:hAnsi="Arial" w:cs="Arial"/>
          <w:sz w:val="20"/>
          <w:szCs w:val="20"/>
        </w:rPr>
        <w:t xml:space="preserve"> households</w:t>
      </w:r>
      <w:r w:rsidR="00243A09">
        <w:rPr>
          <w:rFonts w:ascii="Arial" w:hAnsi="Arial" w:cs="Arial"/>
          <w:sz w:val="20"/>
          <w:szCs w:val="20"/>
        </w:rPr>
        <w:t>.</w:t>
      </w:r>
    </w:p>
    <w:p w14:paraId="6DCD8E66" w14:textId="77777777" w:rsidR="0081701D" w:rsidRPr="0081701D" w:rsidRDefault="0081701D" w:rsidP="00172F56">
      <w:pPr>
        <w:pStyle w:val="Reporttext0"/>
        <w:keepLines w:val="0"/>
        <w:widowControl w:val="0"/>
        <w:numPr>
          <w:ilvl w:val="0"/>
          <w:numId w:val="0"/>
        </w:numPr>
        <w:spacing w:line="300" w:lineRule="auto"/>
        <w:jc w:val="both"/>
        <w:rPr>
          <w:rFonts w:ascii="Arial" w:hAnsi="Arial" w:cs="Arial"/>
          <w:sz w:val="20"/>
        </w:rPr>
      </w:pPr>
    </w:p>
    <w:p w14:paraId="7E7FCFAD" w14:textId="1A22AF55" w:rsidR="00860D5E" w:rsidRPr="0081701D" w:rsidRDefault="00860D5E">
      <w:pPr>
        <w:pStyle w:val="11Bodytext"/>
        <w:numPr>
          <w:ilvl w:val="1"/>
          <w:numId w:val="23"/>
        </w:numPr>
        <w:spacing w:before="0" w:after="0" w:line="300" w:lineRule="auto"/>
        <w:ind w:left="720" w:hanging="720"/>
        <w:rPr>
          <w:color w:val="auto"/>
        </w:rPr>
      </w:pPr>
      <w:r w:rsidRPr="0081701D">
        <w:t xml:space="preserve">The latest English Housing Survey data on overcrowding (also following the bedroom standard) suggests that nationally around </w:t>
      </w:r>
      <w:r w:rsidR="00AF102E" w:rsidRPr="0081701D">
        <w:t>3.1</w:t>
      </w:r>
      <w:r w:rsidRPr="0081701D">
        <w:t>% of households are overcrowded, higher than the levels recorded from survey data.</w:t>
      </w:r>
    </w:p>
    <w:p w14:paraId="3FACFCB0" w14:textId="77777777" w:rsidR="0081701D" w:rsidRPr="0081701D" w:rsidRDefault="0081701D" w:rsidP="00172F56">
      <w:pPr>
        <w:pStyle w:val="11Bodytext"/>
        <w:numPr>
          <w:ilvl w:val="0"/>
          <w:numId w:val="0"/>
        </w:numPr>
        <w:spacing w:before="0" w:after="0" w:line="300" w:lineRule="auto"/>
        <w:rPr>
          <w:color w:val="auto"/>
        </w:rPr>
      </w:pPr>
    </w:p>
    <w:p w14:paraId="5E092A6B" w14:textId="2F599992" w:rsidR="00860D5E" w:rsidRPr="0081701D" w:rsidRDefault="00860D5E">
      <w:pPr>
        <w:pStyle w:val="11Bodytext"/>
        <w:numPr>
          <w:ilvl w:val="1"/>
          <w:numId w:val="23"/>
        </w:numPr>
        <w:spacing w:before="0" w:after="0" w:line="300" w:lineRule="auto"/>
        <w:ind w:left="720" w:hanging="720"/>
        <w:rPr>
          <w:color w:val="auto"/>
        </w:rPr>
      </w:pPr>
      <w:r w:rsidRPr="0081701D">
        <w:t>Further survey data suggests that overcrowded households are more likely to be living in rented accommodation, are particularly likely to state a need or likelihood of moving home over the next two years and are particularly likely to contain children (8</w:t>
      </w:r>
      <w:r w:rsidR="0081701D" w:rsidRPr="0081701D">
        <w:t>3</w:t>
      </w:r>
      <w:r w:rsidRPr="0081701D">
        <w:t>% of all overcrowded households contain children aged under 16).</w:t>
      </w:r>
    </w:p>
    <w:p w14:paraId="68145C4F" w14:textId="77777777" w:rsidR="0081701D" w:rsidRPr="0081701D" w:rsidRDefault="0081701D" w:rsidP="00172F56">
      <w:pPr>
        <w:spacing w:line="300" w:lineRule="auto"/>
        <w:jc w:val="both"/>
        <w:rPr>
          <w:rFonts w:ascii="Arial" w:hAnsi="Arial" w:cs="Arial"/>
          <w:sz w:val="20"/>
          <w:szCs w:val="20"/>
        </w:rPr>
      </w:pPr>
    </w:p>
    <w:p w14:paraId="2E0A046B" w14:textId="4CF6A519" w:rsidR="00860D5E" w:rsidRPr="0081701D" w:rsidRDefault="00860D5E">
      <w:pPr>
        <w:pStyle w:val="11Bodytext"/>
        <w:numPr>
          <w:ilvl w:val="1"/>
          <w:numId w:val="23"/>
        </w:numPr>
        <w:spacing w:before="0" w:after="0" w:line="300" w:lineRule="auto"/>
        <w:ind w:left="720" w:hanging="720"/>
        <w:rPr>
          <w:color w:val="auto"/>
        </w:rPr>
      </w:pPr>
      <w:r w:rsidRPr="0081701D">
        <w:t>Looking at under-occupation the survey data shows that pensioner only households are particularly likely to be under-occupied. Under-occupation is also particularly high in the owner-occupied (no mortgage) tenure group – this is linked to the high proportion of older persons in this tenure.</w:t>
      </w:r>
    </w:p>
    <w:p w14:paraId="080A6310" w14:textId="023FA7C7" w:rsidR="00267663" w:rsidRPr="0081701D" w:rsidRDefault="00267663" w:rsidP="00172F56">
      <w:pPr>
        <w:pStyle w:val="11Bodytext"/>
        <w:numPr>
          <w:ilvl w:val="0"/>
          <w:numId w:val="0"/>
        </w:numPr>
        <w:spacing w:before="0" w:after="0" w:line="300" w:lineRule="auto"/>
      </w:pPr>
    </w:p>
    <w:p w14:paraId="214A1592" w14:textId="7C2EF801" w:rsidR="00C00199" w:rsidRPr="007236BD" w:rsidRDefault="00C00199" w:rsidP="00172F56">
      <w:pPr>
        <w:spacing w:line="300" w:lineRule="auto"/>
        <w:jc w:val="both"/>
        <w:rPr>
          <w:rFonts w:ascii="Arial" w:hAnsi="Arial" w:cs="Arial"/>
          <w:b/>
          <w:lang w:eastAsia="ja-JP"/>
        </w:rPr>
      </w:pPr>
      <w:r>
        <w:rPr>
          <w:rFonts w:ascii="Arial" w:hAnsi="Arial" w:cs="Arial"/>
          <w:b/>
          <w:lang w:eastAsia="ja-JP"/>
        </w:rPr>
        <w:t>Report Structure</w:t>
      </w:r>
    </w:p>
    <w:p w14:paraId="322A45ED" w14:textId="77777777" w:rsidR="00C00199" w:rsidRPr="007236BD" w:rsidRDefault="00C00199" w:rsidP="00172F56">
      <w:pPr>
        <w:spacing w:line="300" w:lineRule="auto"/>
        <w:jc w:val="both"/>
        <w:rPr>
          <w:rFonts w:ascii="Arial" w:hAnsi="Arial" w:cs="Arial"/>
          <w:sz w:val="20"/>
          <w:szCs w:val="20"/>
          <w:lang w:eastAsia="ja-JP"/>
        </w:rPr>
      </w:pPr>
    </w:p>
    <w:p w14:paraId="1BE0900C" w14:textId="6BA66638" w:rsidR="0081256C" w:rsidRPr="0081256C" w:rsidRDefault="00C00199">
      <w:pPr>
        <w:pStyle w:val="11Bodytext"/>
        <w:numPr>
          <w:ilvl w:val="1"/>
          <w:numId w:val="23"/>
        </w:numPr>
        <w:spacing w:before="0" w:after="0" w:line="300" w:lineRule="auto"/>
        <w:ind w:left="720" w:hanging="720"/>
        <w:rPr>
          <w:color w:val="auto"/>
        </w:rPr>
      </w:pPr>
      <w:r>
        <w:t xml:space="preserve">As the study is predominantly designed to consider the need for affordable housing, there is an immediate focus on those part of the survey data </w:t>
      </w:r>
      <w:r w:rsidR="0081256C">
        <w:t xml:space="preserve">which lead us to </w:t>
      </w:r>
      <w:r w:rsidR="00432414">
        <w:t>conclusions</w:t>
      </w:r>
      <w:r w:rsidR="0081256C">
        <w:t xml:space="preserve"> about the level of </w:t>
      </w:r>
      <w:r w:rsidR="00432414">
        <w:t>affordable</w:t>
      </w:r>
      <w:r w:rsidR="0081256C">
        <w:t xml:space="preserve"> need in the Borough. Further sections are then </w:t>
      </w:r>
      <w:r w:rsidR="00432414">
        <w:t>developed</w:t>
      </w:r>
      <w:r w:rsidR="0081256C">
        <w:t xml:space="preserve"> looking at other parts of the household survey questionnaire. The list of sections and a brief description can be found below:</w:t>
      </w:r>
    </w:p>
    <w:p w14:paraId="5E8E7FDF" w14:textId="77777777" w:rsidR="0081256C" w:rsidRDefault="0081256C" w:rsidP="00172F56">
      <w:pPr>
        <w:pStyle w:val="11Bodytext"/>
        <w:numPr>
          <w:ilvl w:val="0"/>
          <w:numId w:val="0"/>
        </w:numPr>
        <w:spacing w:before="0" w:after="0" w:line="300" w:lineRule="auto"/>
      </w:pPr>
    </w:p>
    <w:p w14:paraId="04C972B9" w14:textId="4AB6EFA1" w:rsidR="0081256C" w:rsidRDefault="00EE20A8">
      <w:pPr>
        <w:pStyle w:val="11Bodytext"/>
        <w:numPr>
          <w:ilvl w:val="0"/>
          <w:numId w:val="71"/>
        </w:numPr>
        <w:spacing w:before="0" w:after="0" w:line="300" w:lineRule="auto"/>
      </w:pPr>
      <w:r>
        <w:t xml:space="preserve">Section 2: </w:t>
      </w:r>
      <w:r w:rsidR="00B21374">
        <w:t>Incomes and Affordability</w:t>
      </w:r>
      <w:r>
        <w:t xml:space="preserve"> – provides a range of analysis </w:t>
      </w:r>
      <w:r w:rsidR="00432414">
        <w:t>about</w:t>
      </w:r>
      <w:r>
        <w:t xml:space="preserve"> the financial </w:t>
      </w:r>
      <w:r w:rsidR="00432414">
        <w:t>situation</w:t>
      </w:r>
      <w:r>
        <w:t xml:space="preserve"> of households in the </w:t>
      </w:r>
      <w:r w:rsidR="00432414">
        <w:t>Borough</w:t>
      </w:r>
      <w:r>
        <w:t xml:space="preserve"> (including incomes, savings, equity etc.) to form a view about which households are likely to be able to afford housing in the private sector (and those who will need some form of affordable option);</w:t>
      </w:r>
    </w:p>
    <w:p w14:paraId="5AB4FF6F" w14:textId="5ACABBB6" w:rsidR="00EE20A8" w:rsidRDefault="00EE20A8">
      <w:pPr>
        <w:pStyle w:val="11Bodytext"/>
        <w:numPr>
          <w:ilvl w:val="0"/>
          <w:numId w:val="71"/>
        </w:numPr>
        <w:spacing w:before="0" w:after="0" w:line="300" w:lineRule="auto"/>
      </w:pPr>
      <w:r>
        <w:t xml:space="preserve">Section 3: Affordable Housing Need – using the financial data, along with other parts of the survey to </w:t>
      </w:r>
      <w:r w:rsidR="00432414">
        <w:t>estimate</w:t>
      </w:r>
      <w:r>
        <w:t xml:space="preserve"> the need for affordable housing. The method follows th</w:t>
      </w:r>
      <w:r w:rsidR="00041EB7">
        <w:t>at set out in Planning Practice Guidance</w:t>
      </w:r>
      <w:r>
        <w:t xml:space="preserve"> </w:t>
      </w:r>
      <w:r w:rsidR="0029674B">
        <w:t xml:space="preserve">(PPG) </w:t>
      </w:r>
      <w:r>
        <w:t>and is split between a need for rented affordable housing (social/affordable rents) and affordable home ownership;</w:t>
      </w:r>
    </w:p>
    <w:p w14:paraId="13D879C2" w14:textId="2E900A3D" w:rsidR="00EE20A8" w:rsidRDefault="00EE20A8">
      <w:pPr>
        <w:pStyle w:val="11Bodytext"/>
        <w:numPr>
          <w:ilvl w:val="0"/>
          <w:numId w:val="71"/>
        </w:numPr>
        <w:spacing w:before="0" w:after="0" w:line="300" w:lineRule="auto"/>
      </w:pPr>
      <w:r>
        <w:t>Section 4: Types of Affordable Housing – this section uses a combination of survey and secondary data (</w:t>
      </w:r>
      <w:r w:rsidR="00432414">
        <w:t>mainly</w:t>
      </w:r>
      <w:r>
        <w:t xml:space="preserve"> about housing costs) to consider what types of affordable housing would be most suitable to meet the needs of local </w:t>
      </w:r>
      <w:r w:rsidR="00432414">
        <w:t>households</w:t>
      </w:r>
      <w:r>
        <w:t>;</w:t>
      </w:r>
    </w:p>
    <w:p w14:paraId="28C88246" w14:textId="2164CE06" w:rsidR="00EE20A8" w:rsidRDefault="00EE20A8">
      <w:pPr>
        <w:pStyle w:val="11Bodytext"/>
        <w:numPr>
          <w:ilvl w:val="0"/>
          <w:numId w:val="71"/>
        </w:numPr>
        <w:spacing w:before="0" w:after="0" w:line="300" w:lineRule="auto"/>
      </w:pPr>
      <w:r>
        <w:t xml:space="preserve">Section 5: Housing </w:t>
      </w:r>
      <w:r w:rsidR="00432414">
        <w:t>History</w:t>
      </w:r>
      <w:r>
        <w:t xml:space="preserve"> and Future Aspirations – drawing on data in the survey about </w:t>
      </w:r>
      <w:r w:rsidR="00432414">
        <w:t>households’</w:t>
      </w:r>
      <w:r>
        <w:t xml:space="preserve"> past moves and then considering what </w:t>
      </w:r>
      <w:r w:rsidR="00432414">
        <w:t>households</w:t>
      </w:r>
      <w:r>
        <w:t xml:space="preserve"> would like and expect to do in the future. The latter analysis is split between existing and newly-forming </w:t>
      </w:r>
      <w:r w:rsidR="00432414">
        <w:t>households</w:t>
      </w:r>
      <w:r>
        <w:t xml:space="preserve"> and is used to </w:t>
      </w:r>
      <w:r w:rsidR="00432414">
        <w:t>provide</w:t>
      </w:r>
      <w:r>
        <w:t xml:space="preserve"> an indication of the sizes of homes likely to be needed in different sectors; and</w:t>
      </w:r>
    </w:p>
    <w:p w14:paraId="11503F29" w14:textId="54D9766D" w:rsidR="00EE20A8" w:rsidRDefault="00432414">
      <w:pPr>
        <w:pStyle w:val="11Bodytext"/>
        <w:numPr>
          <w:ilvl w:val="0"/>
          <w:numId w:val="71"/>
        </w:numPr>
        <w:spacing w:before="0" w:after="0" w:line="300" w:lineRule="auto"/>
      </w:pPr>
      <w:r>
        <w:t>Section</w:t>
      </w:r>
      <w:r w:rsidR="00EE20A8">
        <w:t xml:space="preserve"> 6: </w:t>
      </w:r>
      <w:r w:rsidR="0045675F">
        <w:t>Needs of Parti</w:t>
      </w:r>
      <w:r>
        <w:t>cular</w:t>
      </w:r>
      <w:r w:rsidR="0045675F">
        <w:t xml:space="preserve"> Groups – focussing on older people and those with disabilities, but also considers households with children and younger </w:t>
      </w:r>
      <w:r>
        <w:t>person</w:t>
      </w:r>
      <w:r w:rsidR="0045675F">
        <w:t xml:space="preserve"> households.</w:t>
      </w:r>
    </w:p>
    <w:p w14:paraId="0B4522B1" w14:textId="66E586D2" w:rsidR="00454E5A" w:rsidRDefault="00454E5A">
      <w:pPr>
        <w:pStyle w:val="11Bodytext"/>
        <w:numPr>
          <w:ilvl w:val="0"/>
          <w:numId w:val="71"/>
        </w:numPr>
        <w:spacing w:before="0" w:after="0" w:line="300" w:lineRule="auto"/>
      </w:pPr>
      <w:r>
        <w:t>Section 7: Stakeholder Inputs – provides a summary of discussions with key stakeholders (Estate and letting agents, Registered providers, Large employers including the NHS).</w:t>
      </w:r>
    </w:p>
    <w:p w14:paraId="2610998B" w14:textId="77777777" w:rsidR="00454E5A" w:rsidRDefault="00454E5A">
      <w:pPr>
        <w:pStyle w:val="11Bodytext"/>
        <w:numPr>
          <w:ilvl w:val="0"/>
          <w:numId w:val="0"/>
        </w:numPr>
        <w:spacing w:before="0" w:after="0" w:line="300" w:lineRule="auto"/>
        <w:ind w:left="794" w:hanging="794"/>
      </w:pPr>
    </w:p>
    <w:p w14:paraId="5E017FB7" w14:textId="77777777" w:rsidR="00F80D6C" w:rsidRPr="00907AE2" w:rsidRDefault="00F80D6C" w:rsidP="00F80D6C">
      <w:pPr>
        <w:pStyle w:val="11Bodytext"/>
        <w:numPr>
          <w:ilvl w:val="0"/>
          <w:numId w:val="0"/>
        </w:numPr>
        <w:spacing w:before="0" w:after="0" w:line="300" w:lineRule="auto"/>
        <w:jc w:val="left"/>
        <w:rPr>
          <w:b/>
          <w:bCs w:val="0"/>
          <w:sz w:val="24"/>
          <w:szCs w:val="24"/>
        </w:rPr>
      </w:pPr>
      <w:r>
        <w:rPr>
          <w:b/>
          <w:bCs w:val="0"/>
          <w:sz w:val="24"/>
          <w:szCs w:val="24"/>
        </w:rPr>
        <w:t>Rounding</w:t>
      </w:r>
    </w:p>
    <w:p w14:paraId="7A8D6EA3" w14:textId="77777777" w:rsidR="00F80D6C" w:rsidRPr="00907AE2" w:rsidRDefault="00F80D6C" w:rsidP="00F80D6C">
      <w:pPr>
        <w:pStyle w:val="11Bodytext"/>
        <w:numPr>
          <w:ilvl w:val="0"/>
          <w:numId w:val="0"/>
        </w:numPr>
        <w:spacing w:before="0" w:after="0" w:line="300" w:lineRule="auto"/>
        <w:jc w:val="left"/>
        <w:rPr>
          <w:color w:val="auto"/>
        </w:rPr>
      </w:pPr>
    </w:p>
    <w:p w14:paraId="1EDA5748" w14:textId="1BD5CB59" w:rsidR="00F80D6C" w:rsidRPr="0053462D" w:rsidRDefault="00F80D6C">
      <w:pPr>
        <w:pStyle w:val="11Bodytext"/>
        <w:numPr>
          <w:ilvl w:val="1"/>
          <w:numId w:val="23"/>
        </w:numPr>
        <w:spacing w:before="0" w:after="0" w:line="300" w:lineRule="auto"/>
        <w:ind w:left="720" w:hanging="720"/>
        <w:jc w:val="left"/>
        <w:rPr>
          <w:color w:val="auto"/>
        </w:rPr>
      </w:pPr>
      <w:r>
        <w:t>It should be noted that the numbers included in tables and figures throughout the report may not sum exactly due to rounding.</w:t>
      </w:r>
    </w:p>
    <w:p w14:paraId="67FB7BA0" w14:textId="77777777" w:rsidR="00F80D6C" w:rsidRDefault="00F80D6C" w:rsidP="00172F56">
      <w:pPr>
        <w:pStyle w:val="11Bodytext"/>
        <w:numPr>
          <w:ilvl w:val="0"/>
          <w:numId w:val="0"/>
        </w:numPr>
        <w:spacing w:before="0" w:after="0" w:line="300" w:lineRule="auto"/>
        <w:ind w:left="794" w:hanging="794"/>
      </w:pPr>
    </w:p>
    <w:p w14:paraId="21A7E8B5" w14:textId="7A360748" w:rsidR="0045675F" w:rsidRPr="007236BD" w:rsidRDefault="0045675F" w:rsidP="00172F56">
      <w:pPr>
        <w:spacing w:line="300" w:lineRule="auto"/>
        <w:jc w:val="both"/>
        <w:rPr>
          <w:rFonts w:ascii="Arial" w:hAnsi="Arial" w:cs="Arial"/>
          <w:b/>
          <w:lang w:eastAsia="ja-JP"/>
        </w:rPr>
      </w:pPr>
      <w:r>
        <w:rPr>
          <w:rFonts w:ascii="Arial" w:hAnsi="Arial" w:cs="Arial"/>
          <w:b/>
          <w:lang w:eastAsia="ja-JP"/>
        </w:rPr>
        <w:t>Summary</w:t>
      </w:r>
    </w:p>
    <w:p w14:paraId="41971AB5" w14:textId="77777777" w:rsidR="0045675F" w:rsidRPr="007236BD" w:rsidRDefault="0045675F" w:rsidP="00172F56">
      <w:pPr>
        <w:spacing w:line="300" w:lineRule="auto"/>
        <w:jc w:val="both"/>
        <w:rPr>
          <w:rFonts w:ascii="Arial" w:hAnsi="Arial" w:cs="Arial"/>
          <w:sz w:val="20"/>
          <w:szCs w:val="20"/>
          <w:lang w:eastAsia="ja-JP"/>
        </w:rPr>
      </w:pPr>
    </w:p>
    <w:p w14:paraId="17C456C7" w14:textId="4AD4319C" w:rsidR="00700148" w:rsidRPr="00700148" w:rsidRDefault="00700148">
      <w:pPr>
        <w:pStyle w:val="11Bodytext"/>
        <w:numPr>
          <w:ilvl w:val="1"/>
          <w:numId w:val="23"/>
        </w:numPr>
        <w:spacing w:before="0" w:after="0" w:line="300" w:lineRule="auto"/>
        <w:ind w:left="720" w:hanging="720"/>
        <w:rPr>
          <w:color w:val="auto"/>
        </w:rPr>
      </w:pPr>
      <w:r w:rsidRPr="00700148">
        <w:t xml:space="preserve">Justin Gardner Consulting (JGC) working in association with CNB Housing Insights </w:t>
      </w:r>
      <w:r w:rsidR="00243A09">
        <w:t>were</w:t>
      </w:r>
      <w:r w:rsidRPr="00700148">
        <w:t xml:space="preserve"> commissioned by Fylde Council to undertake a Housing Needs Survey for the Borough. The Housing Needs Survey provides a key piece of the evidence base to support the Council in driving the delivery of affordable housing of appropriate types in different parts of the Borough</w:t>
      </w:r>
      <w:r w:rsidR="00670733">
        <w:t xml:space="preserve"> </w:t>
      </w:r>
      <w:r w:rsidRPr="00700148">
        <w:t>and ensuring that needs of particular groups are met.</w:t>
      </w:r>
    </w:p>
    <w:p w14:paraId="1FEED614" w14:textId="77777777" w:rsidR="00700148" w:rsidRPr="00700148" w:rsidRDefault="00700148" w:rsidP="00172F56">
      <w:pPr>
        <w:pStyle w:val="11Bodytext"/>
        <w:numPr>
          <w:ilvl w:val="0"/>
          <w:numId w:val="0"/>
        </w:numPr>
        <w:spacing w:before="0" w:after="0" w:line="300" w:lineRule="auto"/>
        <w:rPr>
          <w:color w:val="auto"/>
        </w:rPr>
      </w:pPr>
    </w:p>
    <w:p w14:paraId="104AEAE1" w14:textId="03BC17E3" w:rsidR="00700148" w:rsidRPr="00700148" w:rsidRDefault="00700148">
      <w:pPr>
        <w:pStyle w:val="11Bodytext"/>
        <w:numPr>
          <w:ilvl w:val="1"/>
          <w:numId w:val="23"/>
        </w:numPr>
        <w:spacing w:before="0" w:after="0" w:line="300" w:lineRule="auto"/>
        <w:ind w:left="720" w:hanging="720"/>
        <w:rPr>
          <w:color w:val="auto"/>
        </w:rPr>
      </w:pPr>
      <w:r w:rsidRPr="00700148">
        <w:t>The survey has been carried out across the whole of the Fylde Council area, along with smaller-area analysis for 10 sub-areas of the Borough. Overall, the survey achieved 2,973 responses from an initially targeted sample of 12,193 households (a response rate of 24%) with survey data being weighted for any measurable non-response bias by looking at key groups within the population (notably considering the tenure split).</w:t>
      </w:r>
    </w:p>
    <w:p w14:paraId="61ED0946" w14:textId="77777777" w:rsidR="00700148" w:rsidRPr="00700148" w:rsidRDefault="00700148" w:rsidP="00172F56">
      <w:pPr>
        <w:pStyle w:val="11Bodytext"/>
        <w:numPr>
          <w:ilvl w:val="0"/>
          <w:numId w:val="0"/>
        </w:numPr>
        <w:spacing w:before="0" w:after="0" w:line="300" w:lineRule="auto"/>
        <w:rPr>
          <w:color w:val="auto"/>
        </w:rPr>
      </w:pPr>
    </w:p>
    <w:p w14:paraId="0F871BB9" w14:textId="77777777" w:rsidR="00700148" w:rsidRPr="00700148" w:rsidRDefault="00700148">
      <w:pPr>
        <w:pStyle w:val="11Bodytext"/>
        <w:numPr>
          <w:ilvl w:val="1"/>
          <w:numId w:val="23"/>
        </w:numPr>
        <w:spacing w:before="0" w:after="0" w:line="300" w:lineRule="auto"/>
        <w:ind w:left="720" w:hanging="720"/>
        <w:rPr>
          <w:color w:val="auto"/>
        </w:rPr>
      </w:pPr>
      <w:r w:rsidRPr="00700148">
        <w:t>A range of background analysis was undertaken to provide some context for the results of the survey and to understand key differences between sub-areas. Key findings include:</w:t>
      </w:r>
    </w:p>
    <w:p w14:paraId="4D3F4520" w14:textId="77777777" w:rsidR="00700148" w:rsidRPr="00251085" w:rsidRDefault="00700148" w:rsidP="00172F56">
      <w:pPr>
        <w:spacing w:line="300" w:lineRule="auto"/>
        <w:jc w:val="both"/>
        <w:rPr>
          <w:rFonts w:ascii="Arial" w:hAnsi="Arial" w:cs="Arial"/>
          <w:sz w:val="20"/>
          <w:szCs w:val="20"/>
        </w:rPr>
      </w:pPr>
    </w:p>
    <w:p w14:paraId="0F4BA9F4" w14:textId="77777777" w:rsidR="00700148" w:rsidRPr="00251085" w:rsidRDefault="00700148">
      <w:pPr>
        <w:pStyle w:val="ListParagraph"/>
        <w:numPr>
          <w:ilvl w:val="0"/>
          <w:numId w:val="72"/>
        </w:numPr>
        <w:spacing w:line="300" w:lineRule="auto"/>
        <w:contextualSpacing/>
        <w:jc w:val="both"/>
        <w:rPr>
          <w:rFonts w:ascii="Arial" w:hAnsi="Arial" w:cs="Arial"/>
          <w:sz w:val="20"/>
          <w:szCs w:val="20"/>
        </w:rPr>
      </w:pPr>
      <w:r w:rsidRPr="00251085">
        <w:rPr>
          <w:rFonts w:ascii="Arial" w:hAnsi="Arial" w:cs="Arial"/>
          <w:sz w:val="20"/>
          <w:szCs w:val="20"/>
        </w:rPr>
        <w:t>The Borough has a small social rented sector (at about 8% of households, around half the level seen nationally). Private renting is about average and there are a high proportion of outright owners (linked to a relatively old population structure);</w:t>
      </w:r>
    </w:p>
    <w:p w14:paraId="64C3BA7F" w14:textId="77777777" w:rsidR="00700148" w:rsidRPr="00251085" w:rsidRDefault="00700148">
      <w:pPr>
        <w:pStyle w:val="ListParagraph"/>
        <w:numPr>
          <w:ilvl w:val="0"/>
          <w:numId w:val="72"/>
        </w:numPr>
        <w:spacing w:line="300" w:lineRule="auto"/>
        <w:contextualSpacing/>
        <w:jc w:val="both"/>
        <w:rPr>
          <w:rFonts w:ascii="Arial" w:hAnsi="Arial" w:cs="Arial"/>
          <w:sz w:val="20"/>
          <w:szCs w:val="20"/>
        </w:rPr>
      </w:pPr>
      <w:r w:rsidRPr="00251085">
        <w:rPr>
          <w:rFonts w:ascii="Arial" w:hAnsi="Arial" w:cs="Arial"/>
          <w:sz w:val="20"/>
          <w:szCs w:val="20"/>
        </w:rPr>
        <w:t>St. Annes sees particularly high levels of private renting, with rural areas seeing low levels of rented housing generally (in both the private and social rented sectors);</w:t>
      </w:r>
    </w:p>
    <w:p w14:paraId="43D69791" w14:textId="77777777" w:rsidR="00700148" w:rsidRPr="00251085" w:rsidRDefault="00700148">
      <w:pPr>
        <w:pStyle w:val="ListParagraph"/>
        <w:numPr>
          <w:ilvl w:val="0"/>
          <w:numId w:val="72"/>
        </w:numPr>
        <w:spacing w:line="300" w:lineRule="auto"/>
        <w:contextualSpacing/>
        <w:jc w:val="both"/>
        <w:rPr>
          <w:rFonts w:ascii="Arial" w:hAnsi="Arial" w:cs="Arial"/>
          <w:sz w:val="20"/>
          <w:szCs w:val="20"/>
        </w:rPr>
      </w:pPr>
      <w:r w:rsidRPr="00251085">
        <w:rPr>
          <w:rFonts w:ascii="Arial" w:hAnsi="Arial" w:cs="Arial"/>
          <w:sz w:val="20"/>
          <w:szCs w:val="20"/>
        </w:rPr>
        <w:t>Survey data confirms an older population structure, with 36% of the population being aged 60 and over (compared to 24% nationally);</w:t>
      </w:r>
    </w:p>
    <w:p w14:paraId="1A817211" w14:textId="49801778" w:rsidR="00700148" w:rsidRPr="00251085" w:rsidRDefault="00700148">
      <w:pPr>
        <w:pStyle w:val="ListParagraph"/>
        <w:numPr>
          <w:ilvl w:val="0"/>
          <w:numId w:val="72"/>
        </w:numPr>
        <w:spacing w:line="300" w:lineRule="auto"/>
        <w:contextualSpacing/>
        <w:jc w:val="both"/>
        <w:rPr>
          <w:rFonts w:ascii="Arial" w:hAnsi="Arial" w:cs="Arial"/>
          <w:sz w:val="20"/>
          <w:szCs w:val="20"/>
        </w:rPr>
      </w:pPr>
      <w:r w:rsidRPr="00251085">
        <w:rPr>
          <w:rFonts w:ascii="Arial" w:hAnsi="Arial" w:cs="Arial"/>
          <w:sz w:val="20"/>
          <w:szCs w:val="20"/>
        </w:rPr>
        <w:t>Outright owners are predominantly made up of households of pensionable age and consequently have smaller household sizes. The</w:t>
      </w:r>
      <w:r w:rsidR="00E831CE">
        <w:rPr>
          <w:rFonts w:ascii="Arial" w:hAnsi="Arial" w:cs="Arial"/>
          <w:sz w:val="20"/>
          <w:szCs w:val="20"/>
        </w:rPr>
        <w:t>re</w:t>
      </w:r>
      <w:r w:rsidRPr="00251085">
        <w:rPr>
          <w:rFonts w:ascii="Arial" w:hAnsi="Arial" w:cs="Arial"/>
          <w:sz w:val="20"/>
          <w:szCs w:val="20"/>
        </w:rPr>
        <w:t xml:space="preserve"> is a strong concentration of lone parent households within the private rented sector</w:t>
      </w:r>
      <w:r w:rsidR="00243A09">
        <w:rPr>
          <w:rFonts w:ascii="Arial" w:hAnsi="Arial" w:cs="Arial"/>
          <w:sz w:val="20"/>
          <w:szCs w:val="20"/>
        </w:rPr>
        <w:t>;</w:t>
      </w:r>
    </w:p>
    <w:p w14:paraId="7301A83A" w14:textId="77777777" w:rsidR="00700148" w:rsidRPr="00251085" w:rsidRDefault="00700148">
      <w:pPr>
        <w:pStyle w:val="ListParagraph"/>
        <w:numPr>
          <w:ilvl w:val="0"/>
          <w:numId w:val="72"/>
        </w:numPr>
        <w:spacing w:line="300" w:lineRule="auto"/>
        <w:contextualSpacing/>
        <w:jc w:val="both"/>
        <w:rPr>
          <w:rFonts w:ascii="Arial" w:hAnsi="Arial" w:cs="Arial"/>
          <w:sz w:val="20"/>
          <w:szCs w:val="20"/>
        </w:rPr>
      </w:pPr>
      <w:r w:rsidRPr="00251085">
        <w:rPr>
          <w:rFonts w:ascii="Arial" w:hAnsi="Arial" w:cs="Arial"/>
          <w:sz w:val="20"/>
          <w:szCs w:val="20"/>
        </w:rPr>
        <w:t>Owner-occupiers generally live in houses (notably detached and semi-detached) whilst around half of all social and privately rented homes are flats; and</w:t>
      </w:r>
    </w:p>
    <w:p w14:paraId="219F9FCD" w14:textId="77777777" w:rsidR="00700148" w:rsidRPr="00251085" w:rsidRDefault="00700148">
      <w:pPr>
        <w:pStyle w:val="ListParagraph"/>
        <w:numPr>
          <w:ilvl w:val="0"/>
          <w:numId w:val="72"/>
        </w:numPr>
        <w:spacing w:line="300" w:lineRule="auto"/>
        <w:contextualSpacing/>
        <w:jc w:val="both"/>
        <w:rPr>
          <w:rFonts w:ascii="Arial" w:hAnsi="Arial" w:cs="Arial"/>
          <w:sz w:val="20"/>
          <w:szCs w:val="20"/>
        </w:rPr>
      </w:pPr>
      <w:r w:rsidRPr="00251085">
        <w:rPr>
          <w:rFonts w:ascii="Arial" w:hAnsi="Arial" w:cs="Arial"/>
          <w:sz w:val="20"/>
          <w:szCs w:val="20"/>
        </w:rPr>
        <w:t>Levels of overcrowding are generally low but concentrated in rented housing (86% of all overcrowded households live in either the social or private rented sector).</w:t>
      </w:r>
    </w:p>
    <w:p w14:paraId="188D0D8B" w14:textId="77777777" w:rsidR="00700148" w:rsidRPr="00700148" w:rsidRDefault="00700148" w:rsidP="00172F56">
      <w:pPr>
        <w:pStyle w:val="11Bodytext"/>
        <w:numPr>
          <w:ilvl w:val="0"/>
          <w:numId w:val="0"/>
        </w:numPr>
        <w:spacing w:before="0" w:after="0" w:line="300" w:lineRule="auto"/>
        <w:rPr>
          <w:color w:val="auto"/>
        </w:rPr>
      </w:pPr>
    </w:p>
    <w:p w14:paraId="4BBDEFE1" w14:textId="5485FCE9" w:rsidR="00700148" w:rsidRPr="00700148" w:rsidRDefault="00700148">
      <w:pPr>
        <w:pStyle w:val="11Bodytext"/>
        <w:numPr>
          <w:ilvl w:val="1"/>
          <w:numId w:val="23"/>
        </w:numPr>
        <w:spacing w:before="0" w:after="0" w:line="300" w:lineRule="auto"/>
        <w:ind w:left="720" w:hanging="720"/>
        <w:rPr>
          <w:color w:val="auto"/>
        </w:rPr>
      </w:pPr>
      <w:r w:rsidRPr="00700148">
        <w:t>This report sets out a number of either linked or distinct sections to cover a range of core subject areas with a particular focus on the need for affordable housing; the sections are summarised below:</w:t>
      </w:r>
    </w:p>
    <w:p w14:paraId="50A86EEB" w14:textId="77777777" w:rsidR="00700148" w:rsidRPr="00251085" w:rsidRDefault="00700148" w:rsidP="00172F56">
      <w:pPr>
        <w:pStyle w:val="11Bodytext"/>
        <w:numPr>
          <w:ilvl w:val="0"/>
          <w:numId w:val="0"/>
        </w:numPr>
        <w:spacing w:before="0" w:after="0" w:line="300" w:lineRule="auto"/>
        <w:rPr>
          <w:color w:val="auto"/>
        </w:rPr>
      </w:pPr>
    </w:p>
    <w:p w14:paraId="68B40197" w14:textId="77777777" w:rsidR="00700148" w:rsidRPr="00251085" w:rsidRDefault="00700148">
      <w:pPr>
        <w:pStyle w:val="11Bodytext"/>
        <w:numPr>
          <w:ilvl w:val="0"/>
          <w:numId w:val="73"/>
        </w:numPr>
        <w:spacing w:before="0" w:after="0" w:line="300" w:lineRule="auto"/>
        <w:ind w:left="714" w:hanging="357"/>
        <w:rPr>
          <w:color w:val="auto"/>
        </w:rPr>
      </w:pPr>
      <w:r w:rsidRPr="00251085">
        <w:rPr>
          <w:color w:val="auto"/>
        </w:rPr>
        <w:t>Section 2 – Incomes and Affordability;</w:t>
      </w:r>
    </w:p>
    <w:p w14:paraId="5CADDDFD" w14:textId="77777777" w:rsidR="00700148" w:rsidRPr="00251085" w:rsidRDefault="00700148">
      <w:pPr>
        <w:pStyle w:val="11Bodytext"/>
        <w:numPr>
          <w:ilvl w:val="0"/>
          <w:numId w:val="73"/>
        </w:numPr>
        <w:spacing w:before="0" w:after="0" w:line="300" w:lineRule="auto"/>
        <w:ind w:left="714" w:hanging="357"/>
        <w:rPr>
          <w:color w:val="auto"/>
        </w:rPr>
      </w:pPr>
      <w:r w:rsidRPr="00251085">
        <w:rPr>
          <w:color w:val="auto"/>
        </w:rPr>
        <w:t>Section 3 – Affordable Housing Need;</w:t>
      </w:r>
    </w:p>
    <w:p w14:paraId="152A0E7A" w14:textId="77777777" w:rsidR="00700148" w:rsidRPr="00251085" w:rsidRDefault="00700148">
      <w:pPr>
        <w:pStyle w:val="11Bodytext"/>
        <w:numPr>
          <w:ilvl w:val="0"/>
          <w:numId w:val="73"/>
        </w:numPr>
        <w:spacing w:before="0" w:after="0" w:line="300" w:lineRule="auto"/>
        <w:ind w:left="714" w:hanging="357"/>
        <w:rPr>
          <w:color w:val="auto"/>
        </w:rPr>
      </w:pPr>
      <w:r w:rsidRPr="00251085">
        <w:rPr>
          <w:color w:val="auto"/>
        </w:rPr>
        <w:t>Section 4 – Types of Affordable Housing;</w:t>
      </w:r>
    </w:p>
    <w:p w14:paraId="097A1073" w14:textId="521142B7" w:rsidR="00700148" w:rsidRPr="00251085" w:rsidRDefault="00700148">
      <w:pPr>
        <w:pStyle w:val="11Bodytext"/>
        <w:numPr>
          <w:ilvl w:val="0"/>
          <w:numId w:val="73"/>
        </w:numPr>
        <w:spacing w:before="0" w:after="0" w:line="300" w:lineRule="auto"/>
        <w:ind w:left="714" w:hanging="357"/>
        <w:rPr>
          <w:color w:val="auto"/>
        </w:rPr>
      </w:pPr>
      <w:r w:rsidRPr="00251085">
        <w:rPr>
          <w:color w:val="auto"/>
        </w:rPr>
        <w:t>Section 5 – Housing History and Future Aspirations;</w:t>
      </w:r>
    </w:p>
    <w:p w14:paraId="2AD5D31C" w14:textId="7B394470" w:rsidR="00700148" w:rsidRDefault="00700148">
      <w:pPr>
        <w:pStyle w:val="11Bodytext"/>
        <w:numPr>
          <w:ilvl w:val="0"/>
          <w:numId w:val="73"/>
        </w:numPr>
        <w:spacing w:before="0" w:after="0" w:line="300" w:lineRule="auto"/>
        <w:ind w:left="714" w:hanging="357"/>
        <w:rPr>
          <w:color w:val="auto"/>
        </w:rPr>
      </w:pPr>
      <w:r w:rsidRPr="00251085">
        <w:rPr>
          <w:color w:val="auto"/>
        </w:rPr>
        <w:t>Section 6 – Needs of Particular Groups</w:t>
      </w:r>
      <w:r w:rsidR="00454E5A">
        <w:rPr>
          <w:color w:val="auto"/>
        </w:rPr>
        <w:t>; and</w:t>
      </w:r>
    </w:p>
    <w:p w14:paraId="38540F87" w14:textId="5D0428B8" w:rsidR="00454E5A" w:rsidRPr="00251085" w:rsidRDefault="00454E5A">
      <w:pPr>
        <w:pStyle w:val="11Bodytext"/>
        <w:numPr>
          <w:ilvl w:val="0"/>
          <w:numId w:val="73"/>
        </w:numPr>
        <w:spacing w:before="0" w:after="0" w:line="300" w:lineRule="auto"/>
        <w:ind w:left="714" w:hanging="357"/>
        <w:rPr>
          <w:color w:val="auto"/>
        </w:rPr>
      </w:pPr>
      <w:r>
        <w:rPr>
          <w:color w:val="auto"/>
        </w:rPr>
        <w:t>Section 7 – Stakeholder Inputs.</w:t>
      </w:r>
    </w:p>
    <w:p w14:paraId="6810B003" w14:textId="7EC53779" w:rsidR="00700148" w:rsidRDefault="00700148" w:rsidP="00172F56">
      <w:pPr>
        <w:spacing w:line="300" w:lineRule="auto"/>
        <w:jc w:val="both"/>
        <w:rPr>
          <w:rFonts w:ascii="Arial" w:hAnsi="Arial" w:cs="Arial"/>
          <w:sz w:val="20"/>
          <w:szCs w:val="20"/>
          <w:lang w:eastAsia="ja-JP"/>
        </w:rPr>
      </w:pPr>
    </w:p>
    <w:p w14:paraId="633D50EF" w14:textId="7F9B7A78" w:rsidR="00700148" w:rsidRPr="00700148" w:rsidRDefault="00700148">
      <w:pPr>
        <w:pStyle w:val="11Bodytext"/>
        <w:numPr>
          <w:ilvl w:val="1"/>
          <w:numId w:val="23"/>
        </w:numPr>
        <w:spacing w:before="0" w:after="0" w:line="300" w:lineRule="auto"/>
        <w:ind w:left="720" w:hanging="720"/>
        <w:rPr>
          <w:color w:val="auto"/>
        </w:rPr>
      </w:pPr>
      <w:r w:rsidRPr="00700148">
        <w:t>It should be noted that the numbers included in tables and figures throughout the report may not sum exactly due to rounding.</w:t>
      </w:r>
    </w:p>
    <w:p w14:paraId="5EE5EFB0" w14:textId="43CF0583" w:rsidR="0045675F" w:rsidRDefault="0045675F" w:rsidP="00172F56">
      <w:pPr>
        <w:pStyle w:val="11Bodytext"/>
        <w:numPr>
          <w:ilvl w:val="0"/>
          <w:numId w:val="0"/>
        </w:numPr>
        <w:spacing w:before="0" w:after="0" w:line="300" w:lineRule="auto"/>
        <w:ind w:left="794" w:hanging="794"/>
      </w:pPr>
    </w:p>
    <w:p w14:paraId="781351E5" w14:textId="1D7AFEDD" w:rsidR="00B21374" w:rsidRDefault="00B21374" w:rsidP="00172F56">
      <w:pPr>
        <w:jc w:val="both"/>
        <w:rPr>
          <w:rFonts w:ascii="Arial" w:eastAsia="MS PGothic" w:hAnsi="Arial" w:cs="Arial"/>
          <w:bCs/>
          <w:color w:val="000000"/>
          <w:sz w:val="20"/>
          <w:szCs w:val="20"/>
          <w:lang w:eastAsia="ja-JP"/>
        </w:rPr>
      </w:pPr>
      <w:r>
        <w:br w:type="page"/>
      </w:r>
    </w:p>
    <w:p w14:paraId="574E5E73" w14:textId="73BF3AD3" w:rsidR="00B21374" w:rsidRPr="007236BD" w:rsidRDefault="00B21374" w:rsidP="00172F56">
      <w:pPr>
        <w:pStyle w:val="ReportHeading1"/>
        <w:pageBreakBefore w:val="0"/>
        <w:widowControl w:val="0"/>
        <w:spacing w:before="0" w:after="0"/>
        <w:jc w:val="both"/>
        <w:rPr>
          <w:rFonts w:ascii="Arial Bold" w:hAnsi="Arial Bold" w:cs="Arial"/>
          <w:color w:val="0093D5"/>
          <w:sz w:val="32"/>
          <w:szCs w:val="32"/>
        </w:rPr>
      </w:pPr>
      <w:bookmarkStart w:id="35" w:name="_Toc112937731"/>
      <w:r>
        <w:rPr>
          <w:rFonts w:ascii="Arial Bold" w:hAnsi="Arial Bold" w:cs="Arial"/>
          <w:color w:val="0093D5"/>
          <w:sz w:val="32"/>
          <w:szCs w:val="32"/>
        </w:rPr>
        <w:t>2</w:t>
      </w:r>
      <w:r w:rsidRPr="007236BD">
        <w:rPr>
          <w:rFonts w:ascii="Arial Bold" w:hAnsi="Arial Bold" w:cs="Arial"/>
          <w:color w:val="0093D5"/>
          <w:sz w:val="32"/>
          <w:szCs w:val="32"/>
        </w:rPr>
        <w:t>.</w:t>
      </w:r>
      <w:r w:rsidRPr="007236BD">
        <w:rPr>
          <w:rFonts w:ascii="Arial Bold" w:hAnsi="Arial Bold" w:cs="Arial"/>
          <w:color w:val="0093D5"/>
          <w:sz w:val="32"/>
          <w:szCs w:val="32"/>
        </w:rPr>
        <w:tab/>
        <w:t>In</w:t>
      </w:r>
      <w:r>
        <w:rPr>
          <w:rFonts w:ascii="Arial Bold" w:hAnsi="Arial Bold" w:cs="Arial"/>
          <w:color w:val="0093D5"/>
          <w:sz w:val="32"/>
          <w:szCs w:val="32"/>
        </w:rPr>
        <w:t>comes and Affordability</w:t>
      </w:r>
      <w:bookmarkEnd w:id="35"/>
    </w:p>
    <w:tbl>
      <w:tblPr>
        <w:tblW w:w="9639" w:type="dxa"/>
        <w:jc w:val="center"/>
        <w:tblBorders>
          <w:bottom w:val="single" w:sz="12" w:space="0" w:color="0093D5"/>
        </w:tblBorders>
        <w:tblLook w:val="01E0" w:firstRow="1" w:lastRow="1" w:firstColumn="1" w:lastColumn="1" w:noHBand="0" w:noVBand="0"/>
      </w:tblPr>
      <w:tblGrid>
        <w:gridCol w:w="9639"/>
      </w:tblGrid>
      <w:tr w:rsidR="00B21374" w:rsidRPr="007236BD" w14:paraId="782636A9" w14:textId="77777777" w:rsidTr="008469E3">
        <w:trPr>
          <w:jc w:val="center"/>
        </w:trPr>
        <w:tc>
          <w:tcPr>
            <w:tcW w:w="9639" w:type="dxa"/>
            <w:shd w:val="clear" w:color="auto" w:fill="auto"/>
            <w:vAlign w:val="center"/>
          </w:tcPr>
          <w:p w14:paraId="748A492D" w14:textId="77777777" w:rsidR="00B21374" w:rsidRPr="007236BD" w:rsidRDefault="00B21374" w:rsidP="00172F56">
            <w:pPr>
              <w:keepNext/>
              <w:keepLines/>
              <w:jc w:val="both"/>
              <w:rPr>
                <w:rFonts w:ascii="Arial" w:hAnsi="Arial"/>
                <w:sz w:val="2"/>
                <w:szCs w:val="2"/>
              </w:rPr>
            </w:pPr>
          </w:p>
        </w:tc>
      </w:tr>
    </w:tbl>
    <w:p w14:paraId="6D0BE036" w14:textId="77777777" w:rsidR="00B21374" w:rsidRPr="007236BD" w:rsidRDefault="00B21374" w:rsidP="00172F56">
      <w:pPr>
        <w:widowControl w:val="0"/>
        <w:spacing w:line="300" w:lineRule="auto"/>
        <w:jc w:val="both"/>
        <w:rPr>
          <w:rFonts w:ascii="Arial" w:hAnsi="Arial" w:cs="Arial"/>
          <w:sz w:val="20"/>
          <w:szCs w:val="20"/>
        </w:rPr>
      </w:pPr>
    </w:p>
    <w:p w14:paraId="7BA56A54" w14:textId="77777777" w:rsidR="00B21374" w:rsidRPr="007236BD" w:rsidRDefault="00B21374" w:rsidP="00172F56">
      <w:pPr>
        <w:spacing w:line="300" w:lineRule="auto"/>
        <w:jc w:val="both"/>
        <w:rPr>
          <w:rFonts w:ascii="Arial" w:hAnsi="Arial" w:cs="Arial"/>
          <w:b/>
          <w:lang w:eastAsia="ja-JP"/>
        </w:rPr>
      </w:pPr>
      <w:r w:rsidRPr="007236BD">
        <w:rPr>
          <w:rFonts w:ascii="Arial" w:hAnsi="Arial" w:cs="Arial"/>
          <w:b/>
          <w:lang w:eastAsia="ja-JP"/>
        </w:rPr>
        <w:t>Introduction</w:t>
      </w:r>
    </w:p>
    <w:p w14:paraId="13ED1C51" w14:textId="77777777" w:rsidR="00B21374" w:rsidRPr="002143DA" w:rsidRDefault="00B21374" w:rsidP="00172F56">
      <w:pPr>
        <w:spacing w:line="300" w:lineRule="auto"/>
        <w:jc w:val="both"/>
        <w:rPr>
          <w:rFonts w:ascii="Arial" w:hAnsi="Arial" w:cs="Arial"/>
          <w:sz w:val="20"/>
          <w:szCs w:val="20"/>
          <w:lang w:eastAsia="ja-JP"/>
        </w:rPr>
      </w:pPr>
    </w:p>
    <w:p w14:paraId="4D5A5E89" w14:textId="5BA48AF5" w:rsidR="00B21374" w:rsidRPr="00B21374" w:rsidRDefault="00B21374">
      <w:pPr>
        <w:pStyle w:val="11Bodytext"/>
        <w:numPr>
          <w:ilvl w:val="1"/>
          <w:numId w:val="32"/>
        </w:numPr>
        <w:spacing w:before="0" w:after="0" w:line="300" w:lineRule="auto"/>
        <w:ind w:left="720" w:hanging="720"/>
        <w:rPr>
          <w:color w:val="auto"/>
        </w:rPr>
      </w:pPr>
      <w:bookmarkStart w:id="36" w:name="_Toc196298482"/>
      <w:r w:rsidRPr="00B21374">
        <w:t>Assessing the affordability of market housing in an area is crucial to understanding the sustainability of the housing market. Poor affordability can result in the loss of employees from an area, an increase in poverty and a high number of households requiring assistance with their housing either via a social rented property or through Housing Benefit (Local Housing Allowance). This can also result in a loss of mix and balance in the population within the area.</w:t>
      </w:r>
    </w:p>
    <w:p w14:paraId="5273B5FD" w14:textId="77777777" w:rsidR="00B21374" w:rsidRPr="00B21374" w:rsidRDefault="00B21374" w:rsidP="00172F56">
      <w:pPr>
        <w:pStyle w:val="11Bodytext"/>
        <w:numPr>
          <w:ilvl w:val="0"/>
          <w:numId w:val="0"/>
        </w:numPr>
        <w:spacing w:before="0" w:after="0" w:line="300" w:lineRule="auto"/>
        <w:rPr>
          <w:color w:val="auto"/>
        </w:rPr>
      </w:pPr>
    </w:p>
    <w:p w14:paraId="7DE4F5C8" w14:textId="4CD99904" w:rsidR="00B21374" w:rsidRPr="00B21374" w:rsidRDefault="00B21374">
      <w:pPr>
        <w:pStyle w:val="11Bodytext"/>
        <w:numPr>
          <w:ilvl w:val="1"/>
          <w:numId w:val="32"/>
        </w:numPr>
        <w:spacing w:before="0" w:after="0" w:line="300" w:lineRule="auto"/>
        <w:ind w:left="720" w:hanging="720"/>
        <w:rPr>
          <w:color w:val="auto"/>
        </w:rPr>
      </w:pPr>
      <w:r w:rsidRPr="00B21374">
        <w:t xml:space="preserve">This section provides a detailed analysis of survey data relating to a range of financial information (including income, savings and equity) which is used to provide a local level estimate of affordability based on the prices and rents </w:t>
      </w:r>
      <w:r w:rsidR="00725E60">
        <w:t>considered</w:t>
      </w:r>
      <w:r w:rsidRPr="00B21374">
        <w:t xml:space="preserve"> below.</w:t>
      </w:r>
    </w:p>
    <w:p w14:paraId="15BA672E" w14:textId="77777777" w:rsidR="00B21374" w:rsidRPr="00B21374" w:rsidRDefault="00B21374" w:rsidP="00172F56">
      <w:pPr>
        <w:pStyle w:val="11Bodytext"/>
        <w:numPr>
          <w:ilvl w:val="0"/>
          <w:numId w:val="0"/>
        </w:numPr>
        <w:spacing w:before="0" w:after="0" w:line="300" w:lineRule="auto"/>
        <w:rPr>
          <w:color w:val="auto"/>
        </w:rPr>
      </w:pPr>
    </w:p>
    <w:p w14:paraId="01FBE661" w14:textId="029019EC" w:rsidR="00B21374" w:rsidRPr="007236BD" w:rsidRDefault="00B21374" w:rsidP="00172F56">
      <w:pPr>
        <w:spacing w:line="300" w:lineRule="auto"/>
        <w:jc w:val="both"/>
        <w:rPr>
          <w:rFonts w:ascii="Arial" w:hAnsi="Arial" w:cs="Arial"/>
          <w:b/>
          <w:lang w:eastAsia="ja-JP"/>
        </w:rPr>
      </w:pPr>
      <w:r>
        <w:rPr>
          <w:rFonts w:ascii="Arial" w:hAnsi="Arial" w:cs="Arial"/>
          <w:b/>
          <w:lang w:eastAsia="ja-JP"/>
        </w:rPr>
        <w:t>Local Prices and Rents</w:t>
      </w:r>
    </w:p>
    <w:p w14:paraId="37C1D774" w14:textId="77777777" w:rsidR="00B21374" w:rsidRPr="002143DA" w:rsidRDefault="00B21374" w:rsidP="00172F56">
      <w:pPr>
        <w:spacing w:line="300" w:lineRule="auto"/>
        <w:jc w:val="both"/>
        <w:rPr>
          <w:rFonts w:ascii="Arial" w:hAnsi="Arial" w:cs="Arial"/>
          <w:sz w:val="20"/>
          <w:szCs w:val="20"/>
          <w:lang w:eastAsia="ja-JP"/>
        </w:rPr>
      </w:pPr>
    </w:p>
    <w:p w14:paraId="4FADAB1C" w14:textId="52D012B5" w:rsidR="00B21374" w:rsidRPr="00B21374" w:rsidRDefault="00B21374">
      <w:pPr>
        <w:pStyle w:val="11Bodytext"/>
        <w:numPr>
          <w:ilvl w:val="1"/>
          <w:numId w:val="32"/>
        </w:numPr>
        <w:spacing w:before="0" w:after="0" w:line="300" w:lineRule="auto"/>
        <w:ind w:left="720" w:hanging="720"/>
        <w:rPr>
          <w:color w:val="auto"/>
        </w:rPr>
      </w:pPr>
      <w:r w:rsidRPr="00B21374">
        <w:t xml:space="preserve">An important part of the affordable needs model is to establish the entry-level costs of housing to buy and rent. The affordable housing needs assessment compares prices and rents with the incomes of households to establish what proportion of households can meet their needs in the market, and what proportion require support and are thus defined as </w:t>
      </w:r>
      <w:r w:rsidR="00670733">
        <w:t>being in</w:t>
      </w:r>
      <w:r w:rsidRPr="00B21374">
        <w:t xml:space="preserve"> ‘affordable housing need’. For the purposes of establishing affordable housing need, the analysis focuses on overall housing costs (for all dwelling types and sizes).</w:t>
      </w:r>
    </w:p>
    <w:p w14:paraId="63A523A0" w14:textId="77777777" w:rsidR="00B21374" w:rsidRPr="00B21374" w:rsidRDefault="00B21374" w:rsidP="00172F56">
      <w:pPr>
        <w:pStyle w:val="11Bodytext"/>
        <w:numPr>
          <w:ilvl w:val="0"/>
          <w:numId w:val="0"/>
        </w:numPr>
        <w:spacing w:before="0" w:after="0" w:line="300" w:lineRule="auto"/>
        <w:rPr>
          <w:color w:val="auto"/>
        </w:rPr>
      </w:pPr>
    </w:p>
    <w:p w14:paraId="535EC6BC" w14:textId="136A84F2" w:rsidR="00B21374" w:rsidRPr="00B21374" w:rsidRDefault="00B21374">
      <w:pPr>
        <w:pStyle w:val="11Bodytext"/>
        <w:numPr>
          <w:ilvl w:val="1"/>
          <w:numId w:val="32"/>
        </w:numPr>
        <w:spacing w:before="0" w:after="0" w:line="300" w:lineRule="auto"/>
        <w:ind w:left="720" w:hanging="720"/>
        <w:rPr>
          <w:color w:val="auto"/>
        </w:rPr>
      </w:pPr>
      <w:r w:rsidRPr="00B21374">
        <w:t>The analysis below considers the entry-level costs of housing to both buy and rent across the Borough. The approach has been to analyse Land Registry and ONS data to establish lower quartile</w:t>
      </w:r>
      <w:r w:rsidR="0029674B">
        <w:rPr>
          <w:rStyle w:val="FootnoteReference"/>
        </w:rPr>
        <w:footnoteReference w:id="5"/>
      </w:r>
      <w:r w:rsidRPr="00B21374">
        <w:t xml:space="preserve"> prices and rents. Using a lower quartile figure is consistent with the PPG and reflects the entry-level point into the market recognising that the very cheapest </w:t>
      </w:r>
      <w:r w:rsidR="00670733">
        <w:t>housing</w:t>
      </w:r>
      <w:r w:rsidRPr="00B21374">
        <w:t xml:space="preserve"> may be of sub-standard quality</w:t>
      </w:r>
      <w:r w:rsidR="00670733">
        <w:t xml:space="preserve"> and in low supply</w:t>
      </w:r>
      <w:r w:rsidRPr="00B21374">
        <w:t>.</w:t>
      </w:r>
    </w:p>
    <w:p w14:paraId="57A6DC4D" w14:textId="77777777" w:rsidR="00B21374" w:rsidRPr="00B21374" w:rsidRDefault="00B21374" w:rsidP="00172F56">
      <w:pPr>
        <w:pStyle w:val="11Bodytext"/>
        <w:numPr>
          <w:ilvl w:val="0"/>
          <w:numId w:val="0"/>
        </w:numPr>
        <w:spacing w:before="0" w:after="0" w:line="300" w:lineRule="auto"/>
        <w:rPr>
          <w:color w:val="auto"/>
        </w:rPr>
      </w:pPr>
    </w:p>
    <w:p w14:paraId="3A1835FF" w14:textId="3FB6314B" w:rsidR="00B21374" w:rsidRPr="00B21374" w:rsidRDefault="00B21374">
      <w:pPr>
        <w:pStyle w:val="11Bodytext"/>
        <w:numPr>
          <w:ilvl w:val="1"/>
          <w:numId w:val="32"/>
        </w:numPr>
        <w:spacing w:before="0" w:after="0" w:line="300" w:lineRule="auto"/>
        <w:ind w:left="720" w:hanging="720"/>
        <w:rPr>
          <w:color w:val="auto"/>
        </w:rPr>
      </w:pPr>
      <w:r w:rsidRPr="00B21374">
        <w:t xml:space="preserve">Data from the Land Registry for the year to September 2021 shows estimated lower quartile </w:t>
      </w:r>
      <w:r w:rsidR="00670733">
        <w:t xml:space="preserve">house </w:t>
      </w:r>
      <w:r w:rsidRPr="00B21374">
        <w:t xml:space="preserve">prices by dwelling type. The data shows that entry-level costs to buy are estimated to start from about £83,000 for a second-hand flat and rising to £248,000 for a detached home. Looking at the lower quartile price across all dwelling types, the analysis shows a lower quartile price of £155,000. The figures are all based on cost of existing homes in the market although newbuild prices are considered later in this section when looking at potential costs of affordable home ownership </w:t>
      </w:r>
      <w:r w:rsidR="00670733">
        <w:t>dwellings</w:t>
      </w:r>
      <w:r w:rsidRPr="00B21374">
        <w:t>.</w:t>
      </w:r>
    </w:p>
    <w:p w14:paraId="4DDC47BC" w14:textId="77777777" w:rsidR="00B21374" w:rsidRPr="00BD63F3" w:rsidRDefault="00B21374" w:rsidP="00172F56">
      <w:pPr>
        <w:pStyle w:val="BodyText"/>
        <w:widowControl w:val="0"/>
        <w:spacing w:after="0" w:line="300" w:lineRule="auto"/>
        <w:jc w:val="both"/>
        <w:rPr>
          <w:rFonts w:eastAsiaTheme="majorEastAsia" w:cs="Arial"/>
        </w:rPr>
      </w:pPr>
    </w:p>
    <w:tbl>
      <w:tblPr>
        <w:tblStyle w:val="TableTheme"/>
        <w:tblW w:w="8199" w:type="dxa"/>
        <w:jc w:val="center"/>
        <w:tblLook w:val="04A0" w:firstRow="1" w:lastRow="0" w:firstColumn="1" w:lastColumn="0" w:noHBand="0" w:noVBand="1"/>
      </w:tblPr>
      <w:tblGrid>
        <w:gridCol w:w="4124"/>
        <w:gridCol w:w="4075"/>
      </w:tblGrid>
      <w:tr w:rsidR="00B21374" w:rsidRPr="00BD63F3" w14:paraId="4C3BD1E0" w14:textId="77777777" w:rsidTr="008469E3">
        <w:trPr>
          <w:jc w:val="center"/>
        </w:trPr>
        <w:tc>
          <w:tcPr>
            <w:tcW w:w="8199" w:type="dxa"/>
            <w:gridSpan w:val="2"/>
          </w:tcPr>
          <w:p w14:paraId="16B8D7CF" w14:textId="44506C9B" w:rsidR="00B21374" w:rsidRPr="00BD63F3" w:rsidRDefault="00B21374" w:rsidP="00454E5A">
            <w:pPr>
              <w:keepNext/>
              <w:spacing w:line="300" w:lineRule="auto"/>
              <w:jc w:val="center"/>
              <w:rPr>
                <w:rFonts w:ascii="Arial" w:hAnsi="Arial" w:cs="Arial"/>
                <w:b/>
                <w:bCs/>
                <w:sz w:val="20"/>
                <w:szCs w:val="20"/>
              </w:rPr>
            </w:pPr>
            <w:r w:rsidRPr="00BD63F3">
              <w:rPr>
                <w:rFonts w:ascii="Arial" w:hAnsi="Arial" w:cs="Arial"/>
                <w:b/>
                <w:bCs/>
                <w:sz w:val="20"/>
                <w:szCs w:val="20"/>
              </w:rPr>
              <w:t xml:space="preserve">Figure </w:t>
            </w:r>
            <w:r w:rsidR="00AD29A6">
              <w:rPr>
                <w:rFonts w:ascii="Arial" w:hAnsi="Arial" w:cs="Arial"/>
                <w:b/>
                <w:bCs/>
                <w:sz w:val="20"/>
                <w:szCs w:val="20"/>
              </w:rPr>
              <w:t>2</w:t>
            </w:r>
            <w:r w:rsidRPr="00BD63F3">
              <w:rPr>
                <w:rFonts w:ascii="Arial" w:hAnsi="Arial" w:cs="Arial"/>
                <w:b/>
                <w:bCs/>
                <w:sz w:val="20"/>
                <w:szCs w:val="20"/>
              </w:rPr>
              <w:t>.1: Estimated lower quartile cost of housing to buy by type (existing dwellings) – year to September 2021 – Fylde</w:t>
            </w:r>
          </w:p>
        </w:tc>
      </w:tr>
      <w:tr w:rsidR="00B21374" w:rsidRPr="002C00F0" w14:paraId="5527011D" w14:textId="77777777" w:rsidTr="008469E3">
        <w:trPr>
          <w:jc w:val="center"/>
        </w:trPr>
        <w:tc>
          <w:tcPr>
            <w:tcW w:w="4124" w:type="dxa"/>
          </w:tcPr>
          <w:p w14:paraId="2DEF68A0" w14:textId="77777777" w:rsidR="00B21374" w:rsidRPr="00BD63F3" w:rsidRDefault="00B21374" w:rsidP="00454E5A">
            <w:pPr>
              <w:keepNext/>
              <w:spacing w:before="60" w:after="60" w:line="300" w:lineRule="auto"/>
              <w:rPr>
                <w:rFonts w:ascii="Arial" w:hAnsi="Arial" w:cs="Arial"/>
                <w:sz w:val="20"/>
                <w:szCs w:val="20"/>
              </w:rPr>
            </w:pPr>
          </w:p>
        </w:tc>
        <w:tc>
          <w:tcPr>
            <w:tcW w:w="4075" w:type="dxa"/>
          </w:tcPr>
          <w:p w14:paraId="548D8B54" w14:textId="77777777" w:rsidR="00B21374" w:rsidRPr="00BD63F3" w:rsidRDefault="00B21374" w:rsidP="00454E5A">
            <w:pPr>
              <w:keepNext/>
              <w:spacing w:before="60" w:after="60" w:line="300" w:lineRule="auto"/>
              <w:jc w:val="center"/>
              <w:rPr>
                <w:rFonts w:ascii="Arial" w:hAnsi="Arial" w:cs="Arial"/>
                <w:sz w:val="20"/>
                <w:szCs w:val="20"/>
              </w:rPr>
            </w:pPr>
            <w:r w:rsidRPr="00BD63F3">
              <w:rPr>
                <w:rFonts w:ascii="Arial" w:hAnsi="Arial" w:cs="Arial"/>
                <w:sz w:val="20"/>
                <w:szCs w:val="20"/>
              </w:rPr>
              <w:t>Lower quartile price</w:t>
            </w:r>
          </w:p>
        </w:tc>
      </w:tr>
      <w:tr w:rsidR="00B21374" w:rsidRPr="00D91795" w14:paraId="04964070" w14:textId="77777777" w:rsidTr="008469E3">
        <w:trPr>
          <w:jc w:val="center"/>
        </w:trPr>
        <w:tc>
          <w:tcPr>
            <w:tcW w:w="4124" w:type="dxa"/>
          </w:tcPr>
          <w:p w14:paraId="54628914"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Flat/maisonette</w:t>
            </w:r>
          </w:p>
        </w:tc>
        <w:tc>
          <w:tcPr>
            <w:tcW w:w="4075" w:type="dxa"/>
          </w:tcPr>
          <w:p w14:paraId="6331B269"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£83,250</w:t>
            </w:r>
          </w:p>
        </w:tc>
      </w:tr>
      <w:tr w:rsidR="00B21374" w:rsidRPr="00D91795" w14:paraId="6F973CBC" w14:textId="77777777" w:rsidTr="008469E3">
        <w:trPr>
          <w:jc w:val="center"/>
        </w:trPr>
        <w:tc>
          <w:tcPr>
            <w:tcW w:w="4124" w:type="dxa"/>
          </w:tcPr>
          <w:p w14:paraId="1332B772"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Terraced</w:t>
            </w:r>
          </w:p>
        </w:tc>
        <w:tc>
          <w:tcPr>
            <w:tcW w:w="4075" w:type="dxa"/>
          </w:tcPr>
          <w:p w14:paraId="1BB45114"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£137,000</w:t>
            </w:r>
          </w:p>
        </w:tc>
      </w:tr>
      <w:tr w:rsidR="00B21374" w:rsidRPr="00D91795" w14:paraId="22E768A8" w14:textId="77777777" w:rsidTr="008469E3">
        <w:trPr>
          <w:jc w:val="center"/>
        </w:trPr>
        <w:tc>
          <w:tcPr>
            <w:tcW w:w="4124" w:type="dxa"/>
          </w:tcPr>
          <w:p w14:paraId="1801FBA6"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Semi-detached</w:t>
            </w:r>
          </w:p>
        </w:tc>
        <w:tc>
          <w:tcPr>
            <w:tcW w:w="4075" w:type="dxa"/>
          </w:tcPr>
          <w:p w14:paraId="1F1FD2D1"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£159,000</w:t>
            </w:r>
          </w:p>
        </w:tc>
      </w:tr>
      <w:tr w:rsidR="00B21374" w:rsidRPr="00D91795" w14:paraId="5814D4F1" w14:textId="77777777" w:rsidTr="008469E3">
        <w:trPr>
          <w:jc w:val="center"/>
        </w:trPr>
        <w:tc>
          <w:tcPr>
            <w:tcW w:w="4124" w:type="dxa"/>
          </w:tcPr>
          <w:p w14:paraId="22A6A882"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Detached</w:t>
            </w:r>
          </w:p>
        </w:tc>
        <w:tc>
          <w:tcPr>
            <w:tcW w:w="4075" w:type="dxa"/>
          </w:tcPr>
          <w:p w14:paraId="6E9B54E5"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£248,000</w:t>
            </w:r>
          </w:p>
        </w:tc>
      </w:tr>
      <w:tr w:rsidR="00B21374" w:rsidRPr="00D91795" w14:paraId="4E07D73F" w14:textId="77777777" w:rsidTr="008469E3">
        <w:trPr>
          <w:jc w:val="center"/>
        </w:trPr>
        <w:tc>
          <w:tcPr>
            <w:tcW w:w="4124" w:type="dxa"/>
          </w:tcPr>
          <w:p w14:paraId="323A1637"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All dwellings</w:t>
            </w:r>
          </w:p>
        </w:tc>
        <w:tc>
          <w:tcPr>
            <w:tcW w:w="4075" w:type="dxa"/>
          </w:tcPr>
          <w:p w14:paraId="79730EB3" w14:textId="77777777" w:rsidR="00B21374" w:rsidRPr="00BD63F3" w:rsidRDefault="00B21374" w:rsidP="00454E5A">
            <w:pPr>
              <w:keepNext/>
              <w:spacing w:line="300" w:lineRule="auto"/>
              <w:jc w:val="center"/>
              <w:rPr>
                <w:rFonts w:ascii="Arial" w:hAnsi="Arial" w:cs="Arial"/>
                <w:sz w:val="20"/>
                <w:szCs w:val="20"/>
              </w:rPr>
            </w:pPr>
            <w:r w:rsidRPr="00BD63F3">
              <w:rPr>
                <w:rFonts w:ascii="Arial" w:hAnsi="Arial" w:cs="Arial"/>
                <w:sz w:val="20"/>
                <w:szCs w:val="20"/>
              </w:rPr>
              <w:t>£155,000</w:t>
            </w:r>
          </w:p>
        </w:tc>
      </w:tr>
    </w:tbl>
    <w:p w14:paraId="1DD96D39" w14:textId="77777777" w:rsidR="00B21374" w:rsidRPr="00BD63F3" w:rsidRDefault="00B21374" w:rsidP="00454E5A">
      <w:pPr>
        <w:pStyle w:val="BodyText"/>
        <w:spacing w:after="0" w:line="300" w:lineRule="auto"/>
        <w:ind w:left="720" w:hanging="720"/>
        <w:jc w:val="center"/>
        <w:rPr>
          <w:rFonts w:cs="Arial"/>
        </w:rPr>
      </w:pPr>
      <w:r w:rsidRPr="00BD63F3">
        <w:rPr>
          <w:rFonts w:cs="Arial"/>
        </w:rPr>
        <w:t>Source: Land Registry</w:t>
      </w:r>
    </w:p>
    <w:p w14:paraId="0DFCB41D" w14:textId="77777777" w:rsidR="00B21374" w:rsidRPr="00B21374" w:rsidRDefault="00B21374" w:rsidP="00172F56">
      <w:pPr>
        <w:pStyle w:val="11Bodytext"/>
        <w:numPr>
          <w:ilvl w:val="0"/>
          <w:numId w:val="0"/>
        </w:numPr>
        <w:spacing w:before="0" w:after="0" w:line="300" w:lineRule="auto"/>
        <w:rPr>
          <w:color w:val="auto"/>
        </w:rPr>
      </w:pPr>
    </w:p>
    <w:p w14:paraId="60E71AFA" w14:textId="51E6446E" w:rsidR="00B21374" w:rsidRPr="007C03F7" w:rsidRDefault="00B21374">
      <w:pPr>
        <w:pStyle w:val="11Bodytext"/>
        <w:numPr>
          <w:ilvl w:val="1"/>
          <w:numId w:val="32"/>
        </w:numPr>
        <w:spacing w:before="0" w:after="0" w:line="300" w:lineRule="auto"/>
        <w:ind w:left="720" w:hanging="720"/>
        <w:rPr>
          <w:color w:val="auto"/>
        </w:rPr>
      </w:pPr>
      <w:r w:rsidRPr="00B21374">
        <w:t>It is also useful to provide estimates of property prices by the number of bedrooms in a home. Analysis for this draws together Land Registry data with an internet search of prices of homes for sale (using sites such as Rightmove). The analysis suggests a lower quartile price of about £90,000 for a 1-bedroom home, rising to £250,000 for homes with 4-bedrooms.</w:t>
      </w:r>
    </w:p>
    <w:p w14:paraId="09DC186A" w14:textId="05C459EA" w:rsidR="007C03F7" w:rsidRDefault="007C03F7" w:rsidP="00172F56">
      <w:pPr>
        <w:pStyle w:val="11Bodytext"/>
        <w:numPr>
          <w:ilvl w:val="0"/>
          <w:numId w:val="0"/>
        </w:numPr>
        <w:spacing w:before="0" w:after="0" w:line="300" w:lineRule="auto"/>
      </w:pPr>
    </w:p>
    <w:tbl>
      <w:tblPr>
        <w:tblStyle w:val="TableGrid10"/>
        <w:tblW w:w="8199" w:type="dxa"/>
        <w:jc w:val="center"/>
        <w:tblLook w:val="04A0" w:firstRow="1" w:lastRow="0" w:firstColumn="1" w:lastColumn="0" w:noHBand="0" w:noVBand="1"/>
      </w:tblPr>
      <w:tblGrid>
        <w:gridCol w:w="4100"/>
        <w:gridCol w:w="4099"/>
      </w:tblGrid>
      <w:tr w:rsidR="007C03F7" w14:paraId="7D66E8D3" w14:textId="77777777" w:rsidTr="007C03F7">
        <w:trPr>
          <w:jc w:val="center"/>
        </w:trPr>
        <w:tc>
          <w:tcPr>
            <w:tcW w:w="8199" w:type="dxa"/>
            <w:gridSpan w:val="2"/>
            <w:vAlign w:val="center"/>
          </w:tcPr>
          <w:p w14:paraId="3C9D6636" w14:textId="3E4F6B0E" w:rsidR="007C03F7" w:rsidRDefault="007C03F7" w:rsidP="00454E5A">
            <w:pPr>
              <w:pStyle w:val="11Bodytext"/>
              <w:numPr>
                <w:ilvl w:val="0"/>
                <w:numId w:val="0"/>
              </w:numPr>
              <w:spacing w:before="0" w:after="0" w:line="300" w:lineRule="auto"/>
              <w:jc w:val="center"/>
            </w:pPr>
            <w:r w:rsidRPr="00BD63F3">
              <w:rPr>
                <w:b/>
              </w:rPr>
              <w:t xml:space="preserve">Figure </w:t>
            </w:r>
            <w:r>
              <w:rPr>
                <w:b/>
                <w:bCs w:val="0"/>
              </w:rPr>
              <w:t>2</w:t>
            </w:r>
            <w:r w:rsidRPr="00BD63F3">
              <w:rPr>
                <w:b/>
              </w:rPr>
              <w:t>.2: Estimated lower quartile cost of housing to buy by size (existing dwellings) – year to September 2021 – Fylde</w:t>
            </w:r>
          </w:p>
        </w:tc>
      </w:tr>
      <w:tr w:rsidR="007C03F7" w14:paraId="1FDEDBF6" w14:textId="77777777" w:rsidTr="007C03F7">
        <w:trPr>
          <w:jc w:val="center"/>
        </w:trPr>
        <w:tc>
          <w:tcPr>
            <w:tcW w:w="4100" w:type="dxa"/>
          </w:tcPr>
          <w:p w14:paraId="582E9637" w14:textId="77777777" w:rsidR="007C03F7" w:rsidRDefault="007C03F7" w:rsidP="00454E5A">
            <w:pPr>
              <w:pStyle w:val="11Bodytext"/>
              <w:numPr>
                <w:ilvl w:val="0"/>
                <w:numId w:val="0"/>
              </w:numPr>
              <w:spacing w:before="60" w:after="60" w:line="300" w:lineRule="auto"/>
              <w:jc w:val="left"/>
            </w:pPr>
          </w:p>
        </w:tc>
        <w:tc>
          <w:tcPr>
            <w:tcW w:w="4099" w:type="dxa"/>
            <w:vAlign w:val="center"/>
          </w:tcPr>
          <w:p w14:paraId="0E459E84" w14:textId="2F97E083" w:rsidR="007C03F7" w:rsidRDefault="007C03F7" w:rsidP="00454E5A">
            <w:pPr>
              <w:pStyle w:val="11Bodytext"/>
              <w:numPr>
                <w:ilvl w:val="0"/>
                <w:numId w:val="0"/>
              </w:numPr>
              <w:spacing w:before="60" w:after="60" w:line="300" w:lineRule="auto"/>
              <w:jc w:val="center"/>
            </w:pPr>
            <w:r w:rsidRPr="00BD63F3">
              <w:t>Lower quartile price</w:t>
            </w:r>
          </w:p>
        </w:tc>
      </w:tr>
      <w:tr w:rsidR="007C03F7" w14:paraId="1A8CB3F3" w14:textId="77777777" w:rsidTr="007C03F7">
        <w:trPr>
          <w:jc w:val="center"/>
        </w:trPr>
        <w:tc>
          <w:tcPr>
            <w:tcW w:w="4100" w:type="dxa"/>
          </w:tcPr>
          <w:p w14:paraId="43A93413" w14:textId="708CC5EC" w:rsidR="007C03F7" w:rsidRDefault="007C03F7" w:rsidP="00454E5A">
            <w:pPr>
              <w:pStyle w:val="11Bodytext"/>
              <w:numPr>
                <w:ilvl w:val="0"/>
                <w:numId w:val="0"/>
              </w:numPr>
              <w:spacing w:before="0" w:after="0" w:line="300" w:lineRule="auto"/>
              <w:jc w:val="left"/>
            </w:pPr>
            <w:r w:rsidRPr="00BD63F3">
              <w:t>1-bedroom</w:t>
            </w:r>
          </w:p>
        </w:tc>
        <w:tc>
          <w:tcPr>
            <w:tcW w:w="4099" w:type="dxa"/>
            <w:vAlign w:val="center"/>
          </w:tcPr>
          <w:p w14:paraId="4D3F9039" w14:textId="6391E1BF" w:rsidR="007C03F7" w:rsidRDefault="007C03F7" w:rsidP="00454E5A">
            <w:pPr>
              <w:pStyle w:val="11Bodytext"/>
              <w:numPr>
                <w:ilvl w:val="0"/>
                <w:numId w:val="0"/>
              </w:numPr>
              <w:spacing w:before="0" w:after="0" w:line="300" w:lineRule="auto"/>
              <w:jc w:val="center"/>
            </w:pPr>
            <w:r w:rsidRPr="00BD63F3">
              <w:t>£70,000</w:t>
            </w:r>
          </w:p>
        </w:tc>
      </w:tr>
      <w:tr w:rsidR="007C03F7" w14:paraId="0CFBA0B7" w14:textId="77777777" w:rsidTr="007C03F7">
        <w:trPr>
          <w:jc w:val="center"/>
        </w:trPr>
        <w:tc>
          <w:tcPr>
            <w:tcW w:w="4100" w:type="dxa"/>
          </w:tcPr>
          <w:p w14:paraId="22E03191" w14:textId="6E8E55B1" w:rsidR="007C03F7" w:rsidRDefault="007C03F7" w:rsidP="00454E5A">
            <w:pPr>
              <w:pStyle w:val="11Bodytext"/>
              <w:numPr>
                <w:ilvl w:val="0"/>
                <w:numId w:val="0"/>
              </w:numPr>
              <w:spacing w:before="0" w:after="0" w:line="300" w:lineRule="auto"/>
              <w:jc w:val="left"/>
            </w:pPr>
            <w:r w:rsidRPr="00BD63F3">
              <w:t>2-bedrooms</w:t>
            </w:r>
          </w:p>
        </w:tc>
        <w:tc>
          <w:tcPr>
            <w:tcW w:w="4099" w:type="dxa"/>
            <w:vAlign w:val="center"/>
          </w:tcPr>
          <w:p w14:paraId="0DDA5BAC" w14:textId="657A6A6C" w:rsidR="007C03F7" w:rsidRDefault="007C03F7" w:rsidP="00454E5A">
            <w:pPr>
              <w:pStyle w:val="11Bodytext"/>
              <w:numPr>
                <w:ilvl w:val="0"/>
                <w:numId w:val="0"/>
              </w:numPr>
              <w:spacing w:before="0" w:after="0" w:line="300" w:lineRule="auto"/>
              <w:jc w:val="center"/>
            </w:pPr>
            <w:r w:rsidRPr="00BD63F3">
              <w:t>£115,000</w:t>
            </w:r>
          </w:p>
        </w:tc>
      </w:tr>
      <w:tr w:rsidR="007C03F7" w14:paraId="1A5868AF" w14:textId="77777777" w:rsidTr="007C03F7">
        <w:trPr>
          <w:jc w:val="center"/>
        </w:trPr>
        <w:tc>
          <w:tcPr>
            <w:tcW w:w="4100" w:type="dxa"/>
          </w:tcPr>
          <w:p w14:paraId="2C514E0B" w14:textId="2451ACA5" w:rsidR="007C03F7" w:rsidRDefault="007C03F7" w:rsidP="00454E5A">
            <w:pPr>
              <w:pStyle w:val="11Bodytext"/>
              <w:numPr>
                <w:ilvl w:val="0"/>
                <w:numId w:val="0"/>
              </w:numPr>
              <w:spacing w:before="0" w:after="0" w:line="300" w:lineRule="auto"/>
              <w:jc w:val="left"/>
            </w:pPr>
            <w:r w:rsidRPr="00BD63F3">
              <w:t>3-bedrooms</w:t>
            </w:r>
          </w:p>
        </w:tc>
        <w:tc>
          <w:tcPr>
            <w:tcW w:w="4099" w:type="dxa"/>
            <w:vAlign w:val="center"/>
          </w:tcPr>
          <w:p w14:paraId="462BD35D" w14:textId="6C58EFA2" w:rsidR="007C03F7" w:rsidRDefault="007C03F7" w:rsidP="00454E5A">
            <w:pPr>
              <w:pStyle w:val="11Bodytext"/>
              <w:numPr>
                <w:ilvl w:val="0"/>
                <w:numId w:val="0"/>
              </w:numPr>
              <w:spacing w:before="0" w:after="0" w:line="300" w:lineRule="auto"/>
              <w:jc w:val="center"/>
            </w:pPr>
            <w:r w:rsidRPr="00BD63F3">
              <w:t>£170,000</w:t>
            </w:r>
          </w:p>
        </w:tc>
      </w:tr>
      <w:tr w:rsidR="007C03F7" w14:paraId="682B393B" w14:textId="77777777" w:rsidTr="007C03F7">
        <w:trPr>
          <w:jc w:val="center"/>
        </w:trPr>
        <w:tc>
          <w:tcPr>
            <w:tcW w:w="4100" w:type="dxa"/>
          </w:tcPr>
          <w:p w14:paraId="4CB4C981" w14:textId="2AEE14CF" w:rsidR="007C03F7" w:rsidRDefault="007C03F7" w:rsidP="00454E5A">
            <w:pPr>
              <w:pStyle w:val="11Bodytext"/>
              <w:numPr>
                <w:ilvl w:val="0"/>
                <w:numId w:val="0"/>
              </w:numPr>
              <w:spacing w:before="0" w:after="0" w:line="300" w:lineRule="auto"/>
              <w:jc w:val="left"/>
            </w:pPr>
            <w:r w:rsidRPr="00BD63F3">
              <w:t>4-bedrooms</w:t>
            </w:r>
          </w:p>
        </w:tc>
        <w:tc>
          <w:tcPr>
            <w:tcW w:w="4099" w:type="dxa"/>
            <w:vAlign w:val="center"/>
          </w:tcPr>
          <w:p w14:paraId="4EA34217" w14:textId="0AA125E4" w:rsidR="007C03F7" w:rsidRDefault="007C03F7" w:rsidP="00454E5A">
            <w:pPr>
              <w:pStyle w:val="11Bodytext"/>
              <w:numPr>
                <w:ilvl w:val="0"/>
                <w:numId w:val="0"/>
              </w:numPr>
              <w:spacing w:before="0" w:after="0" w:line="300" w:lineRule="auto"/>
              <w:jc w:val="center"/>
            </w:pPr>
            <w:r w:rsidRPr="00BD63F3">
              <w:t>£275,000</w:t>
            </w:r>
          </w:p>
        </w:tc>
      </w:tr>
      <w:tr w:rsidR="007C03F7" w14:paraId="243EABB6" w14:textId="77777777" w:rsidTr="007C03F7">
        <w:trPr>
          <w:jc w:val="center"/>
        </w:trPr>
        <w:tc>
          <w:tcPr>
            <w:tcW w:w="4100" w:type="dxa"/>
          </w:tcPr>
          <w:p w14:paraId="4544A280" w14:textId="4B8DEA4E" w:rsidR="007C03F7" w:rsidRPr="00BD63F3" w:rsidRDefault="007C03F7" w:rsidP="00454E5A">
            <w:pPr>
              <w:pStyle w:val="11Bodytext"/>
              <w:numPr>
                <w:ilvl w:val="0"/>
                <w:numId w:val="0"/>
              </w:numPr>
              <w:spacing w:before="0" w:after="0" w:line="300" w:lineRule="auto"/>
              <w:jc w:val="left"/>
            </w:pPr>
            <w:r w:rsidRPr="00BD63F3">
              <w:t xml:space="preserve">All </w:t>
            </w:r>
            <w:r w:rsidR="00670733">
              <w:t>d</w:t>
            </w:r>
            <w:r w:rsidRPr="00BD63F3">
              <w:t>wellings</w:t>
            </w:r>
          </w:p>
        </w:tc>
        <w:tc>
          <w:tcPr>
            <w:tcW w:w="4099" w:type="dxa"/>
            <w:vAlign w:val="center"/>
          </w:tcPr>
          <w:p w14:paraId="751AE7E1" w14:textId="364BCE4E" w:rsidR="007C03F7" w:rsidRPr="00BD63F3" w:rsidRDefault="007C03F7" w:rsidP="00454E5A">
            <w:pPr>
              <w:pStyle w:val="11Bodytext"/>
              <w:numPr>
                <w:ilvl w:val="0"/>
                <w:numId w:val="0"/>
              </w:numPr>
              <w:spacing w:before="0" w:after="0" w:line="300" w:lineRule="auto"/>
              <w:jc w:val="center"/>
            </w:pPr>
            <w:r w:rsidRPr="00BD63F3">
              <w:t>£155,000</w:t>
            </w:r>
          </w:p>
        </w:tc>
      </w:tr>
    </w:tbl>
    <w:p w14:paraId="5EE1251C" w14:textId="23A1554C" w:rsidR="00B21374" w:rsidRDefault="00B21374" w:rsidP="00454E5A">
      <w:pPr>
        <w:spacing w:line="300" w:lineRule="auto"/>
        <w:jc w:val="center"/>
        <w:rPr>
          <w:rFonts w:ascii="Arial" w:hAnsi="Arial" w:cs="Arial"/>
          <w:sz w:val="20"/>
          <w:szCs w:val="20"/>
        </w:rPr>
      </w:pPr>
      <w:r w:rsidRPr="00BD63F3">
        <w:rPr>
          <w:rFonts w:ascii="Arial" w:hAnsi="Arial" w:cs="Arial"/>
          <w:sz w:val="20"/>
          <w:szCs w:val="20"/>
        </w:rPr>
        <w:t>Source: Land Registry and Internet Price Search</w:t>
      </w:r>
    </w:p>
    <w:p w14:paraId="327C840E" w14:textId="77777777" w:rsidR="00B21374" w:rsidRPr="00B21374" w:rsidRDefault="00B21374" w:rsidP="00172F56">
      <w:pPr>
        <w:pStyle w:val="11Bodytext"/>
        <w:numPr>
          <w:ilvl w:val="0"/>
          <w:numId w:val="0"/>
        </w:numPr>
        <w:spacing w:before="0" w:after="0" w:line="300" w:lineRule="auto"/>
        <w:rPr>
          <w:color w:val="auto"/>
        </w:rPr>
      </w:pPr>
    </w:p>
    <w:p w14:paraId="4CB5AFE3" w14:textId="21A82D7C" w:rsidR="00B21374" w:rsidRPr="00B21374" w:rsidRDefault="00B21374">
      <w:pPr>
        <w:pStyle w:val="11Bodytext"/>
        <w:numPr>
          <w:ilvl w:val="1"/>
          <w:numId w:val="32"/>
        </w:numPr>
        <w:spacing w:before="0" w:after="0" w:line="300" w:lineRule="auto"/>
        <w:ind w:left="720" w:hanging="720"/>
        <w:rPr>
          <w:color w:val="auto"/>
        </w:rPr>
      </w:pPr>
      <w:r w:rsidRPr="00B21374">
        <w:t>A similar analysis has been carried out for private rents using ONS data – this covers a 12-month period to September 2021. For the rental data, information about dwelling sizes is provided (rather than types); the analysis shows an average lower quartile cost (across all dwelling sizes) of £475 per month.</w:t>
      </w:r>
      <w:r w:rsidR="0029674B">
        <w:t xml:space="preserve"> The table also shows Local Housing Allowance (LHA) rates for the Fylde Coast Broad Rental Market Area (BRMA). The LHA rates for all sizes of property are below lower quartile rents, this is an important finding as it implies many households are likely to need to ‘top up’ their rent from other sources as benefit is not covering the full cost.</w:t>
      </w:r>
    </w:p>
    <w:p w14:paraId="7129780B" w14:textId="77777777" w:rsidR="00B21374" w:rsidRPr="00BD63F3" w:rsidRDefault="00B21374" w:rsidP="00172F56">
      <w:pPr>
        <w:pStyle w:val="BodyText"/>
        <w:spacing w:after="0" w:line="300" w:lineRule="auto"/>
        <w:jc w:val="both"/>
        <w:rPr>
          <w:rFonts w:eastAsiaTheme="majorEastAsia" w:cs="Arial"/>
        </w:rPr>
      </w:pPr>
    </w:p>
    <w:tbl>
      <w:tblPr>
        <w:tblStyle w:val="TableTheme"/>
        <w:tblW w:w="8199" w:type="dxa"/>
        <w:jc w:val="center"/>
        <w:tblLook w:val="04A0" w:firstRow="1" w:lastRow="0" w:firstColumn="1" w:lastColumn="0" w:noHBand="0" w:noVBand="1"/>
      </w:tblPr>
      <w:tblGrid>
        <w:gridCol w:w="2733"/>
        <w:gridCol w:w="2733"/>
        <w:gridCol w:w="2733"/>
      </w:tblGrid>
      <w:tr w:rsidR="00B21374" w:rsidRPr="00BD63F3" w14:paraId="1BF85347" w14:textId="77777777" w:rsidTr="00172F56">
        <w:trPr>
          <w:jc w:val="center"/>
        </w:trPr>
        <w:tc>
          <w:tcPr>
            <w:tcW w:w="8199" w:type="dxa"/>
            <w:gridSpan w:val="3"/>
          </w:tcPr>
          <w:p w14:paraId="5EEF435E" w14:textId="1AF10218" w:rsidR="00B21374" w:rsidRPr="00BD63F3" w:rsidRDefault="00B21374" w:rsidP="00454E5A">
            <w:pPr>
              <w:keepNext/>
              <w:spacing w:before="60" w:after="60" w:line="300" w:lineRule="auto"/>
              <w:jc w:val="center"/>
              <w:rPr>
                <w:rFonts w:ascii="Arial" w:hAnsi="Arial" w:cs="Arial"/>
                <w:b/>
                <w:bCs/>
                <w:sz w:val="20"/>
                <w:szCs w:val="20"/>
              </w:rPr>
            </w:pPr>
            <w:r w:rsidRPr="00BD63F3">
              <w:rPr>
                <w:rFonts w:ascii="Arial" w:hAnsi="Arial" w:cs="Arial"/>
                <w:b/>
                <w:bCs/>
                <w:sz w:val="20"/>
                <w:szCs w:val="20"/>
              </w:rPr>
              <w:t xml:space="preserve">Figure </w:t>
            </w:r>
            <w:r w:rsidR="00AD29A6">
              <w:rPr>
                <w:rFonts w:ascii="Arial" w:hAnsi="Arial" w:cs="Arial"/>
                <w:b/>
                <w:bCs/>
                <w:sz w:val="20"/>
                <w:szCs w:val="20"/>
              </w:rPr>
              <w:t>2</w:t>
            </w:r>
            <w:r w:rsidRPr="00BD63F3">
              <w:rPr>
                <w:rFonts w:ascii="Arial" w:hAnsi="Arial" w:cs="Arial"/>
                <w:b/>
                <w:bCs/>
                <w:sz w:val="20"/>
                <w:szCs w:val="20"/>
              </w:rPr>
              <w:t>.3: Lower Quartile Market Rents, year to September 2021 – Fylde</w:t>
            </w:r>
          </w:p>
        </w:tc>
      </w:tr>
      <w:tr w:rsidR="00B21374" w:rsidRPr="003126DF" w14:paraId="54E6A7CB" w14:textId="13D71D93" w:rsidTr="00172F56">
        <w:trPr>
          <w:jc w:val="center"/>
        </w:trPr>
        <w:tc>
          <w:tcPr>
            <w:tcW w:w="2733" w:type="dxa"/>
          </w:tcPr>
          <w:p w14:paraId="209F9460" w14:textId="77777777" w:rsidR="00B21374" w:rsidRPr="00BD63F3" w:rsidRDefault="00B21374" w:rsidP="00454E5A">
            <w:pPr>
              <w:keepNext/>
              <w:spacing w:before="60" w:after="60" w:line="300" w:lineRule="auto"/>
              <w:rPr>
                <w:rFonts w:ascii="Arial" w:hAnsi="Arial" w:cs="Arial"/>
                <w:color w:val="FFFFFF" w:themeColor="background1"/>
                <w:sz w:val="20"/>
                <w:szCs w:val="20"/>
              </w:rPr>
            </w:pPr>
          </w:p>
        </w:tc>
        <w:tc>
          <w:tcPr>
            <w:tcW w:w="2733" w:type="dxa"/>
            <w:vAlign w:val="center"/>
          </w:tcPr>
          <w:p w14:paraId="250BE897" w14:textId="77777777" w:rsidR="00B21374" w:rsidRPr="00BD63F3" w:rsidRDefault="00B21374" w:rsidP="00454E5A">
            <w:pPr>
              <w:keepNext/>
              <w:spacing w:before="60" w:after="60" w:line="300" w:lineRule="auto"/>
              <w:jc w:val="center"/>
              <w:rPr>
                <w:rFonts w:ascii="Arial" w:hAnsi="Arial" w:cs="Arial"/>
                <w:color w:val="FFFFFF" w:themeColor="background1"/>
                <w:sz w:val="20"/>
                <w:szCs w:val="20"/>
              </w:rPr>
            </w:pPr>
            <w:r w:rsidRPr="00BD63F3">
              <w:rPr>
                <w:rFonts w:ascii="Arial" w:hAnsi="Arial" w:cs="Arial"/>
                <w:sz w:val="20"/>
                <w:szCs w:val="20"/>
              </w:rPr>
              <w:t>Lower Quartile rent, pcm</w:t>
            </w:r>
          </w:p>
        </w:tc>
        <w:tc>
          <w:tcPr>
            <w:tcW w:w="2733" w:type="dxa"/>
            <w:vAlign w:val="center"/>
          </w:tcPr>
          <w:p w14:paraId="1EF1C3E1" w14:textId="109DC245" w:rsidR="0DEAF352" w:rsidRPr="0DEAF352" w:rsidRDefault="0DEAF352" w:rsidP="00454E5A">
            <w:pPr>
              <w:spacing w:line="300" w:lineRule="auto"/>
              <w:jc w:val="center"/>
              <w:rPr>
                <w:rFonts w:ascii="Arial" w:hAnsi="Arial" w:cs="Arial"/>
                <w:sz w:val="20"/>
                <w:szCs w:val="20"/>
              </w:rPr>
            </w:pPr>
            <w:r w:rsidRPr="0DEAF352">
              <w:rPr>
                <w:rFonts w:ascii="Arial" w:hAnsi="Arial" w:cs="Arial"/>
                <w:sz w:val="20"/>
                <w:szCs w:val="20"/>
              </w:rPr>
              <w:t>LHA rates</w:t>
            </w:r>
          </w:p>
        </w:tc>
      </w:tr>
      <w:tr w:rsidR="00B21374" w:rsidRPr="00D91795" w14:paraId="777BA048" w14:textId="3F87C2D0" w:rsidTr="00172F56">
        <w:trPr>
          <w:jc w:val="center"/>
        </w:trPr>
        <w:tc>
          <w:tcPr>
            <w:tcW w:w="2733" w:type="dxa"/>
          </w:tcPr>
          <w:p w14:paraId="2FC006C4"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Room only</w:t>
            </w:r>
          </w:p>
        </w:tc>
        <w:tc>
          <w:tcPr>
            <w:tcW w:w="2733" w:type="dxa"/>
            <w:vAlign w:val="center"/>
          </w:tcPr>
          <w:p w14:paraId="74D055E1" w14:textId="77777777" w:rsidR="00B21374" w:rsidRPr="00BD63F3" w:rsidRDefault="00B21374" w:rsidP="00454E5A">
            <w:pPr>
              <w:keepNext/>
              <w:spacing w:line="300" w:lineRule="auto"/>
              <w:jc w:val="center"/>
              <w:rPr>
                <w:rFonts w:ascii="Arial" w:hAnsi="Arial" w:cs="Arial"/>
                <w:sz w:val="20"/>
                <w:szCs w:val="20"/>
              </w:rPr>
            </w:pPr>
            <w:r w:rsidRPr="00BD63F3">
              <w:rPr>
                <w:rFonts w:ascii="Arial" w:hAnsi="Arial" w:cs="Arial"/>
                <w:sz w:val="20"/>
                <w:szCs w:val="20"/>
              </w:rPr>
              <w:t>-</w:t>
            </w:r>
          </w:p>
        </w:tc>
        <w:tc>
          <w:tcPr>
            <w:tcW w:w="2733" w:type="dxa"/>
            <w:vAlign w:val="center"/>
          </w:tcPr>
          <w:p w14:paraId="49BE0A90" w14:textId="523B6A7A" w:rsidR="0DEAF352" w:rsidRDefault="0029674B" w:rsidP="00454E5A">
            <w:pPr>
              <w:spacing w:line="300" w:lineRule="auto"/>
              <w:jc w:val="center"/>
              <w:rPr>
                <w:rFonts w:ascii="Arial" w:hAnsi="Arial" w:cs="Arial"/>
                <w:sz w:val="20"/>
                <w:szCs w:val="20"/>
              </w:rPr>
            </w:pPr>
            <w:r>
              <w:rPr>
                <w:rFonts w:ascii="Arial" w:hAnsi="Arial" w:cs="Arial"/>
                <w:sz w:val="20"/>
                <w:szCs w:val="20"/>
              </w:rPr>
              <w:t>£282</w:t>
            </w:r>
          </w:p>
        </w:tc>
      </w:tr>
      <w:tr w:rsidR="00B21374" w:rsidRPr="00D91795" w14:paraId="47367DF1" w14:textId="53C6722D" w:rsidTr="00172F56">
        <w:trPr>
          <w:jc w:val="center"/>
        </w:trPr>
        <w:tc>
          <w:tcPr>
            <w:tcW w:w="2733" w:type="dxa"/>
          </w:tcPr>
          <w:p w14:paraId="5CC0DA9F"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Studio</w:t>
            </w:r>
          </w:p>
        </w:tc>
        <w:tc>
          <w:tcPr>
            <w:tcW w:w="2733" w:type="dxa"/>
            <w:vAlign w:val="center"/>
          </w:tcPr>
          <w:p w14:paraId="6D8FF853" w14:textId="77777777" w:rsidR="00B21374" w:rsidRPr="00BD63F3" w:rsidRDefault="00B21374" w:rsidP="00454E5A">
            <w:pPr>
              <w:keepNext/>
              <w:spacing w:line="300" w:lineRule="auto"/>
              <w:jc w:val="center"/>
              <w:rPr>
                <w:rFonts w:ascii="Arial" w:hAnsi="Arial" w:cs="Arial"/>
                <w:sz w:val="20"/>
                <w:szCs w:val="20"/>
              </w:rPr>
            </w:pPr>
            <w:r w:rsidRPr="00BD63F3">
              <w:rPr>
                <w:rFonts w:ascii="Arial" w:hAnsi="Arial" w:cs="Arial"/>
                <w:sz w:val="20"/>
                <w:szCs w:val="20"/>
              </w:rPr>
              <w:t>£295</w:t>
            </w:r>
          </w:p>
        </w:tc>
        <w:tc>
          <w:tcPr>
            <w:tcW w:w="2733" w:type="dxa"/>
            <w:vAlign w:val="center"/>
          </w:tcPr>
          <w:p w14:paraId="04C491C8" w14:textId="1BA36CEA" w:rsidR="0DEAF352" w:rsidRDefault="0029674B" w:rsidP="00454E5A">
            <w:pPr>
              <w:spacing w:line="300" w:lineRule="auto"/>
              <w:jc w:val="center"/>
              <w:rPr>
                <w:rFonts w:ascii="Arial" w:hAnsi="Arial" w:cs="Arial"/>
                <w:sz w:val="20"/>
                <w:szCs w:val="20"/>
              </w:rPr>
            </w:pPr>
            <w:r>
              <w:rPr>
                <w:rFonts w:ascii="Arial" w:hAnsi="Arial" w:cs="Arial"/>
                <w:sz w:val="20"/>
                <w:szCs w:val="20"/>
              </w:rPr>
              <w:t>-</w:t>
            </w:r>
          </w:p>
        </w:tc>
      </w:tr>
      <w:tr w:rsidR="0029674B" w:rsidRPr="00D91795" w14:paraId="31567132" w14:textId="29C59A56" w:rsidTr="00172F56">
        <w:trPr>
          <w:jc w:val="center"/>
        </w:trPr>
        <w:tc>
          <w:tcPr>
            <w:tcW w:w="2733" w:type="dxa"/>
          </w:tcPr>
          <w:p w14:paraId="108A4EB6" w14:textId="77777777" w:rsidR="0029674B" w:rsidRPr="00BD63F3" w:rsidRDefault="0029674B" w:rsidP="00454E5A">
            <w:pPr>
              <w:keepNext/>
              <w:spacing w:line="300" w:lineRule="auto"/>
              <w:rPr>
                <w:rFonts w:ascii="Arial" w:hAnsi="Arial" w:cs="Arial"/>
                <w:sz w:val="20"/>
                <w:szCs w:val="20"/>
              </w:rPr>
            </w:pPr>
            <w:r w:rsidRPr="00BD63F3">
              <w:rPr>
                <w:rFonts w:ascii="Arial" w:hAnsi="Arial" w:cs="Arial"/>
                <w:sz w:val="20"/>
                <w:szCs w:val="20"/>
              </w:rPr>
              <w:t>1-bedroom</w:t>
            </w:r>
          </w:p>
        </w:tc>
        <w:tc>
          <w:tcPr>
            <w:tcW w:w="2733" w:type="dxa"/>
            <w:vAlign w:val="center"/>
          </w:tcPr>
          <w:p w14:paraId="24FA4C86" w14:textId="77777777" w:rsidR="0029674B" w:rsidRPr="00BD63F3" w:rsidRDefault="0029674B" w:rsidP="00454E5A">
            <w:pPr>
              <w:keepNext/>
              <w:spacing w:line="300" w:lineRule="auto"/>
              <w:jc w:val="center"/>
              <w:rPr>
                <w:rFonts w:ascii="Arial" w:hAnsi="Arial" w:cs="Arial"/>
                <w:sz w:val="20"/>
                <w:szCs w:val="20"/>
              </w:rPr>
            </w:pPr>
            <w:r w:rsidRPr="00BD63F3">
              <w:rPr>
                <w:rFonts w:ascii="Arial" w:hAnsi="Arial" w:cs="Arial"/>
                <w:sz w:val="20"/>
                <w:szCs w:val="20"/>
              </w:rPr>
              <w:t>£397</w:t>
            </w:r>
          </w:p>
        </w:tc>
        <w:tc>
          <w:tcPr>
            <w:tcW w:w="2733" w:type="dxa"/>
            <w:vAlign w:val="center"/>
          </w:tcPr>
          <w:p w14:paraId="07BD4B52" w14:textId="6E994D69" w:rsidR="0029674B" w:rsidRDefault="0029674B" w:rsidP="00454E5A">
            <w:pPr>
              <w:spacing w:line="300" w:lineRule="auto"/>
              <w:jc w:val="center"/>
              <w:rPr>
                <w:rFonts w:ascii="Arial" w:hAnsi="Arial" w:cs="Arial"/>
                <w:sz w:val="20"/>
                <w:szCs w:val="20"/>
              </w:rPr>
            </w:pPr>
            <w:r w:rsidRPr="007D6369">
              <w:rPr>
                <w:rFonts w:ascii="Arial" w:hAnsi="Arial" w:cs="Arial"/>
                <w:sz w:val="20"/>
                <w:szCs w:val="20"/>
              </w:rPr>
              <w:t>£368</w:t>
            </w:r>
          </w:p>
        </w:tc>
      </w:tr>
      <w:tr w:rsidR="0029674B" w:rsidRPr="00D91795" w14:paraId="75F2F3A9" w14:textId="2A69B77E" w:rsidTr="00172F56">
        <w:trPr>
          <w:jc w:val="center"/>
        </w:trPr>
        <w:tc>
          <w:tcPr>
            <w:tcW w:w="2733" w:type="dxa"/>
          </w:tcPr>
          <w:p w14:paraId="5C414DB3" w14:textId="77777777" w:rsidR="0029674B" w:rsidRPr="00BD63F3" w:rsidRDefault="0029674B" w:rsidP="00454E5A">
            <w:pPr>
              <w:keepNext/>
              <w:spacing w:line="300" w:lineRule="auto"/>
              <w:rPr>
                <w:rFonts w:ascii="Arial" w:hAnsi="Arial" w:cs="Arial"/>
                <w:sz w:val="20"/>
                <w:szCs w:val="20"/>
              </w:rPr>
            </w:pPr>
            <w:r w:rsidRPr="00BD63F3">
              <w:rPr>
                <w:rFonts w:ascii="Arial" w:hAnsi="Arial" w:cs="Arial"/>
                <w:sz w:val="20"/>
                <w:szCs w:val="20"/>
              </w:rPr>
              <w:t>2-bedrooms</w:t>
            </w:r>
          </w:p>
        </w:tc>
        <w:tc>
          <w:tcPr>
            <w:tcW w:w="2733" w:type="dxa"/>
            <w:vAlign w:val="center"/>
          </w:tcPr>
          <w:p w14:paraId="504EB141" w14:textId="77777777" w:rsidR="0029674B" w:rsidRPr="00BD63F3" w:rsidRDefault="0029674B" w:rsidP="00454E5A">
            <w:pPr>
              <w:keepNext/>
              <w:spacing w:line="300" w:lineRule="auto"/>
              <w:jc w:val="center"/>
              <w:rPr>
                <w:rFonts w:ascii="Arial" w:hAnsi="Arial" w:cs="Arial"/>
                <w:sz w:val="20"/>
                <w:szCs w:val="20"/>
              </w:rPr>
            </w:pPr>
            <w:r w:rsidRPr="00BD63F3">
              <w:rPr>
                <w:rFonts w:ascii="Arial" w:hAnsi="Arial" w:cs="Arial"/>
                <w:sz w:val="20"/>
                <w:szCs w:val="20"/>
              </w:rPr>
              <w:t>£520</w:t>
            </w:r>
          </w:p>
        </w:tc>
        <w:tc>
          <w:tcPr>
            <w:tcW w:w="2733" w:type="dxa"/>
            <w:vAlign w:val="center"/>
          </w:tcPr>
          <w:p w14:paraId="12059CBD" w14:textId="0A3B9821" w:rsidR="0029674B" w:rsidRDefault="0029674B" w:rsidP="00454E5A">
            <w:pPr>
              <w:spacing w:line="300" w:lineRule="auto"/>
              <w:jc w:val="center"/>
              <w:rPr>
                <w:rFonts w:ascii="Arial" w:hAnsi="Arial" w:cs="Arial"/>
                <w:sz w:val="20"/>
                <w:szCs w:val="20"/>
              </w:rPr>
            </w:pPr>
            <w:r w:rsidRPr="007D6369">
              <w:rPr>
                <w:rFonts w:ascii="Arial" w:hAnsi="Arial" w:cs="Arial"/>
                <w:sz w:val="20"/>
                <w:szCs w:val="20"/>
              </w:rPr>
              <w:t>£497</w:t>
            </w:r>
          </w:p>
        </w:tc>
      </w:tr>
      <w:tr w:rsidR="0029674B" w:rsidRPr="00D91795" w14:paraId="3F88CAE6" w14:textId="7201AA0C" w:rsidTr="00172F56">
        <w:trPr>
          <w:jc w:val="center"/>
        </w:trPr>
        <w:tc>
          <w:tcPr>
            <w:tcW w:w="2733" w:type="dxa"/>
          </w:tcPr>
          <w:p w14:paraId="047A8D90" w14:textId="77777777" w:rsidR="0029674B" w:rsidRPr="00BD63F3" w:rsidRDefault="0029674B" w:rsidP="00454E5A">
            <w:pPr>
              <w:keepNext/>
              <w:spacing w:line="300" w:lineRule="auto"/>
              <w:rPr>
                <w:rFonts w:ascii="Arial" w:hAnsi="Arial" w:cs="Arial"/>
                <w:sz w:val="20"/>
                <w:szCs w:val="20"/>
              </w:rPr>
            </w:pPr>
            <w:r w:rsidRPr="00BD63F3">
              <w:rPr>
                <w:rFonts w:ascii="Arial" w:hAnsi="Arial" w:cs="Arial"/>
                <w:sz w:val="20"/>
                <w:szCs w:val="20"/>
              </w:rPr>
              <w:t>3-bedrooms</w:t>
            </w:r>
          </w:p>
        </w:tc>
        <w:tc>
          <w:tcPr>
            <w:tcW w:w="2733" w:type="dxa"/>
            <w:vAlign w:val="center"/>
          </w:tcPr>
          <w:p w14:paraId="6C9587D4" w14:textId="77777777" w:rsidR="0029674B" w:rsidRPr="00BD63F3" w:rsidRDefault="0029674B" w:rsidP="00454E5A">
            <w:pPr>
              <w:keepNext/>
              <w:spacing w:line="300" w:lineRule="auto"/>
              <w:jc w:val="center"/>
              <w:rPr>
                <w:rFonts w:ascii="Arial" w:hAnsi="Arial" w:cs="Arial"/>
                <w:sz w:val="20"/>
                <w:szCs w:val="20"/>
              </w:rPr>
            </w:pPr>
            <w:r w:rsidRPr="00BD63F3">
              <w:rPr>
                <w:rFonts w:ascii="Arial" w:hAnsi="Arial" w:cs="Arial"/>
                <w:sz w:val="20"/>
                <w:szCs w:val="20"/>
              </w:rPr>
              <w:t>£650</w:t>
            </w:r>
          </w:p>
        </w:tc>
        <w:tc>
          <w:tcPr>
            <w:tcW w:w="2733" w:type="dxa"/>
            <w:vAlign w:val="center"/>
          </w:tcPr>
          <w:p w14:paraId="6AA2808D" w14:textId="2B47DB84" w:rsidR="0029674B" w:rsidRDefault="0029674B" w:rsidP="00454E5A">
            <w:pPr>
              <w:spacing w:line="300" w:lineRule="auto"/>
              <w:jc w:val="center"/>
              <w:rPr>
                <w:rFonts w:ascii="Arial" w:hAnsi="Arial" w:cs="Arial"/>
                <w:sz w:val="20"/>
                <w:szCs w:val="20"/>
              </w:rPr>
            </w:pPr>
            <w:r w:rsidRPr="007D6369">
              <w:rPr>
                <w:rFonts w:ascii="Arial" w:hAnsi="Arial" w:cs="Arial"/>
                <w:sz w:val="20"/>
                <w:szCs w:val="20"/>
              </w:rPr>
              <w:t>£573</w:t>
            </w:r>
          </w:p>
        </w:tc>
      </w:tr>
      <w:tr w:rsidR="0029674B" w:rsidRPr="00D91795" w14:paraId="4A82CE72" w14:textId="5791F179" w:rsidTr="00172F56">
        <w:trPr>
          <w:jc w:val="center"/>
        </w:trPr>
        <w:tc>
          <w:tcPr>
            <w:tcW w:w="2733" w:type="dxa"/>
          </w:tcPr>
          <w:p w14:paraId="7DDCAF32" w14:textId="77777777" w:rsidR="0029674B" w:rsidRPr="00BD63F3" w:rsidRDefault="0029674B" w:rsidP="00454E5A">
            <w:pPr>
              <w:keepNext/>
              <w:spacing w:line="300" w:lineRule="auto"/>
              <w:rPr>
                <w:rFonts w:ascii="Arial" w:hAnsi="Arial" w:cs="Arial"/>
                <w:sz w:val="20"/>
                <w:szCs w:val="20"/>
              </w:rPr>
            </w:pPr>
            <w:r w:rsidRPr="00BD63F3">
              <w:rPr>
                <w:rFonts w:ascii="Arial" w:hAnsi="Arial" w:cs="Arial"/>
                <w:sz w:val="20"/>
                <w:szCs w:val="20"/>
              </w:rPr>
              <w:t>4-bedrooms</w:t>
            </w:r>
          </w:p>
        </w:tc>
        <w:tc>
          <w:tcPr>
            <w:tcW w:w="2733" w:type="dxa"/>
            <w:vAlign w:val="center"/>
          </w:tcPr>
          <w:p w14:paraId="163A029C" w14:textId="77777777" w:rsidR="0029674B" w:rsidRPr="00BD63F3" w:rsidRDefault="0029674B" w:rsidP="00454E5A">
            <w:pPr>
              <w:keepNext/>
              <w:spacing w:line="300" w:lineRule="auto"/>
              <w:jc w:val="center"/>
              <w:rPr>
                <w:rFonts w:ascii="Arial" w:hAnsi="Arial" w:cs="Arial"/>
                <w:sz w:val="20"/>
                <w:szCs w:val="20"/>
              </w:rPr>
            </w:pPr>
            <w:r w:rsidRPr="00BD63F3">
              <w:rPr>
                <w:rFonts w:ascii="Arial" w:hAnsi="Arial" w:cs="Arial"/>
                <w:sz w:val="20"/>
                <w:szCs w:val="20"/>
              </w:rPr>
              <w:t>£800</w:t>
            </w:r>
          </w:p>
        </w:tc>
        <w:tc>
          <w:tcPr>
            <w:tcW w:w="2733" w:type="dxa"/>
            <w:vAlign w:val="center"/>
          </w:tcPr>
          <w:p w14:paraId="47181C82" w14:textId="7EBD3343" w:rsidR="0029674B" w:rsidRDefault="0029674B" w:rsidP="00454E5A">
            <w:pPr>
              <w:spacing w:line="300" w:lineRule="auto"/>
              <w:jc w:val="center"/>
              <w:rPr>
                <w:rFonts w:ascii="Arial" w:hAnsi="Arial" w:cs="Arial"/>
                <w:sz w:val="20"/>
                <w:szCs w:val="20"/>
              </w:rPr>
            </w:pPr>
            <w:r w:rsidRPr="007D6369">
              <w:rPr>
                <w:rFonts w:ascii="Arial" w:hAnsi="Arial" w:cs="Arial"/>
                <w:sz w:val="20"/>
                <w:szCs w:val="20"/>
              </w:rPr>
              <w:t>£650</w:t>
            </w:r>
          </w:p>
        </w:tc>
      </w:tr>
      <w:tr w:rsidR="00B21374" w:rsidRPr="00D91795" w14:paraId="3A4C3327" w14:textId="34796A71" w:rsidTr="00172F56">
        <w:trPr>
          <w:jc w:val="center"/>
        </w:trPr>
        <w:tc>
          <w:tcPr>
            <w:tcW w:w="2733" w:type="dxa"/>
          </w:tcPr>
          <w:p w14:paraId="1736D8F6" w14:textId="1E6286EF"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 xml:space="preserve">All </w:t>
            </w:r>
            <w:r w:rsidR="00670733">
              <w:rPr>
                <w:rFonts w:ascii="Arial" w:hAnsi="Arial" w:cs="Arial"/>
                <w:sz w:val="20"/>
                <w:szCs w:val="20"/>
              </w:rPr>
              <w:t>dwellings</w:t>
            </w:r>
          </w:p>
        </w:tc>
        <w:tc>
          <w:tcPr>
            <w:tcW w:w="2733" w:type="dxa"/>
            <w:vAlign w:val="center"/>
          </w:tcPr>
          <w:p w14:paraId="2E2E1E46" w14:textId="77777777" w:rsidR="00B21374" w:rsidRPr="00BD63F3" w:rsidRDefault="00B21374" w:rsidP="00454E5A">
            <w:pPr>
              <w:keepNext/>
              <w:spacing w:line="300" w:lineRule="auto"/>
              <w:jc w:val="center"/>
              <w:rPr>
                <w:rFonts w:ascii="Arial" w:hAnsi="Arial" w:cs="Arial"/>
                <w:sz w:val="20"/>
                <w:szCs w:val="20"/>
              </w:rPr>
            </w:pPr>
            <w:r w:rsidRPr="00BD63F3">
              <w:rPr>
                <w:rFonts w:ascii="Arial" w:hAnsi="Arial" w:cs="Arial"/>
                <w:sz w:val="20"/>
                <w:szCs w:val="20"/>
              </w:rPr>
              <w:t>£475</w:t>
            </w:r>
          </w:p>
        </w:tc>
        <w:tc>
          <w:tcPr>
            <w:tcW w:w="2733" w:type="dxa"/>
            <w:vAlign w:val="center"/>
          </w:tcPr>
          <w:p w14:paraId="7490AE6A" w14:textId="389DBC5C" w:rsidR="0DEAF352" w:rsidRDefault="0029674B" w:rsidP="00454E5A">
            <w:pPr>
              <w:spacing w:line="300" w:lineRule="auto"/>
              <w:jc w:val="center"/>
              <w:rPr>
                <w:rFonts w:ascii="Arial" w:hAnsi="Arial" w:cs="Arial"/>
                <w:sz w:val="20"/>
                <w:szCs w:val="20"/>
              </w:rPr>
            </w:pPr>
            <w:r>
              <w:rPr>
                <w:rFonts w:ascii="Arial" w:hAnsi="Arial" w:cs="Arial"/>
                <w:sz w:val="20"/>
                <w:szCs w:val="20"/>
              </w:rPr>
              <w:t>-</w:t>
            </w:r>
          </w:p>
        </w:tc>
      </w:tr>
    </w:tbl>
    <w:p w14:paraId="18534333" w14:textId="5E428B43" w:rsidR="00B21374" w:rsidRPr="00BD63F3" w:rsidRDefault="00B21374" w:rsidP="00454E5A">
      <w:pPr>
        <w:spacing w:line="300" w:lineRule="auto"/>
        <w:jc w:val="center"/>
        <w:rPr>
          <w:rFonts w:ascii="Arial" w:hAnsi="Arial" w:cs="Arial"/>
          <w:sz w:val="20"/>
          <w:szCs w:val="20"/>
        </w:rPr>
      </w:pPr>
      <w:r w:rsidRPr="00BD63F3">
        <w:rPr>
          <w:rFonts w:ascii="Arial" w:hAnsi="Arial" w:cs="Arial"/>
          <w:sz w:val="20"/>
          <w:szCs w:val="20"/>
        </w:rPr>
        <w:t>Source: ONS</w:t>
      </w:r>
      <w:r w:rsidR="0029674B">
        <w:rPr>
          <w:rStyle w:val="FootnoteReference"/>
          <w:rFonts w:ascii="Arial" w:hAnsi="Arial" w:cs="Arial"/>
          <w:sz w:val="20"/>
          <w:szCs w:val="20"/>
        </w:rPr>
        <w:footnoteReference w:id="6"/>
      </w:r>
    </w:p>
    <w:p w14:paraId="08290A94" w14:textId="382D0756" w:rsidR="00B21374" w:rsidRPr="00172F56" w:rsidRDefault="00B21374">
      <w:pPr>
        <w:pStyle w:val="11Bodytext"/>
        <w:numPr>
          <w:ilvl w:val="1"/>
          <w:numId w:val="32"/>
        </w:numPr>
        <w:spacing w:before="0" w:after="0" w:line="300" w:lineRule="auto"/>
        <w:ind w:left="720" w:hanging="720"/>
        <w:rPr>
          <w:color w:val="auto"/>
        </w:rPr>
      </w:pPr>
      <w:r w:rsidRPr="00B21374">
        <w:t>It is of interest for this study to see how prices and rents vary by location. The table below shows an estimate of the overall lower quartile house price and private rent in each of the sub-areas; this is based on Land Registry data for prices and analysis of online data on available lettings which has then been adjusted to be consistent with the data from ONS.</w:t>
      </w:r>
      <w:r w:rsidRPr="00B21374">
        <w:rPr>
          <w:rFonts w:eastAsiaTheme="majorEastAsia"/>
        </w:rPr>
        <w:t xml:space="preserve"> </w:t>
      </w:r>
      <w:r w:rsidRPr="00B21374">
        <w:t>The analysis shows some variation in prices and rents, with prices (and rents) estimated to be highest in the Rural West area. The lowest prices and rents were found to be in Wesham.</w:t>
      </w:r>
    </w:p>
    <w:p w14:paraId="327F4263" w14:textId="77777777" w:rsidR="00454E5A" w:rsidRPr="00B21374" w:rsidRDefault="00454E5A" w:rsidP="00172F56">
      <w:pPr>
        <w:pStyle w:val="11Bodytext"/>
        <w:numPr>
          <w:ilvl w:val="0"/>
          <w:numId w:val="0"/>
        </w:numPr>
        <w:spacing w:before="0" w:after="0" w:line="300" w:lineRule="auto"/>
        <w:rPr>
          <w:color w:val="auto"/>
        </w:rPr>
      </w:pPr>
    </w:p>
    <w:tbl>
      <w:tblPr>
        <w:tblStyle w:val="TableTheme"/>
        <w:tblW w:w="8199" w:type="dxa"/>
        <w:jc w:val="center"/>
        <w:tblLook w:val="04A0" w:firstRow="1" w:lastRow="0" w:firstColumn="1" w:lastColumn="0" w:noHBand="0" w:noVBand="1"/>
      </w:tblPr>
      <w:tblGrid>
        <w:gridCol w:w="2742"/>
        <w:gridCol w:w="2738"/>
        <w:gridCol w:w="2719"/>
      </w:tblGrid>
      <w:tr w:rsidR="00B21374" w:rsidRPr="00BD63F3" w14:paraId="4EE81183" w14:textId="77777777" w:rsidTr="008469E3">
        <w:trPr>
          <w:jc w:val="center"/>
        </w:trPr>
        <w:tc>
          <w:tcPr>
            <w:tcW w:w="8199" w:type="dxa"/>
            <w:gridSpan w:val="3"/>
          </w:tcPr>
          <w:p w14:paraId="29878438" w14:textId="5C3D4A10" w:rsidR="00B21374" w:rsidRPr="00BD63F3" w:rsidRDefault="00B21374" w:rsidP="00454E5A">
            <w:pPr>
              <w:keepNext/>
              <w:spacing w:before="60" w:after="60" w:line="300" w:lineRule="auto"/>
              <w:jc w:val="center"/>
              <w:rPr>
                <w:rFonts w:ascii="Arial" w:hAnsi="Arial" w:cs="Arial"/>
                <w:b/>
                <w:bCs/>
                <w:sz w:val="20"/>
                <w:szCs w:val="20"/>
              </w:rPr>
            </w:pPr>
            <w:r w:rsidRPr="00BD63F3">
              <w:rPr>
                <w:rFonts w:ascii="Arial" w:hAnsi="Arial" w:cs="Arial"/>
                <w:b/>
                <w:bCs/>
                <w:sz w:val="20"/>
                <w:szCs w:val="20"/>
              </w:rPr>
              <w:t xml:space="preserve">Figure </w:t>
            </w:r>
            <w:r w:rsidR="00AD29A6">
              <w:rPr>
                <w:rFonts w:ascii="Arial" w:hAnsi="Arial" w:cs="Arial"/>
                <w:b/>
                <w:bCs/>
                <w:sz w:val="20"/>
                <w:szCs w:val="20"/>
              </w:rPr>
              <w:t>2</w:t>
            </w:r>
            <w:r w:rsidRPr="00BD63F3">
              <w:rPr>
                <w:rFonts w:ascii="Arial" w:hAnsi="Arial" w:cs="Arial"/>
                <w:b/>
                <w:bCs/>
                <w:sz w:val="20"/>
                <w:szCs w:val="20"/>
              </w:rPr>
              <w:t>.</w:t>
            </w:r>
            <w:r>
              <w:rPr>
                <w:rFonts w:ascii="Arial" w:hAnsi="Arial" w:cs="Arial"/>
                <w:b/>
                <w:bCs/>
                <w:sz w:val="20"/>
                <w:szCs w:val="20"/>
              </w:rPr>
              <w:t>4</w:t>
            </w:r>
            <w:r w:rsidRPr="00BD63F3">
              <w:rPr>
                <w:rFonts w:ascii="Arial" w:hAnsi="Arial" w:cs="Arial"/>
                <w:b/>
                <w:bCs/>
                <w:sz w:val="20"/>
                <w:szCs w:val="20"/>
              </w:rPr>
              <w:t>: Lower Quartile Prices and Market Rents, by sub-area</w:t>
            </w:r>
          </w:p>
        </w:tc>
      </w:tr>
      <w:tr w:rsidR="00B21374" w:rsidRPr="002C00F0" w14:paraId="7387632F" w14:textId="77777777" w:rsidTr="008469E3">
        <w:trPr>
          <w:jc w:val="center"/>
        </w:trPr>
        <w:tc>
          <w:tcPr>
            <w:tcW w:w="2742" w:type="dxa"/>
          </w:tcPr>
          <w:p w14:paraId="37F4BF22" w14:textId="77777777" w:rsidR="00B21374" w:rsidRPr="00BD63F3" w:rsidRDefault="00B21374" w:rsidP="00454E5A">
            <w:pPr>
              <w:keepNext/>
              <w:spacing w:line="300" w:lineRule="auto"/>
              <w:rPr>
                <w:rFonts w:ascii="Arial" w:hAnsi="Arial" w:cs="Arial"/>
                <w:sz w:val="20"/>
                <w:szCs w:val="20"/>
              </w:rPr>
            </w:pPr>
          </w:p>
        </w:tc>
        <w:tc>
          <w:tcPr>
            <w:tcW w:w="2738" w:type="dxa"/>
          </w:tcPr>
          <w:p w14:paraId="43554E72" w14:textId="77777777" w:rsidR="00B21374" w:rsidRPr="00BD63F3" w:rsidRDefault="00B21374" w:rsidP="00454E5A">
            <w:pPr>
              <w:keepNext/>
              <w:spacing w:line="300" w:lineRule="auto"/>
              <w:jc w:val="center"/>
              <w:rPr>
                <w:rFonts w:ascii="Arial" w:hAnsi="Arial" w:cs="Arial"/>
                <w:sz w:val="20"/>
                <w:szCs w:val="20"/>
              </w:rPr>
            </w:pPr>
            <w:r w:rsidRPr="00BD63F3">
              <w:rPr>
                <w:rFonts w:ascii="Arial" w:hAnsi="Arial" w:cs="Arial"/>
                <w:sz w:val="20"/>
                <w:szCs w:val="20"/>
              </w:rPr>
              <w:t>Lower quartile price (existing dwellings)</w:t>
            </w:r>
          </w:p>
        </w:tc>
        <w:tc>
          <w:tcPr>
            <w:tcW w:w="2719" w:type="dxa"/>
          </w:tcPr>
          <w:p w14:paraId="3AAF561D" w14:textId="77777777" w:rsidR="00B21374" w:rsidRPr="00BD63F3" w:rsidRDefault="00B21374" w:rsidP="00454E5A">
            <w:pPr>
              <w:keepNext/>
              <w:spacing w:line="300" w:lineRule="auto"/>
              <w:jc w:val="center"/>
              <w:rPr>
                <w:rFonts w:ascii="Arial" w:hAnsi="Arial" w:cs="Arial"/>
                <w:sz w:val="20"/>
                <w:szCs w:val="20"/>
              </w:rPr>
            </w:pPr>
            <w:r w:rsidRPr="00BD63F3">
              <w:rPr>
                <w:rFonts w:ascii="Arial" w:hAnsi="Arial" w:cs="Arial"/>
                <w:sz w:val="20"/>
                <w:szCs w:val="20"/>
              </w:rPr>
              <w:t>Lower Quartile rent, pcm</w:t>
            </w:r>
          </w:p>
        </w:tc>
      </w:tr>
      <w:tr w:rsidR="00B21374" w:rsidRPr="00D91795" w14:paraId="7A16700F" w14:textId="77777777" w:rsidTr="008469E3">
        <w:trPr>
          <w:jc w:val="center"/>
        </w:trPr>
        <w:tc>
          <w:tcPr>
            <w:tcW w:w="2742" w:type="dxa"/>
          </w:tcPr>
          <w:p w14:paraId="2BF4FB4F"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St Annes</w:t>
            </w:r>
          </w:p>
        </w:tc>
        <w:tc>
          <w:tcPr>
            <w:tcW w:w="2738" w:type="dxa"/>
          </w:tcPr>
          <w:p w14:paraId="7059DBA4"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£142,000</w:t>
            </w:r>
          </w:p>
        </w:tc>
        <w:tc>
          <w:tcPr>
            <w:tcW w:w="2719" w:type="dxa"/>
          </w:tcPr>
          <w:p w14:paraId="424C0988"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£405</w:t>
            </w:r>
          </w:p>
        </w:tc>
      </w:tr>
      <w:tr w:rsidR="00B21374" w:rsidRPr="00D91795" w14:paraId="2E837736" w14:textId="77777777" w:rsidTr="008469E3">
        <w:trPr>
          <w:jc w:val="center"/>
        </w:trPr>
        <w:tc>
          <w:tcPr>
            <w:tcW w:w="2742" w:type="dxa"/>
          </w:tcPr>
          <w:p w14:paraId="49D5DE7E"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Lytham</w:t>
            </w:r>
          </w:p>
        </w:tc>
        <w:tc>
          <w:tcPr>
            <w:tcW w:w="2738" w:type="dxa"/>
          </w:tcPr>
          <w:p w14:paraId="2CC5691B"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£211,000</w:t>
            </w:r>
          </w:p>
        </w:tc>
        <w:tc>
          <w:tcPr>
            <w:tcW w:w="2719" w:type="dxa"/>
          </w:tcPr>
          <w:p w14:paraId="2C5E08C7"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£610</w:t>
            </w:r>
          </w:p>
        </w:tc>
      </w:tr>
      <w:tr w:rsidR="00B21374" w:rsidRPr="00D91795" w14:paraId="51153006" w14:textId="77777777" w:rsidTr="008469E3">
        <w:trPr>
          <w:jc w:val="center"/>
        </w:trPr>
        <w:tc>
          <w:tcPr>
            <w:tcW w:w="2742" w:type="dxa"/>
          </w:tcPr>
          <w:p w14:paraId="04811FF2"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Warton</w:t>
            </w:r>
          </w:p>
        </w:tc>
        <w:tc>
          <w:tcPr>
            <w:tcW w:w="2738" w:type="dxa"/>
          </w:tcPr>
          <w:p w14:paraId="68B34BC5"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£144,000</w:t>
            </w:r>
          </w:p>
        </w:tc>
        <w:tc>
          <w:tcPr>
            <w:tcW w:w="2719" w:type="dxa"/>
          </w:tcPr>
          <w:p w14:paraId="416EC1FF"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£545</w:t>
            </w:r>
          </w:p>
        </w:tc>
      </w:tr>
      <w:tr w:rsidR="00B21374" w:rsidRPr="00D91795" w14:paraId="15871FD9" w14:textId="77777777" w:rsidTr="008469E3">
        <w:trPr>
          <w:jc w:val="center"/>
        </w:trPr>
        <w:tc>
          <w:tcPr>
            <w:tcW w:w="2742" w:type="dxa"/>
          </w:tcPr>
          <w:p w14:paraId="34E02E99"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Fylde/BP Periphery</w:t>
            </w:r>
          </w:p>
        </w:tc>
        <w:tc>
          <w:tcPr>
            <w:tcW w:w="2738" w:type="dxa"/>
          </w:tcPr>
          <w:p w14:paraId="176863F3"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£148,000</w:t>
            </w:r>
          </w:p>
        </w:tc>
        <w:tc>
          <w:tcPr>
            <w:tcW w:w="2719" w:type="dxa"/>
          </w:tcPr>
          <w:p w14:paraId="1ACF15E1"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£485</w:t>
            </w:r>
          </w:p>
        </w:tc>
      </w:tr>
      <w:tr w:rsidR="00B21374" w:rsidRPr="00D91795" w14:paraId="1C7EB33A" w14:textId="77777777" w:rsidTr="008469E3">
        <w:trPr>
          <w:jc w:val="center"/>
        </w:trPr>
        <w:tc>
          <w:tcPr>
            <w:tcW w:w="2742" w:type="dxa"/>
          </w:tcPr>
          <w:p w14:paraId="7BDD89C4"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Kirkham</w:t>
            </w:r>
          </w:p>
        </w:tc>
        <w:tc>
          <w:tcPr>
            <w:tcW w:w="2738" w:type="dxa"/>
          </w:tcPr>
          <w:p w14:paraId="7CFB1E68" w14:textId="77777777" w:rsidR="00B21374" w:rsidRPr="00BD63F3" w:rsidRDefault="00B21374" w:rsidP="00454E5A">
            <w:pPr>
              <w:keepNext/>
              <w:spacing w:line="300" w:lineRule="auto"/>
              <w:jc w:val="center"/>
              <w:rPr>
                <w:rFonts w:ascii="Arial" w:hAnsi="Arial" w:cs="Arial"/>
                <w:sz w:val="20"/>
                <w:szCs w:val="20"/>
              </w:rPr>
            </w:pPr>
            <w:r w:rsidRPr="00BD63F3">
              <w:rPr>
                <w:rFonts w:ascii="Arial" w:hAnsi="Arial" w:cs="Arial"/>
                <w:color w:val="000000"/>
                <w:sz w:val="20"/>
                <w:szCs w:val="20"/>
              </w:rPr>
              <w:t>£132,000</w:t>
            </w:r>
          </w:p>
        </w:tc>
        <w:tc>
          <w:tcPr>
            <w:tcW w:w="2719" w:type="dxa"/>
          </w:tcPr>
          <w:p w14:paraId="48CA85E0" w14:textId="77777777" w:rsidR="00B21374" w:rsidRPr="00BD63F3" w:rsidRDefault="00B21374" w:rsidP="00454E5A">
            <w:pPr>
              <w:keepNext/>
              <w:spacing w:line="300" w:lineRule="auto"/>
              <w:jc w:val="center"/>
              <w:rPr>
                <w:rFonts w:ascii="Arial" w:hAnsi="Arial" w:cs="Arial"/>
                <w:sz w:val="20"/>
                <w:szCs w:val="20"/>
              </w:rPr>
            </w:pPr>
            <w:r w:rsidRPr="00BD63F3">
              <w:rPr>
                <w:rFonts w:ascii="Arial" w:hAnsi="Arial" w:cs="Arial"/>
                <w:color w:val="000000"/>
                <w:sz w:val="20"/>
                <w:szCs w:val="20"/>
              </w:rPr>
              <w:t>£460</w:t>
            </w:r>
          </w:p>
        </w:tc>
      </w:tr>
      <w:tr w:rsidR="00B21374" w:rsidRPr="00D91795" w14:paraId="10812453" w14:textId="77777777" w:rsidTr="008469E3">
        <w:trPr>
          <w:jc w:val="center"/>
        </w:trPr>
        <w:tc>
          <w:tcPr>
            <w:tcW w:w="2742" w:type="dxa"/>
          </w:tcPr>
          <w:p w14:paraId="43AE6B2C"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Wesham</w:t>
            </w:r>
          </w:p>
        </w:tc>
        <w:tc>
          <w:tcPr>
            <w:tcW w:w="2738" w:type="dxa"/>
          </w:tcPr>
          <w:p w14:paraId="15524C2E"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£118,000</w:t>
            </w:r>
          </w:p>
        </w:tc>
        <w:tc>
          <w:tcPr>
            <w:tcW w:w="2719" w:type="dxa"/>
          </w:tcPr>
          <w:p w14:paraId="11414858"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£435</w:t>
            </w:r>
          </w:p>
        </w:tc>
      </w:tr>
      <w:tr w:rsidR="00B21374" w:rsidRPr="00D91795" w14:paraId="7520D346" w14:textId="77777777" w:rsidTr="008469E3">
        <w:trPr>
          <w:jc w:val="center"/>
        </w:trPr>
        <w:tc>
          <w:tcPr>
            <w:tcW w:w="2742" w:type="dxa"/>
          </w:tcPr>
          <w:p w14:paraId="455B3B26"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Freckleton</w:t>
            </w:r>
          </w:p>
        </w:tc>
        <w:tc>
          <w:tcPr>
            <w:tcW w:w="2738" w:type="dxa"/>
          </w:tcPr>
          <w:p w14:paraId="57F90715"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£142,000</w:t>
            </w:r>
          </w:p>
        </w:tc>
        <w:tc>
          <w:tcPr>
            <w:tcW w:w="2719" w:type="dxa"/>
          </w:tcPr>
          <w:p w14:paraId="07918826"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£550</w:t>
            </w:r>
          </w:p>
        </w:tc>
      </w:tr>
      <w:tr w:rsidR="00B21374" w:rsidRPr="00D91795" w14:paraId="6E83FFC7" w14:textId="77777777" w:rsidTr="008469E3">
        <w:trPr>
          <w:jc w:val="center"/>
        </w:trPr>
        <w:tc>
          <w:tcPr>
            <w:tcW w:w="2742" w:type="dxa"/>
          </w:tcPr>
          <w:p w14:paraId="07560A7C"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Rural North</w:t>
            </w:r>
          </w:p>
        </w:tc>
        <w:tc>
          <w:tcPr>
            <w:tcW w:w="2738" w:type="dxa"/>
          </w:tcPr>
          <w:p w14:paraId="0ADCF9D0"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£177,000</w:t>
            </w:r>
          </w:p>
        </w:tc>
        <w:tc>
          <w:tcPr>
            <w:tcW w:w="2719" w:type="dxa"/>
          </w:tcPr>
          <w:p w14:paraId="5A684DF8"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£600</w:t>
            </w:r>
          </w:p>
        </w:tc>
      </w:tr>
      <w:tr w:rsidR="00B21374" w:rsidRPr="00D91795" w14:paraId="6E19EED7" w14:textId="77777777" w:rsidTr="008469E3">
        <w:trPr>
          <w:jc w:val="center"/>
        </w:trPr>
        <w:tc>
          <w:tcPr>
            <w:tcW w:w="2742" w:type="dxa"/>
          </w:tcPr>
          <w:p w14:paraId="58F86995"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Rural West</w:t>
            </w:r>
          </w:p>
        </w:tc>
        <w:tc>
          <w:tcPr>
            <w:tcW w:w="2738" w:type="dxa"/>
          </w:tcPr>
          <w:p w14:paraId="4CF74F5F"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£284,000</w:t>
            </w:r>
          </w:p>
        </w:tc>
        <w:tc>
          <w:tcPr>
            <w:tcW w:w="2719" w:type="dxa"/>
          </w:tcPr>
          <w:p w14:paraId="46ACCBF9"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£910</w:t>
            </w:r>
          </w:p>
        </w:tc>
      </w:tr>
      <w:tr w:rsidR="00B21374" w:rsidRPr="00D91795" w14:paraId="4A5A7AEC" w14:textId="77777777" w:rsidTr="008469E3">
        <w:trPr>
          <w:jc w:val="center"/>
        </w:trPr>
        <w:tc>
          <w:tcPr>
            <w:tcW w:w="2742" w:type="dxa"/>
          </w:tcPr>
          <w:p w14:paraId="73EC90B5" w14:textId="77777777"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Rural East</w:t>
            </w:r>
          </w:p>
        </w:tc>
        <w:tc>
          <w:tcPr>
            <w:tcW w:w="2738" w:type="dxa"/>
          </w:tcPr>
          <w:p w14:paraId="55787174"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£172,000</w:t>
            </w:r>
          </w:p>
        </w:tc>
        <w:tc>
          <w:tcPr>
            <w:tcW w:w="2719" w:type="dxa"/>
          </w:tcPr>
          <w:p w14:paraId="08A5592B"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£595</w:t>
            </w:r>
          </w:p>
        </w:tc>
      </w:tr>
      <w:tr w:rsidR="00B21374" w:rsidRPr="00D91795" w14:paraId="2BDB4D2B" w14:textId="77777777" w:rsidTr="008469E3">
        <w:trPr>
          <w:jc w:val="center"/>
        </w:trPr>
        <w:tc>
          <w:tcPr>
            <w:tcW w:w="2742" w:type="dxa"/>
          </w:tcPr>
          <w:p w14:paraId="0C2A8156" w14:textId="44DF3513" w:rsidR="00B21374" w:rsidRPr="00BD63F3" w:rsidRDefault="00B21374" w:rsidP="00454E5A">
            <w:pPr>
              <w:keepNext/>
              <w:spacing w:line="300" w:lineRule="auto"/>
              <w:rPr>
                <w:rFonts w:ascii="Arial" w:hAnsi="Arial" w:cs="Arial"/>
                <w:sz w:val="20"/>
                <w:szCs w:val="20"/>
              </w:rPr>
            </w:pPr>
            <w:r w:rsidRPr="00BD63F3">
              <w:rPr>
                <w:rFonts w:ascii="Arial" w:hAnsi="Arial" w:cs="Arial"/>
                <w:sz w:val="20"/>
                <w:szCs w:val="20"/>
              </w:rPr>
              <w:t xml:space="preserve">All </w:t>
            </w:r>
            <w:r w:rsidR="00670733">
              <w:rPr>
                <w:rFonts w:ascii="Arial" w:hAnsi="Arial" w:cs="Arial"/>
                <w:sz w:val="20"/>
                <w:szCs w:val="20"/>
              </w:rPr>
              <w:t>dwellings</w:t>
            </w:r>
          </w:p>
        </w:tc>
        <w:tc>
          <w:tcPr>
            <w:tcW w:w="2738" w:type="dxa"/>
          </w:tcPr>
          <w:p w14:paraId="55B06C4D"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£155,000</w:t>
            </w:r>
          </w:p>
        </w:tc>
        <w:tc>
          <w:tcPr>
            <w:tcW w:w="2719" w:type="dxa"/>
          </w:tcPr>
          <w:p w14:paraId="6C379851" w14:textId="77777777" w:rsidR="00B21374" w:rsidRPr="00BD63F3" w:rsidRDefault="00B21374" w:rsidP="00454E5A">
            <w:pPr>
              <w:keepNext/>
              <w:spacing w:line="300" w:lineRule="auto"/>
              <w:jc w:val="center"/>
              <w:rPr>
                <w:rFonts w:ascii="Arial" w:hAnsi="Arial" w:cs="Arial"/>
                <w:color w:val="000000"/>
                <w:sz w:val="20"/>
                <w:szCs w:val="20"/>
              </w:rPr>
            </w:pPr>
            <w:r w:rsidRPr="00BD63F3">
              <w:rPr>
                <w:rFonts w:ascii="Arial" w:hAnsi="Arial" w:cs="Arial"/>
                <w:color w:val="000000"/>
                <w:sz w:val="20"/>
                <w:szCs w:val="20"/>
              </w:rPr>
              <w:t>£475</w:t>
            </w:r>
          </w:p>
        </w:tc>
      </w:tr>
    </w:tbl>
    <w:p w14:paraId="172C3A46" w14:textId="77777777" w:rsidR="00B21374" w:rsidRPr="00BD63F3" w:rsidRDefault="00B21374" w:rsidP="00454E5A">
      <w:pPr>
        <w:pStyle w:val="BodyText"/>
        <w:spacing w:after="0" w:line="300" w:lineRule="auto"/>
        <w:jc w:val="center"/>
        <w:rPr>
          <w:rFonts w:cs="Arial"/>
        </w:rPr>
      </w:pPr>
      <w:r w:rsidRPr="00BD63F3">
        <w:rPr>
          <w:rFonts w:cs="Arial"/>
        </w:rPr>
        <w:t>Source: Internet private rental cost search and Land Registry</w:t>
      </w:r>
    </w:p>
    <w:p w14:paraId="16C44621" w14:textId="0867CFDF" w:rsidR="00B21374" w:rsidRDefault="00B21374" w:rsidP="00172F56">
      <w:pPr>
        <w:pStyle w:val="Reporttext0"/>
        <w:keepLines w:val="0"/>
        <w:widowControl w:val="0"/>
        <w:numPr>
          <w:ilvl w:val="0"/>
          <w:numId w:val="0"/>
        </w:numPr>
        <w:spacing w:line="300" w:lineRule="auto"/>
        <w:jc w:val="both"/>
        <w:rPr>
          <w:rFonts w:ascii="Arial" w:hAnsi="Arial" w:cs="Arial"/>
          <w:sz w:val="20"/>
        </w:rPr>
      </w:pPr>
    </w:p>
    <w:p w14:paraId="46997D0F" w14:textId="41830C0D" w:rsidR="00B21374" w:rsidRPr="007236BD" w:rsidRDefault="00B21374" w:rsidP="00172F56">
      <w:pPr>
        <w:spacing w:line="300" w:lineRule="auto"/>
        <w:jc w:val="both"/>
        <w:rPr>
          <w:rFonts w:ascii="Arial" w:hAnsi="Arial" w:cs="Arial"/>
          <w:b/>
          <w:lang w:eastAsia="ja-JP"/>
        </w:rPr>
      </w:pPr>
      <w:r>
        <w:rPr>
          <w:rFonts w:ascii="Arial" w:hAnsi="Arial" w:cs="Arial"/>
          <w:b/>
          <w:lang w:eastAsia="ja-JP"/>
        </w:rPr>
        <w:t>Household Income</w:t>
      </w:r>
    </w:p>
    <w:p w14:paraId="095F73C1" w14:textId="77777777" w:rsidR="00B21374" w:rsidRPr="002143DA" w:rsidRDefault="00B21374" w:rsidP="00172F56">
      <w:pPr>
        <w:spacing w:line="300" w:lineRule="auto"/>
        <w:jc w:val="both"/>
        <w:rPr>
          <w:rFonts w:ascii="Arial" w:hAnsi="Arial" w:cs="Arial"/>
          <w:sz w:val="20"/>
          <w:szCs w:val="20"/>
          <w:lang w:eastAsia="ja-JP"/>
        </w:rPr>
      </w:pPr>
    </w:p>
    <w:bookmarkEnd w:id="36"/>
    <w:p w14:paraId="2F5142DB" w14:textId="72BE849E" w:rsidR="00B21374" w:rsidRPr="00B21374" w:rsidRDefault="00B21374">
      <w:pPr>
        <w:pStyle w:val="11Bodytext"/>
        <w:numPr>
          <w:ilvl w:val="1"/>
          <w:numId w:val="32"/>
        </w:numPr>
        <w:spacing w:before="0" w:after="0" w:line="300" w:lineRule="auto"/>
        <w:ind w:left="720" w:hanging="720"/>
        <w:rPr>
          <w:color w:val="auto"/>
        </w:rPr>
      </w:pPr>
      <w:r w:rsidRPr="00B21374">
        <w:t>Survey results for household income estimate the mean gross household income level to be £38,500 per annum in Fylde, including households without any members in employment. The median income is noticeably lower than the mean, at £30,400 per annum.</w:t>
      </w:r>
    </w:p>
    <w:p w14:paraId="1B6F816B" w14:textId="77777777" w:rsidR="00B21374" w:rsidRPr="00B21374" w:rsidRDefault="00B21374" w:rsidP="00172F56">
      <w:pPr>
        <w:pStyle w:val="11Bodytext"/>
        <w:numPr>
          <w:ilvl w:val="0"/>
          <w:numId w:val="0"/>
        </w:numPr>
        <w:spacing w:before="0" w:after="0" w:line="300" w:lineRule="auto"/>
        <w:rPr>
          <w:color w:val="auto"/>
        </w:rPr>
      </w:pPr>
    </w:p>
    <w:p w14:paraId="207FFB10" w14:textId="2145E41D" w:rsidR="00B21374" w:rsidRPr="00B21374" w:rsidRDefault="00B21374">
      <w:pPr>
        <w:pStyle w:val="11Bodytext"/>
        <w:numPr>
          <w:ilvl w:val="1"/>
          <w:numId w:val="32"/>
        </w:numPr>
        <w:spacing w:before="0" w:after="0" w:line="300" w:lineRule="auto"/>
        <w:ind w:left="720" w:hanging="720"/>
        <w:rPr>
          <w:color w:val="auto"/>
        </w:rPr>
      </w:pPr>
      <w:r w:rsidRPr="00B21374">
        <w:t xml:space="preserve">The figure below shows the distribution of income in the </w:t>
      </w:r>
      <w:r>
        <w:t>Borough</w:t>
      </w:r>
      <w:r w:rsidRPr="00B21374">
        <w:t xml:space="preserve">. It is clear that there </w:t>
      </w:r>
      <w:r w:rsidR="00446349">
        <w:t>is</w:t>
      </w:r>
      <w:r w:rsidR="00446349" w:rsidRPr="00B21374">
        <w:t xml:space="preserve"> </w:t>
      </w:r>
      <w:r w:rsidRPr="00B21374">
        <w:t>a significant range of incomes, with approaching a third of households having an income of less than £20,000, and around 11% an income in excess of £80,000. Approaching half (49%) of households with incomes of less than £20,000 have a retired household reference person (HRP)</w:t>
      </w:r>
      <w:r w:rsidR="007C1805">
        <w:rPr>
          <w:rStyle w:val="FootnoteReference"/>
        </w:rPr>
        <w:footnoteReference w:id="7"/>
      </w:r>
      <w:r w:rsidRPr="00B21374">
        <w:t>. Households where the HRP is in employment have a median income of around £41,200.</w:t>
      </w:r>
    </w:p>
    <w:p w14:paraId="68CF53FA" w14:textId="77777777" w:rsidR="00B21374" w:rsidRDefault="00B21374"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ook w:val="04A0" w:firstRow="1" w:lastRow="0" w:firstColumn="1" w:lastColumn="0" w:noHBand="0" w:noVBand="1"/>
      </w:tblPr>
      <w:tblGrid>
        <w:gridCol w:w="8199"/>
      </w:tblGrid>
      <w:tr w:rsidR="00B21374" w:rsidRPr="00BD63F3" w14:paraId="3D1177EB" w14:textId="77777777" w:rsidTr="00B21374">
        <w:trPr>
          <w:jc w:val="center"/>
        </w:trPr>
        <w:tc>
          <w:tcPr>
            <w:tcW w:w="9628" w:type="dxa"/>
          </w:tcPr>
          <w:p w14:paraId="74D57C60" w14:textId="7551B99B" w:rsidR="00B21374" w:rsidRPr="00BD63F3" w:rsidRDefault="00B21374" w:rsidP="00500F01">
            <w:pPr>
              <w:pStyle w:val="Reporttext0"/>
              <w:keepNext/>
              <w:keepLines w:val="0"/>
              <w:widowControl w:val="0"/>
              <w:numPr>
                <w:ilvl w:val="0"/>
                <w:numId w:val="0"/>
              </w:numPr>
              <w:spacing w:before="60" w:after="60" w:line="300" w:lineRule="auto"/>
              <w:jc w:val="center"/>
              <w:rPr>
                <w:rFonts w:ascii="Arial" w:hAnsi="Arial" w:cs="Arial"/>
                <w:b/>
                <w:bCs/>
                <w:sz w:val="20"/>
              </w:rPr>
            </w:pPr>
            <w:r w:rsidRPr="00BD63F3">
              <w:rPr>
                <w:rFonts w:ascii="Arial" w:hAnsi="Arial" w:cs="Arial"/>
                <w:b/>
                <w:bCs/>
                <w:sz w:val="20"/>
              </w:rPr>
              <w:t xml:space="preserve">Figure </w:t>
            </w:r>
            <w:r w:rsidR="00AD29A6">
              <w:rPr>
                <w:rFonts w:ascii="Arial" w:hAnsi="Arial" w:cs="Arial"/>
                <w:b/>
                <w:bCs/>
                <w:sz w:val="20"/>
              </w:rPr>
              <w:t>2</w:t>
            </w:r>
            <w:r w:rsidRPr="00BD63F3">
              <w:rPr>
                <w:rFonts w:ascii="Arial" w:hAnsi="Arial" w:cs="Arial"/>
                <w:b/>
                <w:bCs/>
                <w:sz w:val="20"/>
              </w:rPr>
              <w:t xml:space="preserve">.5: </w:t>
            </w:r>
            <w:r w:rsidRPr="00BD63F3">
              <w:rPr>
                <w:rFonts w:ascii="Arial" w:hAnsi="Arial"/>
                <w:b/>
                <w:bCs/>
                <w:sz w:val="20"/>
              </w:rPr>
              <w:t>Distribution of annual gross household income</w:t>
            </w:r>
          </w:p>
        </w:tc>
      </w:tr>
      <w:tr w:rsidR="00B21374" w14:paraId="3FEA368C" w14:textId="77777777" w:rsidTr="00B21374">
        <w:trPr>
          <w:jc w:val="center"/>
        </w:trPr>
        <w:tc>
          <w:tcPr>
            <w:tcW w:w="9628" w:type="dxa"/>
          </w:tcPr>
          <w:p w14:paraId="623254C0" w14:textId="77777777" w:rsidR="00B21374" w:rsidRDefault="00B21374" w:rsidP="00172F56">
            <w:pPr>
              <w:pStyle w:val="Reporttext0"/>
              <w:keepLines w:val="0"/>
              <w:widowControl w:val="0"/>
              <w:numPr>
                <w:ilvl w:val="0"/>
                <w:numId w:val="0"/>
              </w:numPr>
              <w:spacing w:line="300" w:lineRule="auto"/>
              <w:jc w:val="center"/>
              <w:rPr>
                <w:rFonts w:ascii="Arial" w:hAnsi="Arial" w:cs="Arial"/>
                <w:sz w:val="20"/>
              </w:rPr>
            </w:pPr>
            <w:r>
              <w:rPr>
                <w:rFonts w:ascii="Arial" w:hAnsi="Arial" w:cs="Arial"/>
                <w:noProof/>
                <w:sz w:val="22"/>
                <w:szCs w:val="22"/>
              </w:rPr>
              <w:drawing>
                <wp:inline distT="0" distB="0" distL="0" distR="0" wp14:anchorId="4452E417" wp14:editId="3B051B40">
                  <wp:extent cx="5040000" cy="2880000"/>
                  <wp:effectExtent l="0" t="0" r="825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173B68D0" w14:textId="439F1179" w:rsidR="00B21374" w:rsidRPr="00B22FFD" w:rsidRDefault="00AB789F" w:rsidP="00500F01">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1AB838F7" w14:textId="77777777" w:rsidR="00670733" w:rsidRPr="00172F56" w:rsidRDefault="00670733" w:rsidP="00172F56">
      <w:pPr>
        <w:pStyle w:val="11Bodytext"/>
        <w:numPr>
          <w:ilvl w:val="0"/>
          <w:numId w:val="0"/>
        </w:numPr>
        <w:spacing w:before="0" w:after="0" w:line="300" w:lineRule="auto"/>
        <w:ind w:left="794" w:hanging="794"/>
        <w:rPr>
          <w:color w:val="auto"/>
        </w:rPr>
      </w:pPr>
    </w:p>
    <w:p w14:paraId="2D6E28DA" w14:textId="700C1616" w:rsidR="00B21374" w:rsidRPr="008D7085" w:rsidRDefault="00B21374">
      <w:pPr>
        <w:pStyle w:val="11Bodytext"/>
        <w:numPr>
          <w:ilvl w:val="1"/>
          <w:numId w:val="32"/>
        </w:numPr>
        <w:spacing w:before="0" w:after="0" w:line="300" w:lineRule="auto"/>
        <w:ind w:left="720" w:hanging="720"/>
        <w:rPr>
          <w:color w:val="auto"/>
        </w:rPr>
      </w:pPr>
      <w:r w:rsidRPr="008D7085">
        <w:t>As can be seen below, the income of households varies greatly by tenure, with those in rented accommodation, particularly social rented accommodation, having much lower average incomes. The incomes of outright owners are significantly lower than for those with a mortgage reflecting the high number of people who are retired living in this tenure.</w:t>
      </w:r>
    </w:p>
    <w:p w14:paraId="7621F654" w14:textId="77777777" w:rsidR="00B21374" w:rsidRDefault="00B21374"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ook w:val="04A0" w:firstRow="1" w:lastRow="0" w:firstColumn="1" w:lastColumn="0" w:noHBand="0" w:noVBand="1"/>
      </w:tblPr>
      <w:tblGrid>
        <w:gridCol w:w="8199"/>
      </w:tblGrid>
      <w:tr w:rsidR="00B21374" w:rsidRPr="00BD63F3" w14:paraId="1B901926" w14:textId="77777777" w:rsidTr="008D7085">
        <w:trPr>
          <w:jc w:val="center"/>
        </w:trPr>
        <w:tc>
          <w:tcPr>
            <w:tcW w:w="9628" w:type="dxa"/>
          </w:tcPr>
          <w:p w14:paraId="0FF3EB21" w14:textId="7BABC13B" w:rsidR="00B21374" w:rsidRPr="00BD63F3" w:rsidRDefault="00B21374" w:rsidP="00500F01">
            <w:pPr>
              <w:pStyle w:val="Reporttext0"/>
              <w:keepNext/>
              <w:keepLines w:val="0"/>
              <w:widowControl w:val="0"/>
              <w:numPr>
                <w:ilvl w:val="0"/>
                <w:numId w:val="0"/>
              </w:numPr>
              <w:spacing w:before="60" w:after="60" w:line="300" w:lineRule="auto"/>
              <w:jc w:val="center"/>
              <w:rPr>
                <w:rFonts w:ascii="Arial" w:hAnsi="Arial" w:cs="Arial"/>
                <w:b/>
                <w:bCs/>
                <w:sz w:val="20"/>
              </w:rPr>
            </w:pPr>
            <w:r w:rsidRPr="00BD63F3">
              <w:rPr>
                <w:rFonts w:ascii="Arial" w:hAnsi="Arial" w:cs="Arial"/>
                <w:b/>
                <w:bCs/>
                <w:sz w:val="20"/>
              </w:rPr>
              <w:t xml:space="preserve">Figure </w:t>
            </w:r>
            <w:r w:rsidR="00AD29A6">
              <w:rPr>
                <w:rFonts w:ascii="Arial" w:hAnsi="Arial" w:cs="Arial"/>
                <w:b/>
                <w:bCs/>
                <w:sz w:val="20"/>
              </w:rPr>
              <w:t>2.6</w:t>
            </w:r>
            <w:r w:rsidRPr="00BD63F3">
              <w:rPr>
                <w:rFonts w:ascii="Arial" w:hAnsi="Arial" w:cs="Arial"/>
                <w:b/>
                <w:bCs/>
                <w:sz w:val="20"/>
              </w:rPr>
              <w:t xml:space="preserve">: </w:t>
            </w:r>
            <w:r w:rsidRPr="00BD63F3">
              <w:rPr>
                <w:rFonts w:ascii="Arial" w:hAnsi="Arial"/>
                <w:b/>
                <w:bCs/>
                <w:sz w:val="20"/>
              </w:rPr>
              <w:t>Median household Income by tenure</w:t>
            </w:r>
          </w:p>
        </w:tc>
      </w:tr>
      <w:tr w:rsidR="00B21374" w14:paraId="58E71321" w14:textId="77777777" w:rsidTr="008D7085">
        <w:trPr>
          <w:jc w:val="center"/>
        </w:trPr>
        <w:tc>
          <w:tcPr>
            <w:tcW w:w="9628" w:type="dxa"/>
          </w:tcPr>
          <w:p w14:paraId="02217736" w14:textId="77777777" w:rsidR="00B21374" w:rsidRDefault="00B21374" w:rsidP="00172F56">
            <w:pPr>
              <w:pStyle w:val="Reporttext0"/>
              <w:keepLines w:val="0"/>
              <w:widowControl w:val="0"/>
              <w:numPr>
                <w:ilvl w:val="0"/>
                <w:numId w:val="0"/>
              </w:numPr>
              <w:spacing w:line="300" w:lineRule="auto"/>
              <w:jc w:val="center"/>
              <w:rPr>
                <w:rFonts w:ascii="Arial" w:hAnsi="Arial" w:cs="Arial"/>
                <w:sz w:val="20"/>
              </w:rPr>
            </w:pPr>
            <w:r>
              <w:rPr>
                <w:rFonts w:ascii="Arial" w:hAnsi="Arial" w:cs="Arial"/>
                <w:noProof/>
                <w:sz w:val="22"/>
                <w:szCs w:val="22"/>
              </w:rPr>
              <w:drawing>
                <wp:inline distT="0" distB="0" distL="0" distR="0" wp14:anchorId="4DF3385F" wp14:editId="06C6715A">
                  <wp:extent cx="5040000" cy="2880000"/>
                  <wp:effectExtent l="0" t="0" r="825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33D5C1E4" w14:textId="4761B1C9" w:rsidR="00B21374" w:rsidRPr="00B22FFD" w:rsidRDefault="00AB789F" w:rsidP="00500F01">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001AB0A0" w14:textId="77777777" w:rsidR="008D7085" w:rsidRPr="00B21374" w:rsidRDefault="008D7085" w:rsidP="00172F56">
      <w:pPr>
        <w:pStyle w:val="11Bodytext"/>
        <w:numPr>
          <w:ilvl w:val="0"/>
          <w:numId w:val="0"/>
        </w:numPr>
        <w:spacing w:before="0" w:after="0" w:line="300" w:lineRule="auto"/>
        <w:rPr>
          <w:color w:val="auto"/>
        </w:rPr>
      </w:pPr>
    </w:p>
    <w:p w14:paraId="768C15A5" w14:textId="7763A187" w:rsidR="00B21374" w:rsidRPr="008D7085" w:rsidRDefault="00B21374">
      <w:pPr>
        <w:pStyle w:val="11Bodytext"/>
        <w:numPr>
          <w:ilvl w:val="1"/>
          <w:numId w:val="32"/>
        </w:numPr>
        <w:spacing w:before="0" w:after="0" w:line="300" w:lineRule="auto"/>
        <w:ind w:left="720" w:hanging="720"/>
        <w:rPr>
          <w:color w:val="auto"/>
        </w:rPr>
      </w:pPr>
      <w:r w:rsidRPr="008D7085">
        <w:t>The chart below shows how households containing two adults have higher average incomes, while single pensioners and lone parents have much lower incomes.</w:t>
      </w:r>
    </w:p>
    <w:p w14:paraId="77274EED" w14:textId="77777777" w:rsidR="00B21374" w:rsidRDefault="00B21374"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ook w:val="04A0" w:firstRow="1" w:lastRow="0" w:firstColumn="1" w:lastColumn="0" w:noHBand="0" w:noVBand="1"/>
      </w:tblPr>
      <w:tblGrid>
        <w:gridCol w:w="8199"/>
      </w:tblGrid>
      <w:tr w:rsidR="00B21374" w:rsidRPr="00BD63F3" w14:paraId="74CB01D2" w14:textId="77777777" w:rsidTr="008D7085">
        <w:trPr>
          <w:jc w:val="center"/>
        </w:trPr>
        <w:tc>
          <w:tcPr>
            <w:tcW w:w="9628" w:type="dxa"/>
          </w:tcPr>
          <w:p w14:paraId="3A0BE132" w14:textId="0A3122C9" w:rsidR="00B21374" w:rsidRPr="00BD63F3" w:rsidRDefault="00B21374" w:rsidP="00500F01">
            <w:pPr>
              <w:pStyle w:val="Reporttext0"/>
              <w:keepNext/>
              <w:keepLines w:val="0"/>
              <w:widowControl w:val="0"/>
              <w:numPr>
                <w:ilvl w:val="0"/>
                <w:numId w:val="0"/>
              </w:numPr>
              <w:spacing w:before="60" w:after="60" w:line="300" w:lineRule="auto"/>
              <w:jc w:val="center"/>
              <w:rPr>
                <w:rFonts w:ascii="Arial" w:hAnsi="Arial" w:cs="Arial"/>
                <w:b/>
                <w:bCs/>
                <w:sz w:val="20"/>
              </w:rPr>
            </w:pPr>
            <w:r w:rsidRPr="00BD63F3">
              <w:rPr>
                <w:rFonts w:ascii="Arial" w:hAnsi="Arial" w:cs="Arial"/>
                <w:b/>
                <w:bCs/>
                <w:sz w:val="20"/>
              </w:rPr>
              <w:t xml:space="preserve">Figure </w:t>
            </w:r>
            <w:r w:rsidR="00AD29A6">
              <w:rPr>
                <w:rFonts w:ascii="Arial" w:hAnsi="Arial" w:cs="Arial"/>
                <w:b/>
                <w:bCs/>
                <w:sz w:val="20"/>
              </w:rPr>
              <w:t>2.7</w:t>
            </w:r>
            <w:r w:rsidRPr="00BD63F3">
              <w:rPr>
                <w:rFonts w:ascii="Arial" w:hAnsi="Arial" w:cs="Arial"/>
                <w:b/>
                <w:bCs/>
                <w:sz w:val="20"/>
              </w:rPr>
              <w:t xml:space="preserve">: </w:t>
            </w:r>
            <w:r w:rsidRPr="00BD63F3">
              <w:rPr>
                <w:rFonts w:ascii="Arial" w:hAnsi="Arial"/>
                <w:b/>
                <w:bCs/>
                <w:sz w:val="20"/>
              </w:rPr>
              <w:t xml:space="preserve">Median household Income by </w:t>
            </w:r>
            <w:r>
              <w:rPr>
                <w:rFonts w:ascii="Arial" w:hAnsi="Arial"/>
                <w:b/>
                <w:bCs/>
                <w:sz w:val="20"/>
              </w:rPr>
              <w:t>household type</w:t>
            </w:r>
          </w:p>
        </w:tc>
      </w:tr>
      <w:tr w:rsidR="00B21374" w14:paraId="621EE3CC" w14:textId="77777777" w:rsidTr="008D7085">
        <w:trPr>
          <w:jc w:val="center"/>
        </w:trPr>
        <w:tc>
          <w:tcPr>
            <w:tcW w:w="9628" w:type="dxa"/>
          </w:tcPr>
          <w:p w14:paraId="2B11BA25" w14:textId="77777777" w:rsidR="00B21374" w:rsidRDefault="00B21374" w:rsidP="00172F56">
            <w:pPr>
              <w:pStyle w:val="Reporttext0"/>
              <w:keepLines w:val="0"/>
              <w:widowControl w:val="0"/>
              <w:numPr>
                <w:ilvl w:val="0"/>
                <w:numId w:val="0"/>
              </w:numPr>
              <w:spacing w:line="300" w:lineRule="auto"/>
              <w:jc w:val="center"/>
              <w:rPr>
                <w:rFonts w:ascii="Arial" w:hAnsi="Arial" w:cs="Arial"/>
                <w:sz w:val="20"/>
              </w:rPr>
            </w:pPr>
            <w:r>
              <w:rPr>
                <w:rFonts w:ascii="Arial" w:hAnsi="Arial" w:cs="Arial"/>
                <w:noProof/>
                <w:sz w:val="22"/>
                <w:szCs w:val="22"/>
              </w:rPr>
              <w:drawing>
                <wp:inline distT="0" distB="0" distL="0" distR="0" wp14:anchorId="05F73F33" wp14:editId="79402F29">
                  <wp:extent cx="5040000" cy="2880000"/>
                  <wp:effectExtent l="0" t="0" r="825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5615F874" w14:textId="17426058" w:rsidR="00B21374" w:rsidRPr="00EA5668" w:rsidRDefault="00AB789F" w:rsidP="00500F01">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3E8F6D4E" w14:textId="77777777" w:rsidR="008D7085" w:rsidRPr="00B21374" w:rsidRDefault="008D7085" w:rsidP="00172F56">
      <w:pPr>
        <w:pStyle w:val="11Bodytext"/>
        <w:numPr>
          <w:ilvl w:val="0"/>
          <w:numId w:val="0"/>
        </w:numPr>
        <w:spacing w:before="0" w:after="0" w:line="300" w:lineRule="auto"/>
        <w:rPr>
          <w:color w:val="auto"/>
        </w:rPr>
      </w:pPr>
    </w:p>
    <w:p w14:paraId="48CEDB49" w14:textId="5ADEF7CE" w:rsidR="00B21374" w:rsidRPr="008D7085" w:rsidRDefault="00B21374">
      <w:pPr>
        <w:pStyle w:val="11Bodytext"/>
        <w:numPr>
          <w:ilvl w:val="1"/>
          <w:numId w:val="32"/>
        </w:numPr>
        <w:spacing w:before="0" w:after="0" w:line="300" w:lineRule="auto"/>
        <w:ind w:left="720" w:hanging="720"/>
        <w:rPr>
          <w:color w:val="auto"/>
        </w:rPr>
      </w:pPr>
      <w:r w:rsidRPr="008D7085">
        <w:t>Finally</w:t>
      </w:r>
      <w:r>
        <w:t>,</w:t>
      </w:r>
      <w:r w:rsidRPr="008D7085">
        <w:t xml:space="preserve"> we can look at how </w:t>
      </w:r>
      <w:r w:rsidR="004178E2">
        <w:t>median</w:t>
      </w:r>
      <w:r w:rsidR="004178E2" w:rsidRPr="008D7085">
        <w:t xml:space="preserve"> </w:t>
      </w:r>
      <w:r w:rsidRPr="008D7085">
        <w:t xml:space="preserve">household incomes vary by sub-area – this is shown in the table below. The table shows that there are considerable differences between households in different parts of the </w:t>
      </w:r>
      <w:r w:rsidR="00432414">
        <w:t>Borough</w:t>
      </w:r>
      <w:r w:rsidRPr="008D7085">
        <w:t xml:space="preserve"> with </w:t>
      </w:r>
      <w:r w:rsidR="004178E2">
        <w:t>median</w:t>
      </w:r>
      <w:r w:rsidR="004178E2" w:rsidRPr="008D7085">
        <w:t xml:space="preserve"> </w:t>
      </w:r>
      <w:r w:rsidRPr="008D7085">
        <w:t>incomes varying from £22,300 in the Fylde/Blackpool Periphery to £42,700 in Rural West.</w:t>
      </w:r>
    </w:p>
    <w:p w14:paraId="42BF6C8A" w14:textId="77777777" w:rsidR="00B21374" w:rsidRPr="00D4546A" w:rsidRDefault="00B21374" w:rsidP="00172F56">
      <w:pPr>
        <w:widowControl w:val="0"/>
        <w:spacing w:line="300" w:lineRule="auto"/>
        <w:jc w:val="both"/>
        <w:rPr>
          <w:rFonts w:ascii="Arial" w:hAnsi="Arial" w:cs="Arial"/>
          <w:sz w:val="20"/>
          <w:szCs w:val="20"/>
        </w:rPr>
      </w:pPr>
    </w:p>
    <w:tbl>
      <w:tblPr>
        <w:tblStyle w:val="TableTheme"/>
        <w:tblW w:w="8199" w:type="dxa"/>
        <w:jc w:val="center"/>
        <w:tblLayout w:type="fixed"/>
        <w:tblLook w:val="0000" w:firstRow="0" w:lastRow="0" w:firstColumn="0" w:lastColumn="0" w:noHBand="0" w:noVBand="0"/>
      </w:tblPr>
      <w:tblGrid>
        <w:gridCol w:w="4099"/>
        <w:gridCol w:w="4100"/>
      </w:tblGrid>
      <w:tr w:rsidR="00B21374" w:rsidRPr="00EA5668" w14:paraId="4118861E" w14:textId="77777777" w:rsidTr="008D7085">
        <w:trPr>
          <w:jc w:val="center"/>
        </w:trPr>
        <w:tc>
          <w:tcPr>
            <w:tcW w:w="6759" w:type="dxa"/>
            <w:gridSpan w:val="2"/>
          </w:tcPr>
          <w:p w14:paraId="44B3CEFD" w14:textId="43FEE599" w:rsidR="00B21374" w:rsidRPr="0094661E" w:rsidRDefault="00B21374" w:rsidP="00500F01">
            <w:pPr>
              <w:pStyle w:val="Caption1"/>
              <w:widowControl w:val="0"/>
              <w:spacing w:before="60" w:after="60" w:line="300" w:lineRule="auto"/>
              <w:rPr>
                <w:rFonts w:ascii="Arial" w:hAnsi="Arial"/>
                <w:sz w:val="20"/>
                <w:szCs w:val="20"/>
              </w:rPr>
            </w:pPr>
            <w:r w:rsidRPr="0094661E">
              <w:rPr>
                <w:rFonts w:ascii="Arial" w:hAnsi="Arial"/>
                <w:sz w:val="20"/>
                <w:szCs w:val="20"/>
              </w:rPr>
              <w:t xml:space="preserve">Figure </w:t>
            </w:r>
            <w:r w:rsidR="00AD29A6">
              <w:rPr>
                <w:rFonts w:ascii="Arial" w:hAnsi="Arial"/>
                <w:sz w:val="20"/>
                <w:szCs w:val="20"/>
              </w:rPr>
              <w:t>2.8:</w:t>
            </w:r>
            <w:r w:rsidRPr="0094661E">
              <w:rPr>
                <w:rFonts w:ascii="Arial" w:hAnsi="Arial"/>
                <w:sz w:val="20"/>
                <w:szCs w:val="20"/>
              </w:rPr>
              <w:t xml:space="preserve"> Median income by sub-area</w:t>
            </w:r>
          </w:p>
        </w:tc>
      </w:tr>
      <w:tr w:rsidR="00B21374" w:rsidRPr="00EA5668" w14:paraId="2CEC273A" w14:textId="77777777" w:rsidTr="008D7085">
        <w:trPr>
          <w:jc w:val="center"/>
        </w:trPr>
        <w:tc>
          <w:tcPr>
            <w:tcW w:w="3379" w:type="dxa"/>
          </w:tcPr>
          <w:p w14:paraId="64DE0E4E" w14:textId="77777777" w:rsidR="00B21374" w:rsidRPr="0094661E" w:rsidRDefault="00B21374" w:rsidP="00500F01">
            <w:pPr>
              <w:keepNext/>
              <w:widowControl w:val="0"/>
              <w:spacing w:before="60" w:after="60" w:line="300" w:lineRule="auto"/>
              <w:rPr>
                <w:rFonts w:ascii="Arial" w:hAnsi="Arial" w:cs="Arial"/>
                <w:iCs/>
                <w:sz w:val="20"/>
                <w:szCs w:val="20"/>
              </w:rPr>
            </w:pPr>
            <w:r w:rsidRPr="0094661E">
              <w:rPr>
                <w:rFonts w:ascii="Arial" w:hAnsi="Arial" w:cs="Arial"/>
                <w:iCs/>
                <w:sz w:val="20"/>
                <w:szCs w:val="20"/>
              </w:rPr>
              <w:t>Sub-area</w:t>
            </w:r>
          </w:p>
        </w:tc>
        <w:tc>
          <w:tcPr>
            <w:tcW w:w="3380" w:type="dxa"/>
          </w:tcPr>
          <w:p w14:paraId="35D7A545" w14:textId="77777777" w:rsidR="00B21374" w:rsidRPr="00172F56" w:rsidRDefault="00B21374" w:rsidP="00500F01">
            <w:pPr>
              <w:keepNext/>
              <w:widowControl w:val="0"/>
              <w:spacing w:before="60" w:after="60" w:line="300" w:lineRule="auto"/>
              <w:jc w:val="center"/>
              <w:rPr>
                <w:rFonts w:ascii="Arial" w:hAnsi="Arial" w:cs="Arial"/>
                <w:iCs/>
                <w:sz w:val="20"/>
                <w:szCs w:val="20"/>
              </w:rPr>
            </w:pPr>
            <w:r w:rsidRPr="00172F56">
              <w:rPr>
                <w:rFonts w:ascii="Arial" w:hAnsi="Arial" w:cs="Arial"/>
                <w:iCs/>
                <w:sz w:val="20"/>
                <w:szCs w:val="20"/>
              </w:rPr>
              <w:t>Median income</w:t>
            </w:r>
          </w:p>
        </w:tc>
      </w:tr>
      <w:tr w:rsidR="00B21374" w:rsidRPr="00EA5668" w14:paraId="6DA96386" w14:textId="77777777" w:rsidTr="008D7085">
        <w:trPr>
          <w:jc w:val="center"/>
        </w:trPr>
        <w:tc>
          <w:tcPr>
            <w:tcW w:w="3379" w:type="dxa"/>
          </w:tcPr>
          <w:p w14:paraId="7AA9A9C5" w14:textId="69E7B7CD" w:rsidR="00B21374" w:rsidRPr="0094661E" w:rsidRDefault="00432414" w:rsidP="00500F01">
            <w:pPr>
              <w:keepNext/>
              <w:spacing w:line="300" w:lineRule="auto"/>
              <w:rPr>
                <w:rFonts w:ascii="Arial" w:hAnsi="Arial" w:cs="Arial"/>
                <w:sz w:val="20"/>
                <w:szCs w:val="20"/>
              </w:rPr>
            </w:pPr>
            <w:r>
              <w:rPr>
                <w:rFonts w:ascii="Arial" w:hAnsi="Arial" w:cs="Arial"/>
                <w:color w:val="000000"/>
                <w:sz w:val="20"/>
                <w:szCs w:val="20"/>
              </w:rPr>
              <w:t>St. Annes</w:t>
            </w:r>
          </w:p>
        </w:tc>
        <w:tc>
          <w:tcPr>
            <w:tcW w:w="3380" w:type="dxa"/>
          </w:tcPr>
          <w:p w14:paraId="59E2D244" w14:textId="77777777" w:rsidR="00B21374" w:rsidRPr="0094661E" w:rsidRDefault="00B21374" w:rsidP="00500F01">
            <w:pPr>
              <w:keepNext/>
              <w:spacing w:line="300" w:lineRule="auto"/>
              <w:jc w:val="center"/>
              <w:rPr>
                <w:rFonts w:ascii="Arial" w:hAnsi="Arial" w:cs="Arial"/>
                <w:color w:val="000000"/>
                <w:sz w:val="20"/>
                <w:szCs w:val="20"/>
              </w:rPr>
            </w:pPr>
            <w:r w:rsidRPr="0094661E">
              <w:rPr>
                <w:rFonts w:ascii="Arial" w:hAnsi="Arial" w:cs="Arial"/>
                <w:color w:val="000000"/>
                <w:sz w:val="20"/>
                <w:szCs w:val="20"/>
              </w:rPr>
              <w:t>£26,700</w:t>
            </w:r>
          </w:p>
        </w:tc>
      </w:tr>
      <w:tr w:rsidR="00B21374" w:rsidRPr="00EA5668" w14:paraId="0ABDE29D" w14:textId="77777777" w:rsidTr="008D7085">
        <w:trPr>
          <w:trHeight w:val="106"/>
          <w:jc w:val="center"/>
        </w:trPr>
        <w:tc>
          <w:tcPr>
            <w:tcW w:w="3379" w:type="dxa"/>
          </w:tcPr>
          <w:p w14:paraId="165C104E" w14:textId="77777777" w:rsidR="00B21374" w:rsidRPr="0094661E" w:rsidRDefault="00B21374" w:rsidP="00500F01">
            <w:pPr>
              <w:keepNext/>
              <w:spacing w:line="300" w:lineRule="auto"/>
              <w:rPr>
                <w:rFonts w:ascii="Arial" w:hAnsi="Arial" w:cs="Arial"/>
                <w:sz w:val="20"/>
                <w:szCs w:val="20"/>
              </w:rPr>
            </w:pPr>
            <w:r w:rsidRPr="0094661E">
              <w:rPr>
                <w:rFonts w:ascii="Arial" w:hAnsi="Arial" w:cs="Arial"/>
                <w:color w:val="000000"/>
                <w:sz w:val="20"/>
                <w:szCs w:val="20"/>
              </w:rPr>
              <w:t>Lytham</w:t>
            </w:r>
          </w:p>
        </w:tc>
        <w:tc>
          <w:tcPr>
            <w:tcW w:w="3380" w:type="dxa"/>
          </w:tcPr>
          <w:p w14:paraId="64EA474B" w14:textId="77777777" w:rsidR="00B21374" w:rsidRPr="0094661E" w:rsidRDefault="00B21374" w:rsidP="00500F01">
            <w:pPr>
              <w:keepNext/>
              <w:spacing w:line="300" w:lineRule="auto"/>
              <w:jc w:val="center"/>
              <w:rPr>
                <w:rFonts w:ascii="Arial" w:hAnsi="Arial" w:cs="Arial"/>
                <w:color w:val="000000"/>
                <w:sz w:val="20"/>
                <w:szCs w:val="20"/>
              </w:rPr>
            </w:pPr>
            <w:r w:rsidRPr="0094661E">
              <w:rPr>
                <w:rFonts w:ascii="Arial" w:hAnsi="Arial" w:cs="Arial"/>
                <w:color w:val="000000"/>
                <w:sz w:val="20"/>
                <w:szCs w:val="20"/>
              </w:rPr>
              <w:t>£31,700</w:t>
            </w:r>
          </w:p>
        </w:tc>
      </w:tr>
      <w:tr w:rsidR="00B21374" w:rsidRPr="00B22FFD" w14:paraId="5BBC0773" w14:textId="77777777" w:rsidTr="008D7085">
        <w:trPr>
          <w:trHeight w:val="106"/>
          <w:jc w:val="center"/>
        </w:trPr>
        <w:tc>
          <w:tcPr>
            <w:tcW w:w="3379" w:type="dxa"/>
          </w:tcPr>
          <w:p w14:paraId="31AB56C3" w14:textId="77777777" w:rsidR="00B21374" w:rsidRPr="0094661E" w:rsidRDefault="00B21374" w:rsidP="00500F01">
            <w:pPr>
              <w:keepNext/>
              <w:spacing w:line="300" w:lineRule="auto"/>
              <w:rPr>
                <w:rFonts w:ascii="Arial" w:hAnsi="Arial" w:cs="Arial"/>
                <w:color w:val="000000"/>
                <w:sz w:val="20"/>
                <w:szCs w:val="20"/>
              </w:rPr>
            </w:pPr>
            <w:r w:rsidRPr="0094661E">
              <w:rPr>
                <w:rFonts w:ascii="Arial" w:hAnsi="Arial" w:cs="Arial"/>
                <w:color w:val="000000"/>
                <w:sz w:val="20"/>
                <w:szCs w:val="20"/>
              </w:rPr>
              <w:t>Warton</w:t>
            </w:r>
          </w:p>
        </w:tc>
        <w:tc>
          <w:tcPr>
            <w:tcW w:w="3380" w:type="dxa"/>
          </w:tcPr>
          <w:p w14:paraId="152C3363" w14:textId="77777777" w:rsidR="00B21374" w:rsidRPr="0094661E" w:rsidRDefault="00B21374" w:rsidP="00500F01">
            <w:pPr>
              <w:keepNext/>
              <w:spacing w:line="300" w:lineRule="auto"/>
              <w:jc w:val="center"/>
              <w:rPr>
                <w:rFonts w:ascii="Arial" w:hAnsi="Arial" w:cs="Arial"/>
                <w:color w:val="000000"/>
                <w:sz w:val="20"/>
                <w:szCs w:val="20"/>
              </w:rPr>
            </w:pPr>
            <w:r w:rsidRPr="0094661E">
              <w:rPr>
                <w:rFonts w:ascii="Arial" w:hAnsi="Arial" w:cs="Arial"/>
                <w:color w:val="000000"/>
                <w:sz w:val="20"/>
                <w:szCs w:val="20"/>
              </w:rPr>
              <w:t>£32,700</w:t>
            </w:r>
          </w:p>
        </w:tc>
      </w:tr>
      <w:tr w:rsidR="00B21374" w:rsidRPr="00B22FFD" w14:paraId="5B0F3D79" w14:textId="77777777" w:rsidTr="008D7085">
        <w:trPr>
          <w:trHeight w:val="106"/>
          <w:jc w:val="center"/>
        </w:trPr>
        <w:tc>
          <w:tcPr>
            <w:tcW w:w="3379" w:type="dxa"/>
          </w:tcPr>
          <w:p w14:paraId="5776A03E" w14:textId="77777777" w:rsidR="00B21374" w:rsidRPr="0094661E" w:rsidRDefault="00B21374" w:rsidP="00500F01">
            <w:pPr>
              <w:keepNext/>
              <w:spacing w:line="300" w:lineRule="auto"/>
              <w:rPr>
                <w:rFonts w:ascii="Arial" w:hAnsi="Arial" w:cs="Arial"/>
                <w:color w:val="000000"/>
                <w:sz w:val="20"/>
                <w:szCs w:val="20"/>
              </w:rPr>
            </w:pPr>
            <w:r w:rsidRPr="0094661E">
              <w:rPr>
                <w:rFonts w:ascii="Arial" w:hAnsi="Arial" w:cs="Arial"/>
                <w:color w:val="000000"/>
                <w:sz w:val="20"/>
                <w:szCs w:val="20"/>
              </w:rPr>
              <w:t>FB Periphery</w:t>
            </w:r>
          </w:p>
        </w:tc>
        <w:tc>
          <w:tcPr>
            <w:tcW w:w="3380" w:type="dxa"/>
          </w:tcPr>
          <w:p w14:paraId="7CEE3FB7" w14:textId="77777777" w:rsidR="00B21374" w:rsidRPr="0094661E" w:rsidRDefault="00B21374" w:rsidP="00500F01">
            <w:pPr>
              <w:keepNext/>
              <w:spacing w:line="300" w:lineRule="auto"/>
              <w:jc w:val="center"/>
              <w:rPr>
                <w:rFonts w:ascii="Arial" w:hAnsi="Arial" w:cs="Arial"/>
                <w:color w:val="000000"/>
                <w:sz w:val="20"/>
                <w:szCs w:val="20"/>
              </w:rPr>
            </w:pPr>
            <w:r w:rsidRPr="0094661E">
              <w:rPr>
                <w:rFonts w:ascii="Arial" w:hAnsi="Arial" w:cs="Arial"/>
                <w:color w:val="000000"/>
                <w:sz w:val="20"/>
                <w:szCs w:val="20"/>
              </w:rPr>
              <w:t>£22,300</w:t>
            </w:r>
          </w:p>
        </w:tc>
      </w:tr>
      <w:tr w:rsidR="00B21374" w:rsidRPr="00B22FFD" w14:paraId="538760E5" w14:textId="77777777" w:rsidTr="008D7085">
        <w:trPr>
          <w:trHeight w:val="106"/>
          <w:jc w:val="center"/>
        </w:trPr>
        <w:tc>
          <w:tcPr>
            <w:tcW w:w="3379" w:type="dxa"/>
          </w:tcPr>
          <w:p w14:paraId="72B63DAB" w14:textId="77777777" w:rsidR="00B21374" w:rsidRPr="0094661E" w:rsidRDefault="00B21374" w:rsidP="00500F01">
            <w:pPr>
              <w:keepNext/>
              <w:spacing w:line="300" w:lineRule="auto"/>
              <w:rPr>
                <w:rFonts w:ascii="Arial" w:hAnsi="Arial" w:cs="Arial"/>
                <w:color w:val="000000"/>
                <w:sz w:val="20"/>
                <w:szCs w:val="20"/>
              </w:rPr>
            </w:pPr>
            <w:r w:rsidRPr="0094661E">
              <w:rPr>
                <w:rFonts w:ascii="Arial" w:hAnsi="Arial" w:cs="Arial"/>
                <w:color w:val="000000"/>
                <w:sz w:val="20"/>
                <w:szCs w:val="20"/>
              </w:rPr>
              <w:t>Kirkham</w:t>
            </w:r>
          </w:p>
        </w:tc>
        <w:tc>
          <w:tcPr>
            <w:tcW w:w="3380" w:type="dxa"/>
          </w:tcPr>
          <w:p w14:paraId="5468CCD8" w14:textId="77777777" w:rsidR="00B21374" w:rsidRPr="0094661E" w:rsidRDefault="00B21374" w:rsidP="00500F01">
            <w:pPr>
              <w:keepNext/>
              <w:spacing w:line="300" w:lineRule="auto"/>
              <w:jc w:val="center"/>
              <w:rPr>
                <w:rFonts w:ascii="Arial" w:hAnsi="Arial" w:cs="Arial"/>
                <w:color w:val="000000"/>
                <w:sz w:val="20"/>
                <w:szCs w:val="20"/>
              </w:rPr>
            </w:pPr>
            <w:r w:rsidRPr="0094661E">
              <w:rPr>
                <w:rFonts w:ascii="Arial" w:hAnsi="Arial" w:cs="Arial"/>
                <w:color w:val="000000"/>
                <w:sz w:val="20"/>
                <w:szCs w:val="20"/>
              </w:rPr>
              <w:t>£33,500</w:t>
            </w:r>
          </w:p>
        </w:tc>
      </w:tr>
      <w:tr w:rsidR="00B21374" w:rsidRPr="00B22FFD" w14:paraId="0CE13B36" w14:textId="77777777" w:rsidTr="008D7085">
        <w:trPr>
          <w:trHeight w:val="106"/>
          <w:jc w:val="center"/>
        </w:trPr>
        <w:tc>
          <w:tcPr>
            <w:tcW w:w="3379" w:type="dxa"/>
          </w:tcPr>
          <w:p w14:paraId="0B9D16A6" w14:textId="77777777" w:rsidR="00B21374" w:rsidRPr="0094661E" w:rsidRDefault="00B21374" w:rsidP="00500F01">
            <w:pPr>
              <w:keepNext/>
              <w:spacing w:line="300" w:lineRule="auto"/>
              <w:rPr>
                <w:rFonts w:ascii="Arial" w:hAnsi="Arial" w:cs="Arial"/>
                <w:color w:val="000000"/>
                <w:sz w:val="20"/>
                <w:szCs w:val="20"/>
              </w:rPr>
            </w:pPr>
            <w:r w:rsidRPr="0094661E">
              <w:rPr>
                <w:rFonts w:ascii="Arial" w:hAnsi="Arial" w:cs="Arial"/>
                <w:color w:val="000000"/>
                <w:sz w:val="20"/>
                <w:szCs w:val="20"/>
              </w:rPr>
              <w:t>Wesham</w:t>
            </w:r>
          </w:p>
        </w:tc>
        <w:tc>
          <w:tcPr>
            <w:tcW w:w="3380" w:type="dxa"/>
          </w:tcPr>
          <w:p w14:paraId="247A8F89" w14:textId="77777777" w:rsidR="00B21374" w:rsidRPr="0094661E" w:rsidRDefault="00B21374" w:rsidP="00500F01">
            <w:pPr>
              <w:keepNext/>
              <w:spacing w:line="300" w:lineRule="auto"/>
              <w:jc w:val="center"/>
              <w:rPr>
                <w:rFonts w:ascii="Arial" w:hAnsi="Arial" w:cs="Arial"/>
                <w:color w:val="000000"/>
                <w:sz w:val="20"/>
                <w:szCs w:val="20"/>
              </w:rPr>
            </w:pPr>
            <w:r w:rsidRPr="0094661E">
              <w:rPr>
                <w:rFonts w:ascii="Arial" w:hAnsi="Arial" w:cs="Arial"/>
                <w:color w:val="000000"/>
                <w:sz w:val="20"/>
                <w:szCs w:val="20"/>
              </w:rPr>
              <w:t>£26,500</w:t>
            </w:r>
          </w:p>
        </w:tc>
      </w:tr>
      <w:tr w:rsidR="00B21374" w:rsidRPr="00B22FFD" w14:paraId="4F338DE9" w14:textId="77777777" w:rsidTr="008D7085">
        <w:trPr>
          <w:trHeight w:val="106"/>
          <w:jc w:val="center"/>
        </w:trPr>
        <w:tc>
          <w:tcPr>
            <w:tcW w:w="3379" w:type="dxa"/>
          </w:tcPr>
          <w:p w14:paraId="37A94230" w14:textId="77777777" w:rsidR="00B21374" w:rsidRPr="0094661E" w:rsidRDefault="00B21374" w:rsidP="00500F01">
            <w:pPr>
              <w:keepNext/>
              <w:spacing w:line="300" w:lineRule="auto"/>
              <w:rPr>
                <w:rFonts w:ascii="Arial" w:hAnsi="Arial" w:cs="Arial"/>
                <w:color w:val="000000"/>
                <w:sz w:val="20"/>
                <w:szCs w:val="20"/>
              </w:rPr>
            </w:pPr>
            <w:r w:rsidRPr="0094661E">
              <w:rPr>
                <w:rFonts w:ascii="Arial" w:hAnsi="Arial" w:cs="Arial"/>
                <w:color w:val="000000"/>
                <w:sz w:val="20"/>
                <w:szCs w:val="20"/>
              </w:rPr>
              <w:t>Freckleton</w:t>
            </w:r>
          </w:p>
        </w:tc>
        <w:tc>
          <w:tcPr>
            <w:tcW w:w="3380" w:type="dxa"/>
          </w:tcPr>
          <w:p w14:paraId="735CEE6C" w14:textId="77777777" w:rsidR="00B21374" w:rsidRPr="0094661E" w:rsidRDefault="00B21374" w:rsidP="00500F01">
            <w:pPr>
              <w:keepNext/>
              <w:spacing w:line="300" w:lineRule="auto"/>
              <w:jc w:val="center"/>
              <w:rPr>
                <w:rFonts w:ascii="Arial" w:hAnsi="Arial" w:cs="Arial"/>
                <w:color w:val="000000"/>
                <w:sz w:val="20"/>
                <w:szCs w:val="20"/>
              </w:rPr>
            </w:pPr>
            <w:r w:rsidRPr="0094661E">
              <w:rPr>
                <w:rFonts w:ascii="Arial" w:hAnsi="Arial" w:cs="Arial"/>
                <w:color w:val="000000"/>
                <w:sz w:val="20"/>
                <w:szCs w:val="20"/>
              </w:rPr>
              <w:t>£29,500</w:t>
            </w:r>
          </w:p>
        </w:tc>
      </w:tr>
      <w:tr w:rsidR="00B21374" w:rsidRPr="00B22FFD" w14:paraId="396B0103" w14:textId="77777777" w:rsidTr="008D7085">
        <w:trPr>
          <w:trHeight w:val="106"/>
          <w:jc w:val="center"/>
        </w:trPr>
        <w:tc>
          <w:tcPr>
            <w:tcW w:w="3379" w:type="dxa"/>
          </w:tcPr>
          <w:p w14:paraId="07D7F40C" w14:textId="77777777" w:rsidR="00B21374" w:rsidRPr="0094661E" w:rsidRDefault="00B21374" w:rsidP="00500F01">
            <w:pPr>
              <w:keepNext/>
              <w:spacing w:line="300" w:lineRule="auto"/>
              <w:rPr>
                <w:rFonts w:ascii="Arial" w:hAnsi="Arial" w:cs="Arial"/>
                <w:color w:val="000000"/>
                <w:sz w:val="20"/>
                <w:szCs w:val="20"/>
              </w:rPr>
            </w:pPr>
            <w:r w:rsidRPr="0094661E">
              <w:rPr>
                <w:rFonts w:ascii="Arial" w:hAnsi="Arial" w:cs="Arial"/>
                <w:color w:val="000000"/>
                <w:sz w:val="20"/>
                <w:szCs w:val="20"/>
              </w:rPr>
              <w:t>Rural North</w:t>
            </w:r>
          </w:p>
        </w:tc>
        <w:tc>
          <w:tcPr>
            <w:tcW w:w="3380" w:type="dxa"/>
          </w:tcPr>
          <w:p w14:paraId="02BA2005" w14:textId="77777777" w:rsidR="00B21374" w:rsidRPr="0094661E" w:rsidRDefault="00B21374" w:rsidP="00500F01">
            <w:pPr>
              <w:keepNext/>
              <w:spacing w:line="300" w:lineRule="auto"/>
              <w:jc w:val="center"/>
              <w:rPr>
                <w:rFonts w:ascii="Arial" w:hAnsi="Arial" w:cs="Arial"/>
                <w:color w:val="000000"/>
                <w:sz w:val="20"/>
                <w:szCs w:val="20"/>
              </w:rPr>
            </w:pPr>
            <w:r w:rsidRPr="0094661E">
              <w:rPr>
                <w:rFonts w:ascii="Arial" w:hAnsi="Arial" w:cs="Arial"/>
                <w:color w:val="000000"/>
                <w:sz w:val="20"/>
                <w:szCs w:val="20"/>
              </w:rPr>
              <w:t>£38,100</w:t>
            </w:r>
          </w:p>
        </w:tc>
      </w:tr>
      <w:tr w:rsidR="00B21374" w:rsidRPr="00B22FFD" w14:paraId="65DE3AE3" w14:textId="77777777" w:rsidTr="008D7085">
        <w:trPr>
          <w:trHeight w:val="106"/>
          <w:jc w:val="center"/>
        </w:trPr>
        <w:tc>
          <w:tcPr>
            <w:tcW w:w="3379" w:type="dxa"/>
          </w:tcPr>
          <w:p w14:paraId="59129579" w14:textId="77777777" w:rsidR="00B21374" w:rsidRPr="0094661E" w:rsidRDefault="00B21374" w:rsidP="00500F01">
            <w:pPr>
              <w:keepNext/>
              <w:spacing w:line="300" w:lineRule="auto"/>
              <w:rPr>
                <w:rFonts w:ascii="Arial" w:hAnsi="Arial" w:cs="Arial"/>
                <w:color w:val="000000"/>
                <w:sz w:val="20"/>
                <w:szCs w:val="20"/>
              </w:rPr>
            </w:pPr>
            <w:r w:rsidRPr="0094661E">
              <w:rPr>
                <w:rFonts w:ascii="Arial" w:hAnsi="Arial" w:cs="Arial"/>
                <w:color w:val="000000"/>
                <w:sz w:val="20"/>
                <w:szCs w:val="20"/>
              </w:rPr>
              <w:t>Rural West</w:t>
            </w:r>
          </w:p>
        </w:tc>
        <w:tc>
          <w:tcPr>
            <w:tcW w:w="3380" w:type="dxa"/>
          </w:tcPr>
          <w:p w14:paraId="38FD3B71" w14:textId="77777777" w:rsidR="00B21374" w:rsidRPr="0094661E" w:rsidRDefault="00B21374" w:rsidP="00500F01">
            <w:pPr>
              <w:keepNext/>
              <w:spacing w:line="300" w:lineRule="auto"/>
              <w:jc w:val="center"/>
              <w:rPr>
                <w:rFonts w:ascii="Arial" w:hAnsi="Arial" w:cs="Arial"/>
                <w:color w:val="000000"/>
                <w:sz w:val="20"/>
                <w:szCs w:val="20"/>
              </w:rPr>
            </w:pPr>
            <w:r w:rsidRPr="0094661E">
              <w:rPr>
                <w:rFonts w:ascii="Arial" w:hAnsi="Arial" w:cs="Arial"/>
                <w:color w:val="000000"/>
                <w:sz w:val="20"/>
                <w:szCs w:val="20"/>
              </w:rPr>
              <w:t>£42,700</w:t>
            </w:r>
          </w:p>
        </w:tc>
      </w:tr>
      <w:tr w:rsidR="00B21374" w:rsidRPr="00B22FFD" w14:paraId="3406FB2A" w14:textId="77777777" w:rsidTr="008D7085">
        <w:trPr>
          <w:jc w:val="center"/>
        </w:trPr>
        <w:tc>
          <w:tcPr>
            <w:tcW w:w="3379" w:type="dxa"/>
          </w:tcPr>
          <w:p w14:paraId="1985F254" w14:textId="77777777" w:rsidR="00B21374" w:rsidRPr="0094661E" w:rsidRDefault="00B21374" w:rsidP="00500F01">
            <w:pPr>
              <w:keepNext/>
              <w:spacing w:line="300" w:lineRule="auto"/>
              <w:rPr>
                <w:rFonts w:ascii="Arial" w:hAnsi="Arial" w:cs="Arial"/>
                <w:color w:val="000000"/>
                <w:sz w:val="20"/>
                <w:szCs w:val="20"/>
              </w:rPr>
            </w:pPr>
            <w:r w:rsidRPr="0094661E">
              <w:rPr>
                <w:rFonts w:ascii="Arial" w:hAnsi="Arial" w:cs="Arial"/>
                <w:color w:val="000000"/>
                <w:sz w:val="20"/>
                <w:szCs w:val="20"/>
              </w:rPr>
              <w:t>Rural East</w:t>
            </w:r>
          </w:p>
        </w:tc>
        <w:tc>
          <w:tcPr>
            <w:tcW w:w="3380" w:type="dxa"/>
          </w:tcPr>
          <w:p w14:paraId="42AE4E84" w14:textId="77777777" w:rsidR="00B21374" w:rsidRPr="0094661E" w:rsidRDefault="00B21374" w:rsidP="00500F01">
            <w:pPr>
              <w:keepNext/>
              <w:spacing w:line="300" w:lineRule="auto"/>
              <w:jc w:val="center"/>
              <w:rPr>
                <w:rFonts w:ascii="Arial" w:hAnsi="Arial" w:cs="Arial"/>
                <w:color w:val="000000"/>
                <w:sz w:val="20"/>
                <w:szCs w:val="20"/>
              </w:rPr>
            </w:pPr>
            <w:r w:rsidRPr="0094661E">
              <w:rPr>
                <w:rFonts w:ascii="Arial" w:hAnsi="Arial" w:cs="Arial"/>
                <w:color w:val="000000"/>
                <w:sz w:val="20"/>
                <w:szCs w:val="20"/>
              </w:rPr>
              <w:t>£39,200</w:t>
            </w:r>
          </w:p>
        </w:tc>
      </w:tr>
      <w:tr w:rsidR="00B21374" w:rsidRPr="00B22FFD" w14:paraId="20A1C3B1" w14:textId="77777777" w:rsidTr="008D7085">
        <w:trPr>
          <w:trHeight w:val="87"/>
          <w:jc w:val="center"/>
        </w:trPr>
        <w:tc>
          <w:tcPr>
            <w:tcW w:w="3379" w:type="dxa"/>
          </w:tcPr>
          <w:p w14:paraId="0ADE529A" w14:textId="77777777" w:rsidR="00B21374" w:rsidRPr="0094661E" w:rsidRDefault="00B21374" w:rsidP="00500F01">
            <w:pPr>
              <w:keepNext/>
              <w:spacing w:line="300" w:lineRule="auto"/>
              <w:rPr>
                <w:rFonts w:ascii="Arial" w:hAnsi="Arial" w:cs="Arial"/>
                <w:sz w:val="20"/>
                <w:szCs w:val="20"/>
              </w:rPr>
            </w:pPr>
            <w:r w:rsidRPr="0094661E">
              <w:rPr>
                <w:rFonts w:ascii="Arial" w:hAnsi="Arial" w:cs="Arial"/>
                <w:color w:val="000000"/>
                <w:sz w:val="20"/>
                <w:szCs w:val="20"/>
              </w:rPr>
              <w:t>Total</w:t>
            </w:r>
          </w:p>
        </w:tc>
        <w:tc>
          <w:tcPr>
            <w:tcW w:w="3380" w:type="dxa"/>
          </w:tcPr>
          <w:p w14:paraId="0E139758" w14:textId="77777777" w:rsidR="00B21374" w:rsidRPr="0094661E" w:rsidRDefault="00B21374" w:rsidP="00500F01">
            <w:pPr>
              <w:keepNext/>
              <w:spacing w:line="300" w:lineRule="auto"/>
              <w:jc w:val="center"/>
              <w:rPr>
                <w:rFonts w:ascii="Arial" w:hAnsi="Arial" w:cs="Arial"/>
                <w:color w:val="000000"/>
                <w:sz w:val="20"/>
                <w:szCs w:val="20"/>
              </w:rPr>
            </w:pPr>
            <w:r w:rsidRPr="0094661E">
              <w:rPr>
                <w:rFonts w:ascii="Arial" w:hAnsi="Arial" w:cs="Arial"/>
                <w:color w:val="000000"/>
                <w:sz w:val="20"/>
                <w:szCs w:val="20"/>
              </w:rPr>
              <w:t>£30,400</w:t>
            </w:r>
          </w:p>
        </w:tc>
      </w:tr>
    </w:tbl>
    <w:p w14:paraId="78DD2408" w14:textId="3040120F" w:rsidR="00B21374" w:rsidRPr="00B22FFD" w:rsidRDefault="00AB789F" w:rsidP="00500F01">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02BFA101" w14:textId="0F334572" w:rsidR="008D7085" w:rsidRDefault="008D7085">
      <w:pPr>
        <w:pStyle w:val="Reporttext0"/>
        <w:keepLines w:val="0"/>
        <w:widowControl w:val="0"/>
        <w:numPr>
          <w:ilvl w:val="0"/>
          <w:numId w:val="0"/>
        </w:numPr>
        <w:spacing w:line="300" w:lineRule="auto"/>
        <w:jc w:val="both"/>
        <w:rPr>
          <w:rFonts w:ascii="Arial" w:hAnsi="Arial" w:cs="Arial"/>
          <w:sz w:val="20"/>
        </w:rPr>
      </w:pPr>
    </w:p>
    <w:p w14:paraId="3CFBEAC0" w14:textId="5AC9D61E" w:rsidR="00177D13" w:rsidRDefault="00177D13">
      <w:pPr>
        <w:pStyle w:val="Reporttext0"/>
        <w:keepLines w:val="0"/>
        <w:widowControl w:val="0"/>
        <w:numPr>
          <w:ilvl w:val="0"/>
          <w:numId w:val="0"/>
        </w:numPr>
        <w:spacing w:line="300" w:lineRule="auto"/>
        <w:jc w:val="both"/>
        <w:rPr>
          <w:rFonts w:ascii="Arial" w:hAnsi="Arial" w:cs="Arial"/>
          <w:sz w:val="20"/>
        </w:rPr>
      </w:pPr>
    </w:p>
    <w:p w14:paraId="0C28207B" w14:textId="663F5839" w:rsidR="00177D13" w:rsidRDefault="00177D13">
      <w:pPr>
        <w:pStyle w:val="Reporttext0"/>
        <w:keepLines w:val="0"/>
        <w:widowControl w:val="0"/>
        <w:numPr>
          <w:ilvl w:val="0"/>
          <w:numId w:val="0"/>
        </w:numPr>
        <w:spacing w:line="300" w:lineRule="auto"/>
        <w:jc w:val="both"/>
        <w:rPr>
          <w:rFonts w:ascii="Arial" w:hAnsi="Arial" w:cs="Arial"/>
          <w:sz w:val="20"/>
        </w:rPr>
      </w:pPr>
    </w:p>
    <w:p w14:paraId="272876EC" w14:textId="3E971663" w:rsidR="00177D13" w:rsidRDefault="00177D13">
      <w:pPr>
        <w:pStyle w:val="Reporttext0"/>
        <w:keepLines w:val="0"/>
        <w:widowControl w:val="0"/>
        <w:numPr>
          <w:ilvl w:val="0"/>
          <w:numId w:val="0"/>
        </w:numPr>
        <w:spacing w:line="300" w:lineRule="auto"/>
        <w:jc w:val="both"/>
        <w:rPr>
          <w:rFonts w:ascii="Arial" w:hAnsi="Arial" w:cs="Arial"/>
          <w:sz w:val="20"/>
        </w:rPr>
      </w:pPr>
    </w:p>
    <w:p w14:paraId="4542A988" w14:textId="59626DFB" w:rsidR="00177D13" w:rsidRDefault="00177D13">
      <w:pPr>
        <w:pStyle w:val="Reporttext0"/>
        <w:keepLines w:val="0"/>
        <w:widowControl w:val="0"/>
        <w:numPr>
          <w:ilvl w:val="0"/>
          <w:numId w:val="0"/>
        </w:numPr>
        <w:spacing w:line="300" w:lineRule="auto"/>
        <w:jc w:val="both"/>
        <w:rPr>
          <w:rFonts w:ascii="Arial" w:hAnsi="Arial" w:cs="Arial"/>
          <w:sz w:val="20"/>
        </w:rPr>
      </w:pPr>
    </w:p>
    <w:p w14:paraId="30222454" w14:textId="664D602E" w:rsidR="00177D13" w:rsidRDefault="00177D13">
      <w:pPr>
        <w:pStyle w:val="Reporttext0"/>
        <w:keepLines w:val="0"/>
        <w:widowControl w:val="0"/>
        <w:numPr>
          <w:ilvl w:val="0"/>
          <w:numId w:val="0"/>
        </w:numPr>
        <w:spacing w:line="300" w:lineRule="auto"/>
        <w:jc w:val="both"/>
        <w:rPr>
          <w:rFonts w:ascii="Arial" w:hAnsi="Arial" w:cs="Arial"/>
          <w:sz w:val="20"/>
        </w:rPr>
      </w:pPr>
    </w:p>
    <w:p w14:paraId="416FA67E" w14:textId="77777777" w:rsidR="00177D13" w:rsidRDefault="00177D13" w:rsidP="00172F56">
      <w:pPr>
        <w:pStyle w:val="Reporttext0"/>
        <w:keepLines w:val="0"/>
        <w:widowControl w:val="0"/>
        <w:numPr>
          <w:ilvl w:val="0"/>
          <w:numId w:val="0"/>
        </w:numPr>
        <w:spacing w:line="300" w:lineRule="auto"/>
        <w:jc w:val="both"/>
        <w:rPr>
          <w:rFonts w:ascii="Arial" w:hAnsi="Arial" w:cs="Arial"/>
          <w:sz w:val="20"/>
        </w:rPr>
      </w:pPr>
    </w:p>
    <w:p w14:paraId="0C904CF4" w14:textId="3CBBB352" w:rsidR="008D7085" w:rsidRPr="007236BD" w:rsidRDefault="008D7085" w:rsidP="00172F56">
      <w:pPr>
        <w:spacing w:line="300" w:lineRule="auto"/>
        <w:jc w:val="both"/>
        <w:rPr>
          <w:rFonts w:ascii="Arial" w:hAnsi="Arial" w:cs="Arial"/>
          <w:b/>
          <w:lang w:eastAsia="ja-JP"/>
        </w:rPr>
      </w:pPr>
      <w:r>
        <w:rPr>
          <w:rFonts w:ascii="Arial" w:hAnsi="Arial" w:cs="Arial"/>
          <w:b/>
          <w:lang w:eastAsia="ja-JP"/>
        </w:rPr>
        <w:t>Household Savings/debt and Equity</w:t>
      </w:r>
    </w:p>
    <w:p w14:paraId="16E4D8DA" w14:textId="77777777" w:rsidR="008D7085" w:rsidRPr="002143DA" w:rsidRDefault="008D7085" w:rsidP="00172F56">
      <w:pPr>
        <w:spacing w:line="300" w:lineRule="auto"/>
        <w:jc w:val="both"/>
        <w:rPr>
          <w:rFonts w:ascii="Arial" w:hAnsi="Arial" w:cs="Arial"/>
          <w:sz w:val="20"/>
          <w:szCs w:val="20"/>
          <w:lang w:eastAsia="ja-JP"/>
        </w:rPr>
      </w:pPr>
    </w:p>
    <w:p w14:paraId="78ADB1E2" w14:textId="2C0A40DB" w:rsidR="00B21374" w:rsidRPr="008D7085" w:rsidRDefault="00B21374">
      <w:pPr>
        <w:pStyle w:val="11Bodytext"/>
        <w:numPr>
          <w:ilvl w:val="1"/>
          <w:numId w:val="32"/>
        </w:numPr>
        <w:spacing w:before="0" w:after="0" w:line="300" w:lineRule="auto"/>
        <w:ind w:left="720" w:hanging="720"/>
        <w:rPr>
          <w:color w:val="auto"/>
        </w:rPr>
      </w:pPr>
      <w:r w:rsidRPr="008D7085">
        <w:t xml:space="preserve">Households were also asked to indicate levels of savings and debt (excluding mortgage debt). The average (mean) household has £56,800 in savings (median of £4,100) – these figures include levels of both savings and debt. The figure below shows the distribution of savings in the </w:t>
      </w:r>
      <w:r w:rsidR="00432414">
        <w:t>Borough</w:t>
      </w:r>
      <w:r w:rsidRPr="008D7085">
        <w:t>. An estimated 25% of households indicated that they were in debt with a further 16% having no savings. At the other end of the scale</w:t>
      </w:r>
      <w:r w:rsidR="00670733">
        <w:t>,</w:t>
      </w:r>
      <w:r w:rsidRPr="008D7085">
        <w:t xml:space="preserve"> it is estimated that 29% of households have savings of £50,000 or more.</w:t>
      </w:r>
    </w:p>
    <w:p w14:paraId="3A8E1C65" w14:textId="77777777" w:rsidR="00B21374" w:rsidRDefault="00B21374"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ook w:val="04A0" w:firstRow="1" w:lastRow="0" w:firstColumn="1" w:lastColumn="0" w:noHBand="0" w:noVBand="1"/>
      </w:tblPr>
      <w:tblGrid>
        <w:gridCol w:w="8199"/>
      </w:tblGrid>
      <w:tr w:rsidR="00B21374" w:rsidRPr="00BD63F3" w14:paraId="61E2D2DF" w14:textId="77777777" w:rsidTr="008D7085">
        <w:trPr>
          <w:jc w:val="center"/>
        </w:trPr>
        <w:tc>
          <w:tcPr>
            <w:tcW w:w="9628" w:type="dxa"/>
          </w:tcPr>
          <w:p w14:paraId="78E41ABE" w14:textId="0718D997" w:rsidR="00B21374" w:rsidRPr="00BD63F3" w:rsidRDefault="00B21374" w:rsidP="00500F01">
            <w:pPr>
              <w:pStyle w:val="Reporttext0"/>
              <w:keepNext/>
              <w:keepLines w:val="0"/>
              <w:widowControl w:val="0"/>
              <w:numPr>
                <w:ilvl w:val="0"/>
                <w:numId w:val="0"/>
              </w:numPr>
              <w:spacing w:before="60" w:after="60" w:line="300" w:lineRule="auto"/>
              <w:jc w:val="center"/>
              <w:rPr>
                <w:rFonts w:ascii="Arial" w:hAnsi="Arial" w:cs="Arial"/>
                <w:b/>
                <w:bCs/>
                <w:sz w:val="20"/>
              </w:rPr>
            </w:pPr>
            <w:r w:rsidRPr="00BD63F3">
              <w:rPr>
                <w:rFonts w:ascii="Arial" w:hAnsi="Arial" w:cs="Arial"/>
                <w:b/>
                <w:bCs/>
                <w:sz w:val="20"/>
              </w:rPr>
              <w:t xml:space="preserve">Figure </w:t>
            </w:r>
            <w:r w:rsidR="00AD29A6">
              <w:rPr>
                <w:rFonts w:ascii="Arial" w:hAnsi="Arial" w:cs="Arial"/>
                <w:b/>
                <w:bCs/>
                <w:sz w:val="20"/>
              </w:rPr>
              <w:t>2.9</w:t>
            </w:r>
            <w:r w:rsidRPr="00BD63F3">
              <w:rPr>
                <w:rFonts w:ascii="Arial" w:hAnsi="Arial" w:cs="Arial"/>
                <w:b/>
                <w:bCs/>
                <w:sz w:val="20"/>
              </w:rPr>
              <w:t xml:space="preserve">: </w:t>
            </w:r>
            <w:r>
              <w:rPr>
                <w:rFonts w:ascii="Arial" w:hAnsi="Arial"/>
                <w:b/>
                <w:bCs/>
                <w:sz w:val="20"/>
              </w:rPr>
              <w:t>Household savings</w:t>
            </w:r>
            <w:r w:rsidR="0001341F">
              <w:rPr>
                <w:rFonts w:ascii="Arial" w:hAnsi="Arial"/>
                <w:b/>
                <w:bCs/>
                <w:sz w:val="20"/>
              </w:rPr>
              <w:t xml:space="preserve"> and debt</w:t>
            </w:r>
          </w:p>
        </w:tc>
      </w:tr>
      <w:tr w:rsidR="00B21374" w14:paraId="5B9060B0" w14:textId="77777777" w:rsidTr="008D7085">
        <w:trPr>
          <w:jc w:val="center"/>
        </w:trPr>
        <w:tc>
          <w:tcPr>
            <w:tcW w:w="9628" w:type="dxa"/>
          </w:tcPr>
          <w:p w14:paraId="55C0ABEC" w14:textId="77777777" w:rsidR="00B21374" w:rsidRDefault="00B21374" w:rsidP="00172F56">
            <w:pPr>
              <w:pStyle w:val="Reporttext0"/>
              <w:keepLines w:val="0"/>
              <w:widowControl w:val="0"/>
              <w:numPr>
                <w:ilvl w:val="0"/>
                <w:numId w:val="0"/>
              </w:numPr>
              <w:spacing w:line="300" w:lineRule="auto"/>
              <w:jc w:val="center"/>
              <w:rPr>
                <w:rFonts w:ascii="Arial" w:hAnsi="Arial" w:cs="Arial"/>
                <w:sz w:val="20"/>
              </w:rPr>
            </w:pPr>
            <w:r>
              <w:rPr>
                <w:rFonts w:ascii="Arial" w:hAnsi="Arial" w:cs="Arial"/>
                <w:noProof/>
                <w:sz w:val="22"/>
                <w:szCs w:val="22"/>
              </w:rPr>
              <w:drawing>
                <wp:inline distT="0" distB="0" distL="0" distR="0" wp14:anchorId="2E5E3B78" wp14:editId="22553588">
                  <wp:extent cx="5040000" cy="2880000"/>
                  <wp:effectExtent l="0" t="0" r="825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4CDA259D" w14:textId="4ADF3FAF" w:rsidR="00B21374" w:rsidRPr="00B22FFD" w:rsidRDefault="00AB789F" w:rsidP="00500F01">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198BEB9F" w14:textId="77777777" w:rsidR="008D7085" w:rsidRPr="002143DA" w:rsidRDefault="008D7085" w:rsidP="00172F56">
      <w:pPr>
        <w:spacing w:line="300" w:lineRule="auto"/>
        <w:jc w:val="both"/>
        <w:rPr>
          <w:rFonts w:ascii="Arial" w:hAnsi="Arial" w:cs="Arial"/>
          <w:sz w:val="20"/>
          <w:szCs w:val="20"/>
          <w:lang w:eastAsia="ja-JP"/>
        </w:rPr>
      </w:pPr>
    </w:p>
    <w:p w14:paraId="60090FD8" w14:textId="2948CDBE" w:rsidR="00B21374" w:rsidRPr="008D7085" w:rsidRDefault="00B21374">
      <w:pPr>
        <w:pStyle w:val="11Bodytext"/>
        <w:numPr>
          <w:ilvl w:val="1"/>
          <w:numId w:val="32"/>
        </w:numPr>
        <w:spacing w:before="0" w:after="0" w:line="300" w:lineRule="auto"/>
        <w:ind w:left="720" w:hanging="720"/>
        <w:rPr>
          <w:color w:val="auto"/>
        </w:rPr>
      </w:pPr>
      <w:r w:rsidRPr="008D7085">
        <w:t>Analysis has also been carried out to look at the level of savings for owner and non-owners separately</w:t>
      </w:r>
      <w:r w:rsidR="009D76D4">
        <w:t>.</w:t>
      </w:r>
      <w:r w:rsidRPr="008D7085">
        <w:t xml:space="preserve"> </w:t>
      </w:r>
      <w:r w:rsidR="009D76D4">
        <w:t>T</w:t>
      </w:r>
      <w:r w:rsidRPr="008D7085">
        <w:t>he figure below show</w:t>
      </w:r>
      <w:r w:rsidR="009D76D4">
        <w:t>s</w:t>
      </w:r>
      <w:r w:rsidRPr="008D7085">
        <w:t xml:space="preserve"> the distribution of savings for non-owners. </w:t>
      </w:r>
      <w:r w:rsidR="009D76D4">
        <w:t xml:space="preserve">A key finding is that </w:t>
      </w:r>
      <w:r w:rsidRPr="008D7085">
        <w:t xml:space="preserve">far higher proportion of non-owners </w:t>
      </w:r>
      <w:r w:rsidR="009D76D4">
        <w:t xml:space="preserve">are </w:t>
      </w:r>
      <w:r w:rsidRPr="008D7085">
        <w:t>in debt (46% compared with 17% of owners and 25% of all households) and the very low proportions with any reasonable level of savings (over £5,000)</w:t>
      </w:r>
      <w:r w:rsidR="009D76D4">
        <w:t>. O</w:t>
      </w:r>
      <w:r w:rsidRPr="008D7085">
        <w:t>nly 17% of non-owners have more than £5,000 of savings compared with 62% of owners and 49% of all households.</w:t>
      </w:r>
    </w:p>
    <w:p w14:paraId="53474431" w14:textId="77777777" w:rsidR="008D7085" w:rsidRPr="008D7085" w:rsidRDefault="008D7085" w:rsidP="00172F56">
      <w:pPr>
        <w:pStyle w:val="11Bodytext"/>
        <w:numPr>
          <w:ilvl w:val="0"/>
          <w:numId w:val="0"/>
        </w:numPr>
        <w:spacing w:before="0" w:after="0" w:line="300" w:lineRule="auto"/>
        <w:rPr>
          <w:color w:val="auto"/>
        </w:rPr>
      </w:pPr>
    </w:p>
    <w:tbl>
      <w:tblPr>
        <w:tblStyle w:val="TableTheme"/>
        <w:tblW w:w="8199" w:type="dxa"/>
        <w:jc w:val="center"/>
        <w:tblLook w:val="04A0" w:firstRow="1" w:lastRow="0" w:firstColumn="1" w:lastColumn="0" w:noHBand="0" w:noVBand="1"/>
      </w:tblPr>
      <w:tblGrid>
        <w:gridCol w:w="8199"/>
      </w:tblGrid>
      <w:tr w:rsidR="00B21374" w:rsidRPr="00BD63F3" w14:paraId="7A675776" w14:textId="77777777" w:rsidTr="008D7085">
        <w:trPr>
          <w:jc w:val="center"/>
        </w:trPr>
        <w:tc>
          <w:tcPr>
            <w:tcW w:w="9628" w:type="dxa"/>
          </w:tcPr>
          <w:p w14:paraId="56B1B486" w14:textId="6909B468" w:rsidR="00B21374" w:rsidRPr="00BD63F3" w:rsidRDefault="00B21374" w:rsidP="00500F01">
            <w:pPr>
              <w:pStyle w:val="Reporttext0"/>
              <w:keepNext/>
              <w:keepLines w:val="0"/>
              <w:widowControl w:val="0"/>
              <w:numPr>
                <w:ilvl w:val="1"/>
                <w:numId w:val="0"/>
              </w:numPr>
              <w:spacing w:before="60" w:after="60" w:line="300" w:lineRule="auto"/>
              <w:jc w:val="center"/>
              <w:rPr>
                <w:rFonts w:ascii="Arial" w:hAnsi="Arial" w:cs="Arial"/>
                <w:b/>
                <w:bCs/>
                <w:sz w:val="20"/>
              </w:rPr>
            </w:pPr>
            <w:r w:rsidRPr="00BD63F3">
              <w:rPr>
                <w:rFonts w:ascii="Arial" w:hAnsi="Arial" w:cs="Arial"/>
                <w:b/>
                <w:bCs/>
                <w:sz w:val="20"/>
              </w:rPr>
              <w:t xml:space="preserve">Figure </w:t>
            </w:r>
            <w:r w:rsidR="00AD29A6">
              <w:rPr>
                <w:rFonts w:ascii="Arial" w:hAnsi="Arial" w:cs="Arial"/>
                <w:b/>
                <w:bCs/>
                <w:sz w:val="20"/>
              </w:rPr>
              <w:t>2.10</w:t>
            </w:r>
            <w:r w:rsidRPr="00BD63F3">
              <w:rPr>
                <w:rFonts w:ascii="Arial" w:hAnsi="Arial" w:cs="Arial"/>
                <w:b/>
                <w:bCs/>
                <w:sz w:val="20"/>
              </w:rPr>
              <w:t xml:space="preserve">: </w:t>
            </w:r>
            <w:r>
              <w:rPr>
                <w:rFonts w:ascii="Arial" w:hAnsi="Arial"/>
                <w:b/>
                <w:bCs/>
                <w:sz w:val="20"/>
              </w:rPr>
              <w:t>Household savings</w:t>
            </w:r>
            <w:r w:rsidR="0001341F">
              <w:rPr>
                <w:rFonts w:ascii="Arial" w:hAnsi="Arial"/>
                <w:b/>
                <w:bCs/>
                <w:sz w:val="20"/>
              </w:rPr>
              <w:t xml:space="preserve"> and debt </w:t>
            </w:r>
            <w:r>
              <w:rPr>
                <w:rFonts w:ascii="Arial" w:hAnsi="Arial"/>
                <w:b/>
                <w:bCs/>
                <w:sz w:val="20"/>
              </w:rPr>
              <w:t>(</w:t>
            </w:r>
            <w:r w:rsidR="00432414">
              <w:rPr>
                <w:rFonts w:ascii="Arial" w:hAnsi="Arial"/>
                <w:b/>
                <w:bCs/>
                <w:sz w:val="20"/>
              </w:rPr>
              <w:t>non-owner-occupiers</w:t>
            </w:r>
            <w:r>
              <w:rPr>
                <w:rFonts w:ascii="Arial" w:hAnsi="Arial"/>
                <w:b/>
                <w:bCs/>
                <w:sz w:val="20"/>
              </w:rPr>
              <w:t>)</w:t>
            </w:r>
          </w:p>
        </w:tc>
      </w:tr>
      <w:tr w:rsidR="00B21374" w14:paraId="5142D515" w14:textId="77777777" w:rsidTr="008D7085">
        <w:trPr>
          <w:jc w:val="center"/>
        </w:trPr>
        <w:tc>
          <w:tcPr>
            <w:tcW w:w="9628" w:type="dxa"/>
          </w:tcPr>
          <w:p w14:paraId="69934173" w14:textId="6A0DB8EE" w:rsidR="00B21374" w:rsidRDefault="0001341F" w:rsidP="00172F56">
            <w:pPr>
              <w:pStyle w:val="Reporttext0"/>
              <w:keepLines w:val="0"/>
              <w:widowControl w:val="0"/>
              <w:numPr>
                <w:ilvl w:val="0"/>
                <w:numId w:val="0"/>
              </w:numPr>
              <w:spacing w:line="300" w:lineRule="auto"/>
              <w:jc w:val="center"/>
              <w:rPr>
                <w:rFonts w:ascii="Arial" w:hAnsi="Arial" w:cs="Arial"/>
                <w:sz w:val="20"/>
              </w:rPr>
            </w:pPr>
            <w:r>
              <w:rPr>
                <w:rFonts w:ascii="Arial" w:hAnsi="Arial" w:cs="Arial"/>
                <w:noProof/>
                <w:sz w:val="22"/>
                <w:szCs w:val="22"/>
              </w:rPr>
              <w:drawing>
                <wp:inline distT="0" distB="0" distL="0" distR="0" wp14:anchorId="14543AD7" wp14:editId="0986E6C4">
                  <wp:extent cx="5040000" cy="2880000"/>
                  <wp:effectExtent l="0" t="0" r="825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0BF56D95" w14:textId="6178EBD7" w:rsidR="00B21374" w:rsidRPr="00B22FFD" w:rsidRDefault="00AB789F" w:rsidP="00172F56">
      <w:pPr>
        <w:pStyle w:val="Reporttext0"/>
        <w:keepLines w:val="0"/>
        <w:widowControl w:val="0"/>
        <w:numPr>
          <w:ilvl w:val="0"/>
          <w:numId w:val="0"/>
        </w:numPr>
        <w:tabs>
          <w:tab w:val="left" w:pos="720"/>
        </w:tabs>
        <w:spacing w:line="300" w:lineRule="auto"/>
        <w:ind w:left="720" w:hanging="720"/>
        <w:jc w:val="center"/>
        <w:rPr>
          <w:rFonts w:ascii="Arial" w:hAnsi="Arial" w:cs="Arial"/>
          <w:sz w:val="20"/>
        </w:rPr>
      </w:pPr>
      <w:r>
        <w:rPr>
          <w:rFonts w:ascii="Arial" w:hAnsi="Arial" w:cs="Arial"/>
          <w:sz w:val="20"/>
        </w:rPr>
        <w:t>Source: Household survey</w:t>
      </w:r>
    </w:p>
    <w:p w14:paraId="6179B6A2" w14:textId="66A4A2D6" w:rsidR="00B21374" w:rsidRDefault="00B21374" w:rsidP="00172F56">
      <w:pPr>
        <w:widowControl w:val="0"/>
        <w:spacing w:line="300" w:lineRule="auto"/>
        <w:jc w:val="both"/>
        <w:rPr>
          <w:rFonts w:ascii="Arial" w:hAnsi="Arial" w:cs="Arial"/>
          <w:sz w:val="20"/>
          <w:szCs w:val="20"/>
        </w:rPr>
      </w:pPr>
    </w:p>
    <w:p w14:paraId="156045F6" w14:textId="6B2AB067" w:rsidR="00B21374" w:rsidRPr="008D7085" w:rsidRDefault="00B21374">
      <w:pPr>
        <w:pStyle w:val="11Bodytext"/>
        <w:numPr>
          <w:ilvl w:val="1"/>
          <w:numId w:val="32"/>
        </w:numPr>
        <w:spacing w:before="0" w:after="0" w:line="300" w:lineRule="auto"/>
        <w:ind w:left="720" w:hanging="720"/>
        <w:rPr>
          <w:color w:val="auto"/>
        </w:rPr>
      </w:pPr>
      <w:r w:rsidRPr="008D7085">
        <w:t xml:space="preserve">The survey also collected information about the amount of equity owner-occupiers have in their </w:t>
      </w:r>
      <w:r w:rsidR="009D76D4">
        <w:t>home</w:t>
      </w:r>
      <w:r w:rsidRPr="008D7085">
        <w:t>. For both owner-occupier groups together (with and without mortgages) the average (mean) amount of equity was estimated to be £231,700, with a median of £191,800. It is estimated that 1% of owner-occupiers are in negative equity.</w:t>
      </w:r>
    </w:p>
    <w:p w14:paraId="42665E58" w14:textId="77777777" w:rsidR="008D7085" w:rsidRPr="008D7085" w:rsidRDefault="008D7085" w:rsidP="00172F56">
      <w:pPr>
        <w:pStyle w:val="11Bodytext"/>
        <w:numPr>
          <w:ilvl w:val="0"/>
          <w:numId w:val="0"/>
        </w:numPr>
        <w:spacing w:before="0" w:after="0" w:line="300" w:lineRule="auto"/>
        <w:rPr>
          <w:color w:val="auto"/>
        </w:rPr>
      </w:pPr>
    </w:p>
    <w:p w14:paraId="306B923E" w14:textId="212B7957" w:rsidR="00B21374" w:rsidRPr="008D7085" w:rsidRDefault="00B21374">
      <w:pPr>
        <w:pStyle w:val="11Bodytext"/>
        <w:numPr>
          <w:ilvl w:val="1"/>
          <w:numId w:val="32"/>
        </w:numPr>
        <w:spacing w:before="0" w:after="0" w:line="300" w:lineRule="auto"/>
        <w:ind w:left="720" w:hanging="720"/>
        <w:rPr>
          <w:color w:val="auto"/>
        </w:rPr>
      </w:pPr>
      <w:r w:rsidRPr="008D7085">
        <w:t xml:space="preserve">In addition to the information collected about income, savings and equity the survey form asked households whether they had any other financial resources which could be used towards a deposit on a </w:t>
      </w:r>
      <w:r w:rsidR="009D76D4">
        <w:t>dwelling</w:t>
      </w:r>
      <w:r w:rsidRPr="008D7085">
        <w:t xml:space="preserve"> (and if so the amount). The majority (90%) of households stated that they had no further access to financial resources other than those already analysed.</w:t>
      </w:r>
    </w:p>
    <w:p w14:paraId="29D620BA" w14:textId="75CE0D6E" w:rsidR="00B21374" w:rsidRDefault="00B21374" w:rsidP="00172F56">
      <w:pPr>
        <w:pStyle w:val="Reporttext0"/>
        <w:keepLines w:val="0"/>
        <w:widowControl w:val="0"/>
        <w:numPr>
          <w:ilvl w:val="0"/>
          <w:numId w:val="0"/>
        </w:numPr>
        <w:spacing w:line="300" w:lineRule="auto"/>
        <w:jc w:val="both"/>
        <w:rPr>
          <w:rFonts w:ascii="Arial" w:hAnsi="Arial" w:cs="Arial"/>
          <w:sz w:val="20"/>
        </w:rPr>
      </w:pPr>
    </w:p>
    <w:p w14:paraId="45473BBA" w14:textId="1BDAD2AD" w:rsidR="008D7085" w:rsidRPr="007236BD" w:rsidRDefault="008D7085" w:rsidP="00172F56">
      <w:pPr>
        <w:spacing w:line="300" w:lineRule="auto"/>
        <w:jc w:val="both"/>
        <w:rPr>
          <w:rFonts w:ascii="Arial" w:hAnsi="Arial" w:cs="Arial"/>
          <w:b/>
          <w:lang w:eastAsia="ja-JP"/>
        </w:rPr>
      </w:pPr>
      <w:r>
        <w:rPr>
          <w:rFonts w:ascii="Arial" w:hAnsi="Arial" w:cs="Arial"/>
          <w:b/>
          <w:lang w:eastAsia="ja-JP"/>
        </w:rPr>
        <w:t>Households</w:t>
      </w:r>
      <w:r w:rsidR="009C68B4">
        <w:rPr>
          <w:rFonts w:ascii="Arial" w:hAnsi="Arial" w:cs="Arial"/>
          <w:b/>
          <w:lang w:eastAsia="ja-JP"/>
        </w:rPr>
        <w:t>’</w:t>
      </w:r>
      <w:r>
        <w:rPr>
          <w:rFonts w:ascii="Arial" w:hAnsi="Arial" w:cs="Arial"/>
          <w:b/>
          <w:lang w:eastAsia="ja-JP"/>
        </w:rPr>
        <w:t xml:space="preserve"> Overall Financial Situation</w:t>
      </w:r>
    </w:p>
    <w:p w14:paraId="58CB39B7" w14:textId="77777777" w:rsidR="008D7085" w:rsidRPr="002143DA" w:rsidRDefault="008D7085" w:rsidP="00172F56">
      <w:pPr>
        <w:spacing w:line="300" w:lineRule="auto"/>
        <w:jc w:val="both"/>
        <w:rPr>
          <w:rFonts w:ascii="Arial" w:hAnsi="Arial" w:cs="Arial"/>
          <w:sz w:val="20"/>
          <w:szCs w:val="20"/>
          <w:lang w:eastAsia="ja-JP"/>
        </w:rPr>
      </w:pPr>
    </w:p>
    <w:p w14:paraId="35FAC684" w14:textId="6754CD74" w:rsidR="00B21374" w:rsidRPr="008D7085" w:rsidRDefault="00B21374">
      <w:pPr>
        <w:pStyle w:val="11Bodytext"/>
        <w:numPr>
          <w:ilvl w:val="1"/>
          <w:numId w:val="32"/>
        </w:numPr>
        <w:spacing w:before="0" w:after="0" w:line="300" w:lineRule="auto"/>
        <w:ind w:left="720" w:hanging="720"/>
        <w:rPr>
          <w:color w:val="auto"/>
        </w:rPr>
      </w:pPr>
      <w:r w:rsidRPr="008D7085">
        <w:t>As noted, data was therefore collected in the household survey on a range of financial information (including incomes, savings and equity). The latter combination of statistics has been used to assess the ability of households to afford housing.</w:t>
      </w:r>
    </w:p>
    <w:p w14:paraId="3B5AC098" w14:textId="77777777" w:rsidR="008D7085" w:rsidRPr="008D7085" w:rsidRDefault="008D7085" w:rsidP="00172F56">
      <w:pPr>
        <w:pStyle w:val="11Bodytext"/>
        <w:numPr>
          <w:ilvl w:val="0"/>
          <w:numId w:val="0"/>
        </w:numPr>
        <w:spacing w:before="0" w:after="0" w:line="300" w:lineRule="auto"/>
        <w:rPr>
          <w:color w:val="auto"/>
        </w:rPr>
      </w:pPr>
    </w:p>
    <w:p w14:paraId="0A339C22" w14:textId="713D664B" w:rsidR="00B21374" w:rsidRPr="008D7085" w:rsidRDefault="00B21374">
      <w:pPr>
        <w:pStyle w:val="11Bodytext"/>
        <w:numPr>
          <w:ilvl w:val="1"/>
          <w:numId w:val="32"/>
        </w:numPr>
        <w:spacing w:before="0" w:after="0" w:line="300" w:lineRule="auto"/>
        <w:ind w:left="720" w:hanging="720"/>
        <w:rPr>
          <w:color w:val="auto"/>
        </w:rPr>
      </w:pPr>
      <w:r w:rsidRPr="008D7085">
        <w:t>For illustrative purposes the income of a household is multiplied by four to represent an approximate maximum amount of mortgage advance that an average household might secure.</w:t>
      </w:r>
    </w:p>
    <w:p w14:paraId="5B8A3D6F" w14:textId="77777777" w:rsidR="008D7085" w:rsidRPr="008D7085" w:rsidRDefault="008D7085" w:rsidP="00172F56">
      <w:pPr>
        <w:pStyle w:val="11Bodytext"/>
        <w:numPr>
          <w:ilvl w:val="0"/>
          <w:numId w:val="0"/>
        </w:numPr>
        <w:spacing w:before="0" w:after="0" w:line="300" w:lineRule="auto"/>
        <w:rPr>
          <w:color w:val="auto"/>
        </w:rPr>
      </w:pPr>
    </w:p>
    <w:p w14:paraId="4FFD210C" w14:textId="00AC8D98" w:rsidR="008D7085" w:rsidRPr="008D7085" w:rsidRDefault="008D7085">
      <w:pPr>
        <w:pStyle w:val="11Bodytext"/>
        <w:numPr>
          <w:ilvl w:val="1"/>
          <w:numId w:val="32"/>
        </w:numPr>
        <w:spacing w:before="0" w:after="0" w:line="300" w:lineRule="auto"/>
        <w:ind w:left="720" w:hanging="720"/>
        <w:rPr>
          <w:color w:val="auto"/>
        </w:rPr>
      </w:pPr>
      <w:r w:rsidRPr="00D4546A">
        <w:t>The following table provides the median financial situation by tenure. The table shows for owners without a mortgage (many of them retired) that the proportion of equity and savings in overall financial capacity is around three-quarters of financial capacity. For owners with mortgages the proportion of non-income elements of financial capacity falls to around a 35%. In the case of both rented tenures, there is a negligible savings figure and no owned equity. The private rented households have a higher financial capacity than social tenants due to higher average incomes. It is clear that there is a substantial difference between the financial capacity of existing owner occupiers, and other households</w:t>
      </w:r>
      <w:r>
        <w:t>.</w:t>
      </w:r>
    </w:p>
    <w:p w14:paraId="042605DD" w14:textId="77777777" w:rsidR="00B21374" w:rsidRPr="00D4546A" w:rsidRDefault="00B21374"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ayout w:type="fixed"/>
        <w:tblLook w:val="0000" w:firstRow="0" w:lastRow="0" w:firstColumn="0" w:lastColumn="0" w:noHBand="0" w:noVBand="0"/>
      </w:tblPr>
      <w:tblGrid>
        <w:gridCol w:w="3256"/>
        <w:gridCol w:w="1235"/>
        <w:gridCol w:w="1236"/>
        <w:gridCol w:w="1236"/>
        <w:gridCol w:w="1236"/>
      </w:tblGrid>
      <w:tr w:rsidR="00B21374" w:rsidRPr="00B22FFD" w14:paraId="53C222A5" w14:textId="77777777" w:rsidTr="008469E3">
        <w:trPr>
          <w:jc w:val="center"/>
        </w:trPr>
        <w:tc>
          <w:tcPr>
            <w:tcW w:w="8199" w:type="dxa"/>
            <w:gridSpan w:val="5"/>
          </w:tcPr>
          <w:p w14:paraId="41BB914E" w14:textId="65ACCC6F" w:rsidR="00B21374" w:rsidRPr="00B22FFD" w:rsidRDefault="00B21374" w:rsidP="00500F01">
            <w:pPr>
              <w:pStyle w:val="Caption1"/>
              <w:widowControl w:val="0"/>
              <w:spacing w:before="60" w:after="60" w:line="300" w:lineRule="auto"/>
              <w:rPr>
                <w:rFonts w:ascii="Arial" w:hAnsi="Arial"/>
                <w:sz w:val="20"/>
                <w:szCs w:val="20"/>
              </w:rPr>
            </w:pPr>
            <w:r w:rsidRPr="00B22FFD">
              <w:rPr>
                <w:rFonts w:ascii="Arial" w:hAnsi="Arial"/>
                <w:sz w:val="20"/>
                <w:szCs w:val="20"/>
              </w:rPr>
              <w:t xml:space="preserve">Figure </w:t>
            </w:r>
            <w:r w:rsidR="00AD29A6">
              <w:rPr>
                <w:rFonts w:ascii="Arial" w:hAnsi="Arial"/>
                <w:sz w:val="20"/>
                <w:szCs w:val="20"/>
              </w:rPr>
              <w:t>2.11:</w:t>
            </w:r>
            <w:r w:rsidRPr="00B22FFD">
              <w:rPr>
                <w:rFonts w:ascii="Arial" w:hAnsi="Arial"/>
                <w:sz w:val="20"/>
                <w:szCs w:val="20"/>
              </w:rPr>
              <w:t xml:space="preserve"> Median financial information by tenure</w:t>
            </w:r>
          </w:p>
        </w:tc>
      </w:tr>
      <w:tr w:rsidR="00B21374" w:rsidRPr="00B22FFD" w14:paraId="72F2387C" w14:textId="77777777" w:rsidTr="008469E3">
        <w:trPr>
          <w:jc w:val="center"/>
        </w:trPr>
        <w:tc>
          <w:tcPr>
            <w:tcW w:w="3256" w:type="dxa"/>
          </w:tcPr>
          <w:p w14:paraId="59B7EE74" w14:textId="77777777" w:rsidR="00B21374" w:rsidRPr="00B22FFD" w:rsidRDefault="00B21374" w:rsidP="00500F01">
            <w:pPr>
              <w:keepNext/>
              <w:widowControl w:val="0"/>
              <w:spacing w:line="300" w:lineRule="auto"/>
              <w:rPr>
                <w:rFonts w:ascii="Arial" w:hAnsi="Arial" w:cs="Arial"/>
                <w:bCs/>
                <w:sz w:val="20"/>
                <w:szCs w:val="20"/>
              </w:rPr>
            </w:pPr>
            <w:r w:rsidRPr="00B22FFD">
              <w:rPr>
                <w:rFonts w:ascii="Arial" w:hAnsi="Arial" w:cs="Arial"/>
                <w:bCs/>
                <w:sz w:val="20"/>
                <w:szCs w:val="20"/>
              </w:rPr>
              <w:t>Tenure</w:t>
            </w:r>
          </w:p>
        </w:tc>
        <w:tc>
          <w:tcPr>
            <w:tcW w:w="1235" w:type="dxa"/>
          </w:tcPr>
          <w:p w14:paraId="0043C22B" w14:textId="77777777" w:rsidR="00B21374" w:rsidRPr="00B22FFD" w:rsidRDefault="00B21374" w:rsidP="00500F01">
            <w:pPr>
              <w:keepNext/>
              <w:widowControl w:val="0"/>
              <w:spacing w:line="300" w:lineRule="auto"/>
              <w:jc w:val="center"/>
              <w:rPr>
                <w:rFonts w:ascii="Arial" w:hAnsi="Arial" w:cs="Arial"/>
                <w:bCs/>
                <w:sz w:val="20"/>
                <w:szCs w:val="20"/>
              </w:rPr>
            </w:pPr>
            <w:r w:rsidRPr="00B22FFD">
              <w:rPr>
                <w:rFonts w:ascii="Arial" w:hAnsi="Arial" w:cs="Arial"/>
                <w:bCs/>
                <w:sz w:val="20"/>
                <w:szCs w:val="20"/>
              </w:rPr>
              <w:t>Median annual gross household income</w:t>
            </w:r>
          </w:p>
        </w:tc>
        <w:tc>
          <w:tcPr>
            <w:tcW w:w="1236" w:type="dxa"/>
          </w:tcPr>
          <w:p w14:paraId="427C9FEC" w14:textId="77777777" w:rsidR="00B21374" w:rsidRPr="00B22FFD" w:rsidRDefault="00B21374" w:rsidP="00500F01">
            <w:pPr>
              <w:keepNext/>
              <w:widowControl w:val="0"/>
              <w:spacing w:line="300" w:lineRule="auto"/>
              <w:jc w:val="center"/>
              <w:rPr>
                <w:rFonts w:ascii="Arial" w:hAnsi="Arial" w:cs="Arial"/>
                <w:bCs/>
                <w:sz w:val="20"/>
                <w:szCs w:val="20"/>
              </w:rPr>
            </w:pPr>
            <w:r w:rsidRPr="00B22FFD">
              <w:rPr>
                <w:rFonts w:ascii="Arial" w:hAnsi="Arial" w:cs="Arial"/>
                <w:bCs/>
                <w:sz w:val="20"/>
                <w:szCs w:val="20"/>
              </w:rPr>
              <w:t>Median savings</w:t>
            </w:r>
            <w:r>
              <w:rPr>
                <w:rFonts w:ascii="Arial" w:hAnsi="Arial" w:cs="Arial"/>
                <w:bCs/>
                <w:sz w:val="20"/>
                <w:szCs w:val="20"/>
              </w:rPr>
              <w:t xml:space="preserve"> (including other funds)</w:t>
            </w:r>
          </w:p>
        </w:tc>
        <w:tc>
          <w:tcPr>
            <w:tcW w:w="1236" w:type="dxa"/>
          </w:tcPr>
          <w:p w14:paraId="420FF255" w14:textId="77777777" w:rsidR="00B21374" w:rsidRPr="00B22FFD" w:rsidRDefault="00B21374" w:rsidP="00500F01">
            <w:pPr>
              <w:keepNext/>
              <w:widowControl w:val="0"/>
              <w:spacing w:line="300" w:lineRule="auto"/>
              <w:jc w:val="center"/>
              <w:rPr>
                <w:rFonts w:ascii="Arial" w:hAnsi="Arial" w:cs="Arial"/>
                <w:bCs/>
                <w:sz w:val="20"/>
                <w:szCs w:val="20"/>
              </w:rPr>
            </w:pPr>
            <w:r w:rsidRPr="00B22FFD">
              <w:rPr>
                <w:rFonts w:ascii="Arial" w:hAnsi="Arial" w:cs="Arial"/>
                <w:bCs/>
                <w:sz w:val="20"/>
                <w:szCs w:val="20"/>
              </w:rPr>
              <w:t>Median equity</w:t>
            </w:r>
          </w:p>
        </w:tc>
        <w:tc>
          <w:tcPr>
            <w:tcW w:w="1236" w:type="dxa"/>
          </w:tcPr>
          <w:p w14:paraId="78D087AF" w14:textId="77777777" w:rsidR="00B21374" w:rsidRPr="00B22FFD" w:rsidRDefault="00B21374" w:rsidP="00500F01">
            <w:pPr>
              <w:keepNext/>
              <w:widowControl w:val="0"/>
              <w:spacing w:line="300" w:lineRule="auto"/>
              <w:jc w:val="center"/>
              <w:rPr>
                <w:rFonts w:ascii="Arial" w:hAnsi="Arial" w:cs="Arial"/>
                <w:bCs/>
                <w:sz w:val="20"/>
                <w:szCs w:val="20"/>
              </w:rPr>
            </w:pPr>
            <w:r w:rsidRPr="00B22FFD">
              <w:rPr>
                <w:rFonts w:ascii="Arial" w:hAnsi="Arial" w:cs="Arial"/>
                <w:bCs/>
                <w:sz w:val="20"/>
                <w:szCs w:val="20"/>
              </w:rPr>
              <w:t>Potential access to funds</w:t>
            </w:r>
          </w:p>
        </w:tc>
      </w:tr>
      <w:tr w:rsidR="00B21374" w:rsidRPr="00B22FFD" w14:paraId="0435ACBD" w14:textId="77777777" w:rsidTr="008469E3">
        <w:trPr>
          <w:jc w:val="center"/>
        </w:trPr>
        <w:tc>
          <w:tcPr>
            <w:tcW w:w="3256" w:type="dxa"/>
          </w:tcPr>
          <w:p w14:paraId="516DED40" w14:textId="77777777" w:rsidR="00B21374" w:rsidRPr="00B22FFD" w:rsidRDefault="00B21374" w:rsidP="00500F01">
            <w:pPr>
              <w:keepNext/>
              <w:widowControl w:val="0"/>
              <w:spacing w:line="300" w:lineRule="auto"/>
              <w:rPr>
                <w:rFonts w:ascii="Arial" w:hAnsi="Arial" w:cs="Arial"/>
                <w:bCs/>
                <w:sz w:val="20"/>
                <w:szCs w:val="20"/>
              </w:rPr>
            </w:pPr>
            <w:r w:rsidRPr="00B22FFD">
              <w:rPr>
                <w:rFonts w:ascii="Arial" w:hAnsi="Arial" w:cs="Arial"/>
                <w:bCs/>
                <w:sz w:val="20"/>
                <w:szCs w:val="20"/>
              </w:rPr>
              <w:t>Owner-occupied (no mortgage)</w:t>
            </w:r>
          </w:p>
        </w:tc>
        <w:tc>
          <w:tcPr>
            <w:tcW w:w="1235" w:type="dxa"/>
          </w:tcPr>
          <w:p w14:paraId="01338200"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£29,800</w:t>
            </w:r>
          </w:p>
        </w:tc>
        <w:tc>
          <w:tcPr>
            <w:tcW w:w="1236" w:type="dxa"/>
          </w:tcPr>
          <w:p w14:paraId="300EF3FF"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£49,500</w:t>
            </w:r>
          </w:p>
        </w:tc>
        <w:tc>
          <w:tcPr>
            <w:tcW w:w="1236" w:type="dxa"/>
          </w:tcPr>
          <w:p w14:paraId="48B347BE"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£236,900</w:t>
            </w:r>
          </w:p>
        </w:tc>
        <w:tc>
          <w:tcPr>
            <w:tcW w:w="1236" w:type="dxa"/>
          </w:tcPr>
          <w:p w14:paraId="20D41BA8"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£405,800</w:t>
            </w:r>
          </w:p>
        </w:tc>
      </w:tr>
      <w:tr w:rsidR="00B21374" w:rsidRPr="00B22FFD" w14:paraId="3035063A" w14:textId="77777777" w:rsidTr="008469E3">
        <w:trPr>
          <w:jc w:val="center"/>
        </w:trPr>
        <w:tc>
          <w:tcPr>
            <w:tcW w:w="3256" w:type="dxa"/>
          </w:tcPr>
          <w:p w14:paraId="1A3084B0" w14:textId="77777777" w:rsidR="00B21374" w:rsidRPr="00B22FFD" w:rsidRDefault="00B21374" w:rsidP="00500F01">
            <w:pPr>
              <w:keepNext/>
              <w:widowControl w:val="0"/>
              <w:spacing w:line="300" w:lineRule="auto"/>
              <w:rPr>
                <w:rFonts w:ascii="Arial" w:hAnsi="Arial" w:cs="Arial"/>
                <w:bCs/>
                <w:sz w:val="20"/>
                <w:szCs w:val="20"/>
              </w:rPr>
            </w:pPr>
            <w:r w:rsidRPr="00B22FFD">
              <w:rPr>
                <w:rFonts w:ascii="Arial" w:hAnsi="Arial" w:cs="Arial"/>
                <w:bCs/>
                <w:sz w:val="20"/>
                <w:szCs w:val="20"/>
              </w:rPr>
              <w:t>Owner-occupied (with mortgage)</w:t>
            </w:r>
          </w:p>
        </w:tc>
        <w:tc>
          <w:tcPr>
            <w:tcW w:w="1235" w:type="dxa"/>
          </w:tcPr>
          <w:p w14:paraId="525F05FD"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£53,200</w:t>
            </w:r>
          </w:p>
        </w:tc>
        <w:tc>
          <w:tcPr>
            <w:tcW w:w="1236" w:type="dxa"/>
          </w:tcPr>
          <w:p w14:paraId="2275A1A4"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£1,400</w:t>
            </w:r>
          </w:p>
        </w:tc>
        <w:tc>
          <w:tcPr>
            <w:tcW w:w="1236" w:type="dxa"/>
          </w:tcPr>
          <w:p w14:paraId="15C6C52E"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£110,900</w:t>
            </w:r>
          </w:p>
        </w:tc>
        <w:tc>
          <w:tcPr>
            <w:tcW w:w="1236" w:type="dxa"/>
          </w:tcPr>
          <w:p w14:paraId="05873CD2"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£325,100</w:t>
            </w:r>
          </w:p>
        </w:tc>
      </w:tr>
      <w:tr w:rsidR="00B21374" w:rsidRPr="00B22FFD" w14:paraId="245FF89B" w14:textId="77777777" w:rsidTr="008469E3">
        <w:trPr>
          <w:jc w:val="center"/>
        </w:trPr>
        <w:tc>
          <w:tcPr>
            <w:tcW w:w="3256" w:type="dxa"/>
          </w:tcPr>
          <w:p w14:paraId="7D3CB2E9" w14:textId="77777777" w:rsidR="00B21374" w:rsidRPr="00B22FFD" w:rsidRDefault="00B21374" w:rsidP="00500F01">
            <w:pPr>
              <w:keepNext/>
              <w:widowControl w:val="0"/>
              <w:spacing w:line="300" w:lineRule="auto"/>
              <w:rPr>
                <w:rFonts w:ascii="Arial" w:hAnsi="Arial" w:cs="Arial"/>
                <w:bCs/>
                <w:sz w:val="20"/>
                <w:szCs w:val="20"/>
              </w:rPr>
            </w:pPr>
            <w:r w:rsidRPr="00B22FFD">
              <w:rPr>
                <w:rFonts w:ascii="Arial" w:hAnsi="Arial" w:cs="Arial"/>
                <w:bCs/>
                <w:sz w:val="20"/>
                <w:szCs w:val="20"/>
              </w:rPr>
              <w:t>Social rented</w:t>
            </w:r>
          </w:p>
        </w:tc>
        <w:tc>
          <w:tcPr>
            <w:tcW w:w="1235" w:type="dxa"/>
          </w:tcPr>
          <w:p w14:paraId="1CA89EAA"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£14,000</w:t>
            </w:r>
          </w:p>
        </w:tc>
        <w:tc>
          <w:tcPr>
            <w:tcW w:w="1236" w:type="dxa"/>
          </w:tcPr>
          <w:p w14:paraId="0BDBA9B7"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-£900</w:t>
            </w:r>
          </w:p>
        </w:tc>
        <w:tc>
          <w:tcPr>
            <w:tcW w:w="1236" w:type="dxa"/>
          </w:tcPr>
          <w:p w14:paraId="050A8FAD"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£0</w:t>
            </w:r>
          </w:p>
        </w:tc>
        <w:tc>
          <w:tcPr>
            <w:tcW w:w="1236" w:type="dxa"/>
          </w:tcPr>
          <w:p w14:paraId="01368A30"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£55,100</w:t>
            </w:r>
          </w:p>
        </w:tc>
      </w:tr>
      <w:tr w:rsidR="00B21374" w:rsidRPr="00B22FFD" w14:paraId="2A7CCFAF" w14:textId="77777777" w:rsidTr="008469E3">
        <w:trPr>
          <w:jc w:val="center"/>
        </w:trPr>
        <w:tc>
          <w:tcPr>
            <w:tcW w:w="3256" w:type="dxa"/>
          </w:tcPr>
          <w:p w14:paraId="10D10963" w14:textId="77777777" w:rsidR="00B21374" w:rsidRPr="00B22FFD" w:rsidRDefault="00B21374" w:rsidP="00500F01">
            <w:pPr>
              <w:keepNext/>
              <w:widowControl w:val="0"/>
              <w:spacing w:line="300" w:lineRule="auto"/>
              <w:rPr>
                <w:rFonts w:ascii="Arial" w:hAnsi="Arial" w:cs="Arial"/>
                <w:bCs/>
                <w:sz w:val="20"/>
                <w:szCs w:val="20"/>
              </w:rPr>
            </w:pPr>
            <w:r w:rsidRPr="00B22FFD">
              <w:rPr>
                <w:rFonts w:ascii="Arial" w:hAnsi="Arial" w:cs="Arial"/>
                <w:bCs/>
                <w:sz w:val="20"/>
                <w:szCs w:val="20"/>
              </w:rPr>
              <w:t>Private rented</w:t>
            </w:r>
          </w:p>
        </w:tc>
        <w:tc>
          <w:tcPr>
            <w:tcW w:w="1235" w:type="dxa"/>
          </w:tcPr>
          <w:p w14:paraId="3E61C6FC"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£18,200</w:t>
            </w:r>
          </w:p>
        </w:tc>
        <w:tc>
          <w:tcPr>
            <w:tcW w:w="1236" w:type="dxa"/>
          </w:tcPr>
          <w:p w14:paraId="481B9397"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-£300</w:t>
            </w:r>
          </w:p>
        </w:tc>
        <w:tc>
          <w:tcPr>
            <w:tcW w:w="1236" w:type="dxa"/>
          </w:tcPr>
          <w:p w14:paraId="64F9E883"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£0</w:t>
            </w:r>
          </w:p>
        </w:tc>
        <w:tc>
          <w:tcPr>
            <w:tcW w:w="1236" w:type="dxa"/>
          </w:tcPr>
          <w:p w14:paraId="6259CF91"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£72,300</w:t>
            </w:r>
          </w:p>
        </w:tc>
      </w:tr>
      <w:tr w:rsidR="00B21374" w:rsidRPr="00B22FFD" w14:paraId="738794F8" w14:textId="77777777" w:rsidTr="008469E3">
        <w:trPr>
          <w:jc w:val="center"/>
        </w:trPr>
        <w:tc>
          <w:tcPr>
            <w:tcW w:w="3256" w:type="dxa"/>
          </w:tcPr>
          <w:p w14:paraId="11383688" w14:textId="77777777" w:rsidR="00B21374" w:rsidRPr="00B22FFD" w:rsidRDefault="00B21374" w:rsidP="00500F01">
            <w:pPr>
              <w:keepNext/>
              <w:widowControl w:val="0"/>
              <w:spacing w:line="300" w:lineRule="auto"/>
              <w:rPr>
                <w:rFonts w:ascii="Arial" w:hAnsi="Arial" w:cs="Arial"/>
                <w:bCs/>
                <w:sz w:val="20"/>
                <w:szCs w:val="20"/>
              </w:rPr>
            </w:pPr>
            <w:r w:rsidRPr="00B22FFD">
              <w:rPr>
                <w:rFonts w:ascii="Arial" w:hAnsi="Arial" w:cs="Arial"/>
                <w:bCs/>
                <w:sz w:val="20"/>
                <w:szCs w:val="20"/>
              </w:rPr>
              <w:t>Average</w:t>
            </w:r>
          </w:p>
        </w:tc>
        <w:tc>
          <w:tcPr>
            <w:tcW w:w="1235" w:type="dxa"/>
          </w:tcPr>
          <w:p w14:paraId="3490BD99"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£30,400</w:t>
            </w:r>
          </w:p>
        </w:tc>
        <w:tc>
          <w:tcPr>
            <w:tcW w:w="1236" w:type="dxa"/>
          </w:tcPr>
          <w:p w14:paraId="2FC66748"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£4,200</w:t>
            </w:r>
          </w:p>
        </w:tc>
        <w:tc>
          <w:tcPr>
            <w:tcW w:w="1236" w:type="dxa"/>
          </w:tcPr>
          <w:p w14:paraId="697500AF"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£126,900</w:t>
            </w:r>
          </w:p>
        </w:tc>
        <w:tc>
          <w:tcPr>
            <w:tcW w:w="1236" w:type="dxa"/>
          </w:tcPr>
          <w:p w14:paraId="48A81702" w14:textId="77777777" w:rsidR="00B21374" w:rsidRPr="00626358" w:rsidRDefault="00B21374" w:rsidP="00500F01">
            <w:pPr>
              <w:keepNext/>
              <w:spacing w:line="300" w:lineRule="auto"/>
              <w:jc w:val="center"/>
              <w:rPr>
                <w:rFonts w:ascii="Arial" w:hAnsi="Arial" w:cs="Arial"/>
                <w:sz w:val="20"/>
                <w:szCs w:val="20"/>
              </w:rPr>
            </w:pPr>
            <w:r w:rsidRPr="00626358">
              <w:rPr>
                <w:rFonts w:ascii="Arial" w:hAnsi="Arial" w:cs="Arial"/>
                <w:color w:val="000000"/>
                <w:sz w:val="20"/>
                <w:szCs w:val="20"/>
              </w:rPr>
              <w:t>£252,600</w:t>
            </w:r>
          </w:p>
        </w:tc>
      </w:tr>
    </w:tbl>
    <w:p w14:paraId="336AE7DA" w14:textId="51B3157A" w:rsidR="00B21374" w:rsidRPr="00EA5668" w:rsidRDefault="00AB789F" w:rsidP="00500F01">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076F7FD7" w14:textId="77777777" w:rsidR="008D7085" w:rsidRPr="008D7085" w:rsidRDefault="008D7085" w:rsidP="00172F56">
      <w:pPr>
        <w:pStyle w:val="11Bodytext"/>
        <w:numPr>
          <w:ilvl w:val="0"/>
          <w:numId w:val="0"/>
        </w:numPr>
        <w:spacing w:before="0" w:after="0" w:line="300" w:lineRule="auto"/>
        <w:rPr>
          <w:color w:val="auto"/>
        </w:rPr>
      </w:pPr>
    </w:p>
    <w:p w14:paraId="5B88201D" w14:textId="318A119D" w:rsidR="008D7085" w:rsidRPr="008D7085" w:rsidRDefault="008D7085">
      <w:pPr>
        <w:pStyle w:val="11Bodytext"/>
        <w:numPr>
          <w:ilvl w:val="1"/>
          <w:numId w:val="32"/>
        </w:numPr>
        <w:spacing w:before="0" w:after="0" w:line="300" w:lineRule="auto"/>
        <w:ind w:left="720" w:hanging="720"/>
        <w:rPr>
          <w:color w:val="auto"/>
        </w:rPr>
      </w:pPr>
      <w:r w:rsidRPr="00D4546A">
        <w:t>When compared with the price of entry level purchase housing which is around £155,000 (lower quartile), it is clear that a large majority of renting households will be unable to access full scale equity ownership. Of course</w:t>
      </w:r>
      <w:r w:rsidR="009D76D4">
        <w:t>,</w:t>
      </w:r>
      <w:r w:rsidRPr="00D4546A">
        <w:t xml:space="preserve"> within the broad private renting group in particular there will be households on much higher incomes who can consider purchase</w:t>
      </w:r>
      <w:r>
        <w:t>.</w:t>
      </w:r>
    </w:p>
    <w:p w14:paraId="1044DD8B" w14:textId="577591DD" w:rsidR="008D7085" w:rsidRDefault="008D7085" w:rsidP="00172F56">
      <w:pPr>
        <w:pStyle w:val="Reporttext0"/>
        <w:keepLines w:val="0"/>
        <w:widowControl w:val="0"/>
        <w:numPr>
          <w:ilvl w:val="0"/>
          <w:numId w:val="0"/>
        </w:numPr>
        <w:spacing w:line="300" w:lineRule="auto"/>
        <w:jc w:val="both"/>
        <w:rPr>
          <w:rFonts w:ascii="Arial" w:hAnsi="Arial" w:cs="Arial"/>
          <w:sz w:val="20"/>
        </w:rPr>
      </w:pPr>
    </w:p>
    <w:p w14:paraId="591B6ED5" w14:textId="1B5C1D53" w:rsidR="008D7085" w:rsidRPr="007236BD" w:rsidRDefault="008D7085" w:rsidP="00172F56">
      <w:pPr>
        <w:spacing w:line="300" w:lineRule="auto"/>
        <w:jc w:val="both"/>
        <w:rPr>
          <w:rFonts w:ascii="Arial" w:hAnsi="Arial" w:cs="Arial"/>
          <w:b/>
          <w:lang w:eastAsia="ja-JP"/>
        </w:rPr>
      </w:pPr>
      <w:r>
        <w:rPr>
          <w:rFonts w:ascii="Arial" w:hAnsi="Arial" w:cs="Arial"/>
          <w:b/>
          <w:lang w:eastAsia="ja-JP"/>
        </w:rPr>
        <w:t>The Affordability of Housing in Fylde</w:t>
      </w:r>
    </w:p>
    <w:p w14:paraId="0C77D3F3" w14:textId="77777777" w:rsidR="008D7085" w:rsidRPr="002143DA" w:rsidRDefault="008D7085" w:rsidP="00172F56">
      <w:pPr>
        <w:spacing w:line="300" w:lineRule="auto"/>
        <w:jc w:val="both"/>
        <w:rPr>
          <w:rFonts w:ascii="Arial" w:hAnsi="Arial" w:cs="Arial"/>
          <w:sz w:val="20"/>
          <w:szCs w:val="20"/>
          <w:lang w:eastAsia="ja-JP"/>
        </w:rPr>
      </w:pPr>
    </w:p>
    <w:p w14:paraId="5FCBC35D" w14:textId="5684A37C" w:rsidR="00B21374" w:rsidRPr="008D7085" w:rsidRDefault="00B21374">
      <w:pPr>
        <w:pStyle w:val="11Bodytext"/>
        <w:numPr>
          <w:ilvl w:val="1"/>
          <w:numId w:val="32"/>
        </w:numPr>
        <w:spacing w:before="0" w:after="0" w:line="300" w:lineRule="auto"/>
        <w:ind w:left="720" w:hanging="720"/>
        <w:rPr>
          <w:color w:val="auto"/>
        </w:rPr>
      </w:pPr>
      <w:r w:rsidRPr="008D7085">
        <w:t>The information presented so far in this section has considered the median values of the various financial data for households within a range of groups of the population. Variations exist within these household groups and the survey dataset contains an estimate of the overall financial capacity of each household in the study area. This information can be used to examine the ability of households to afford housing locally taking into account the full range of financial resources available to them, rather than just income as is used in the standard affordability ratios. The affordability criteria used can be summarised as:</w:t>
      </w:r>
    </w:p>
    <w:p w14:paraId="2712B65B" w14:textId="77777777" w:rsidR="00B21374" w:rsidRPr="00D4546A" w:rsidRDefault="00B21374" w:rsidP="00172F56">
      <w:pPr>
        <w:pStyle w:val="Reporttext0"/>
        <w:keepLines w:val="0"/>
        <w:widowControl w:val="0"/>
        <w:numPr>
          <w:ilvl w:val="0"/>
          <w:numId w:val="0"/>
        </w:numPr>
        <w:spacing w:line="300" w:lineRule="auto"/>
        <w:jc w:val="both"/>
        <w:rPr>
          <w:rFonts w:ascii="Arial" w:hAnsi="Arial" w:cs="Arial"/>
          <w:sz w:val="20"/>
        </w:rPr>
      </w:pPr>
    </w:p>
    <w:p w14:paraId="13EA864C" w14:textId="2C023BCA" w:rsidR="00B21374" w:rsidRPr="00D4546A" w:rsidRDefault="00B21374">
      <w:pPr>
        <w:pStyle w:val="Reporttext0"/>
        <w:keepLines w:val="0"/>
        <w:widowControl w:val="0"/>
        <w:numPr>
          <w:ilvl w:val="0"/>
          <w:numId w:val="33"/>
        </w:numPr>
        <w:spacing w:line="300" w:lineRule="auto"/>
        <w:ind w:right="720"/>
        <w:jc w:val="both"/>
        <w:rPr>
          <w:rFonts w:ascii="Arial" w:hAnsi="Arial" w:cs="Arial"/>
          <w:sz w:val="20"/>
        </w:rPr>
      </w:pPr>
      <w:r w:rsidRPr="0F7997BD">
        <w:rPr>
          <w:rFonts w:ascii="Arial" w:hAnsi="Arial" w:cs="Arial"/>
          <w:sz w:val="20"/>
        </w:rPr>
        <w:t>Assessing whether a household can afford home ownership - A household is considered able to afford to buy a home if the residual cost is no more than 4 times the gross household income. The residual cost is calculated by deducting any capital that is available for use towards home ownership (e.g. savings or equity) from the overall cost of the home.</w:t>
      </w:r>
      <w:r w:rsidR="00C876AC">
        <w:rPr>
          <w:rStyle w:val="FootnoteReference"/>
          <w:rFonts w:ascii="Arial" w:hAnsi="Arial" w:cs="Arial"/>
          <w:sz w:val="20"/>
        </w:rPr>
        <w:footnoteReference w:id="8"/>
      </w:r>
    </w:p>
    <w:p w14:paraId="272EBECB" w14:textId="77777777" w:rsidR="00B21374" w:rsidRPr="00D4546A" w:rsidRDefault="00B21374" w:rsidP="00172F56">
      <w:pPr>
        <w:pStyle w:val="NormalWeb"/>
        <w:widowControl w:val="0"/>
        <w:spacing w:before="0" w:after="0"/>
        <w:ind w:right="720"/>
        <w:jc w:val="both"/>
        <w:rPr>
          <w:rFonts w:ascii="Arial" w:hAnsi="Arial" w:cs="Arial"/>
          <w:iCs/>
          <w:sz w:val="20"/>
          <w:szCs w:val="20"/>
        </w:rPr>
      </w:pPr>
    </w:p>
    <w:p w14:paraId="475A3987" w14:textId="629E4617" w:rsidR="00B21374" w:rsidRPr="008D7085" w:rsidRDefault="00B21374">
      <w:pPr>
        <w:pStyle w:val="ListParagraph"/>
        <w:widowControl w:val="0"/>
        <w:numPr>
          <w:ilvl w:val="0"/>
          <w:numId w:val="33"/>
        </w:numPr>
        <w:spacing w:line="300" w:lineRule="auto"/>
        <w:ind w:right="720"/>
        <w:jc w:val="both"/>
        <w:rPr>
          <w:rFonts w:ascii="Arial" w:hAnsi="Arial" w:cs="Arial"/>
          <w:sz w:val="20"/>
          <w:szCs w:val="20"/>
        </w:rPr>
      </w:pPr>
      <w:r w:rsidRPr="0F7997BD">
        <w:rPr>
          <w:rFonts w:ascii="Arial" w:hAnsi="Arial" w:cs="Arial"/>
          <w:sz w:val="20"/>
          <w:szCs w:val="20"/>
        </w:rPr>
        <w:t>Assessing whether a household can afford market renting - A household is considered able to afford market rented housing in cases where the rent payable would constitute no more than 30% of gross income</w:t>
      </w:r>
      <w:r w:rsidR="00C876AC">
        <w:rPr>
          <w:rStyle w:val="FootnoteReference"/>
          <w:rFonts w:ascii="Arial" w:hAnsi="Arial" w:cs="Arial"/>
          <w:sz w:val="20"/>
          <w:szCs w:val="20"/>
        </w:rPr>
        <w:footnoteReference w:id="9"/>
      </w:r>
      <w:r w:rsidRPr="0F7997BD">
        <w:rPr>
          <w:rFonts w:ascii="Arial" w:hAnsi="Arial" w:cs="Arial"/>
          <w:sz w:val="20"/>
          <w:szCs w:val="20"/>
        </w:rPr>
        <w:t>.</w:t>
      </w:r>
    </w:p>
    <w:p w14:paraId="5F218873" w14:textId="2EE0A6D4" w:rsidR="008D7085" w:rsidRDefault="008D7085">
      <w:pPr>
        <w:spacing w:line="300" w:lineRule="auto"/>
        <w:jc w:val="both"/>
        <w:rPr>
          <w:rFonts w:ascii="Arial" w:hAnsi="Arial" w:cs="Arial"/>
          <w:sz w:val="20"/>
          <w:szCs w:val="20"/>
          <w:lang w:eastAsia="ja-JP"/>
        </w:rPr>
      </w:pPr>
    </w:p>
    <w:p w14:paraId="7B6CD6E6" w14:textId="6B45DE04" w:rsidR="00177D13" w:rsidRDefault="00177D13">
      <w:pPr>
        <w:spacing w:line="300" w:lineRule="auto"/>
        <w:jc w:val="both"/>
        <w:rPr>
          <w:rFonts w:ascii="Arial" w:hAnsi="Arial" w:cs="Arial"/>
          <w:sz w:val="20"/>
          <w:szCs w:val="20"/>
          <w:lang w:eastAsia="ja-JP"/>
        </w:rPr>
      </w:pPr>
    </w:p>
    <w:p w14:paraId="726342A6" w14:textId="5DC02B68" w:rsidR="00177D13" w:rsidRDefault="00177D13">
      <w:pPr>
        <w:spacing w:line="300" w:lineRule="auto"/>
        <w:jc w:val="both"/>
        <w:rPr>
          <w:rFonts w:ascii="Arial" w:hAnsi="Arial" w:cs="Arial"/>
          <w:sz w:val="20"/>
          <w:szCs w:val="20"/>
          <w:lang w:eastAsia="ja-JP"/>
        </w:rPr>
      </w:pPr>
    </w:p>
    <w:p w14:paraId="304E28EC" w14:textId="0C50FDBD" w:rsidR="00177D13" w:rsidRDefault="00177D13">
      <w:pPr>
        <w:spacing w:line="300" w:lineRule="auto"/>
        <w:jc w:val="both"/>
        <w:rPr>
          <w:rFonts w:ascii="Arial" w:hAnsi="Arial" w:cs="Arial"/>
          <w:sz w:val="20"/>
          <w:szCs w:val="20"/>
          <w:lang w:eastAsia="ja-JP"/>
        </w:rPr>
      </w:pPr>
    </w:p>
    <w:p w14:paraId="1A22E15A" w14:textId="77777777" w:rsidR="00177D13" w:rsidRPr="002143DA" w:rsidRDefault="00177D13" w:rsidP="00172F56">
      <w:pPr>
        <w:spacing w:line="300" w:lineRule="auto"/>
        <w:jc w:val="both"/>
        <w:rPr>
          <w:rFonts w:ascii="Arial" w:hAnsi="Arial" w:cs="Arial"/>
          <w:sz w:val="20"/>
          <w:szCs w:val="20"/>
          <w:lang w:eastAsia="ja-JP"/>
        </w:rPr>
      </w:pPr>
    </w:p>
    <w:p w14:paraId="0827F400" w14:textId="14EB1FAA" w:rsidR="00B21374" w:rsidRPr="008D7085" w:rsidRDefault="00B21374">
      <w:pPr>
        <w:pStyle w:val="11Bodytext"/>
        <w:numPr>
          <w:ilvl w:val="1"/>
          <w:numId w:val="32"/>
        </w:numPr>
        <w:spacing w:before="0" w:after="0" w:line="300" w:lineRule="auto"/>
        <w:ind w:left="720" w:hanging="720"/>
        <w:rPr>
          <w:color w:val="auto"/>
        </w:rPr>
      </w:pPr>
      <w:r w:rsidRPr="008D7085">
        <w:t>This test means that it is possible to distinguish whether a household would be able to afford either form of market housing (to buy or privately rent) or whether they would require affordable accommodation based on these income multiples.</w:t>
      </w:r>
      <w:r w:rsidR="00C876AC">
        <w:t xml:space="preserve"> The analysis takes account of differing prices and rents in different parts of the Borough (based on household’s current residence) – so for example a household living in Rural West would need a higher income to be considered as able to rent housing compared to a similar household in </w:t>
      </w:r>
      <w:r w:rsidR="00931AE7">
        <w:t>St. Annes</w:t>
      </w:r>
      <w:r w:rsidR="00C876AC">
        <w:t>.</w:t>
      </w:r>
    </w:p>
    <w:p w14:paraId="0ED0E9F1" w14:textId="77777777" w:rsidR="008D7085" w:rsidRPr="008D7085" w:rsidRDefault="008D7085" w:rsidP="00172F56">
      <w:pPr>
        <w:pStyle w:val="11Bodytext"/>
        <w:numPr>
          <w:ilvl w:val="0"/>
          <w:numId w:val="0"/>
        </w:numPr>
        <w:spacing w:before="0" w:after="0" w:line="300" w:lineRule="auto"/>
        <w:rPr>
          <w:color w:val="auto"/>
        </w:rPr>
      </w:pPr>
    </w:p>
    <w:p w14:paraId="45CA9E3B" w14:textId="5254CECD" w:rsidR="00B21374" w:rsidRPr="008D7085" w:rsidRDefault="00B21374">
      <w:pPr>
        <w:pStyle w:val="11Bodytext"/>
        <w:numPr>
          <w:ilvl w:val="1"/>
          <w:numId w:val="32"/>
        </w:numPr>
        <w:spacing w:before="0" w:after="0" w:line="300" w:lineRule="auto"/>
        <w:ind w:left="720" w:hanging="720"/>
        <w:rPr>
          <w:color w:val="auto"/>
        </w:rPr>
      </w:pPr>
      <w:r w:rsidRPr="008D7085">
        <w:t xml:space="preserve">The table below shows the current affordability of market housing by household type. This is the theoretical affordability of households as the analysis considers all households in the </w:t>
      </w:r>
      <w:r w:rsidR="00432414">
        <w:t>Borough</w:t>
      </w:r>
      <w:r w:rsidRPr="008D7085">
        <w:t xml:space="preserve"> and does not take into account their intention </w:t>
      </w:r>
      <w:r w:rsidR="009D76D4">
        <w:t>to move home</w:t>
      </w:r>
      <w:r w:rsidRPr="008D7085">
        <w:t>.</w:t>
      </w:r>
    </w:p>
    <w:p w14:paraId="012FFB75" w14:textId="77777777" w:rsidR="008D7085" w:rsidRPr="008D7085" w:rsidRDefault="008D7085" w:rsidP="00172F56">
      <w:pPr>
        <w:pStyle w:val="11Bodytext"/>
        <w:numPr>
          <w:ilvl w:val="0"/>
          <w:numId w:val="0"/>
        </w:numPr>
        <w:spacing w:before="0" w:after="0" w:line="300" w:lineRule="auto"/>
        <w:rPr>
          <w:color w:val="auto"/>
        </w:rPr>
      </w:pPr>
    </w:p>
    <w:p w14:paraId="6F792469" w14:textId="5AB97302" w:rsidR="00B21374" w:rsidRPr="008D7085" w:rsidRDefault="00B21374">
      <w:pPr>
        <w:pStyle w:val="11Bodytext"/>
        <w:numPr>
          <w:ilvl w:val="1"/>
          <w:numId w:val="32"/>
        </w:numPr>
        <w:spacing w:before="0" w:after="0" w:line="300" w:lineRule="auto"/>
        <w:ind w:left="720" w:hanging="720"/>
        <w:rPr>
          <w:color w:val="auto"/>
        </w:rPr>
      </w:pPr>
      <w:r w:rsidRPr="008D7085">
        <w:t>The table shows that overall</w:t>
      </w:r>
      <w:r w:rsidR="009D76D4">
        <w:t>,</w:t>
      </w:r>
      <w:r w:rsidRPr="008D7085">
        <w:t xml:space="preserve"> around a fifth of households in the </w:t>
      </w:r>
      <w:r w:rsidR="00432414">
        <w:t>Borough</w:t>
      </w:r>
      <w:r w:rsidRPr="008D7085">
        <w:t xml:space="preserve"> are unable to afford market housing without the need for some form of subsidy. Within this we see that 45% of lone parent households are unable to afford market housing compared with 6% of childless couples and around 9% of larger pensioner households.</w:t>
      </w:r>
    </w:p>
    <w:p w14:paraId="1576B407" w14:textId="77777777" w:rsidR="00B21374" w:rsidRPr="00D4546A" w:rsidRDefault="00B21374"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ayout w:type="fixed"/>
        <w:tblLook w:val="01E0" w:firstRow="1" w:lastRow="1" w:firstColumn="1" w:lastColumn="1" w:noHBand="0" w:noVBand="0"/>
      </w:tblPr>
      <w:tblGrid>
        <w:gridCol w:w="2701"/>
        <w:gridCol w:w="1832"/>
        <w:gridCol w:w="1833"/>
        <w:gridCol w:w="1833"/>
      </w:tblGrid>
      <w:tr w:rsidR="00C876AC" w:rsidRPr="00C876AC" w14:paraId="43615CF4" w14:textId="77777777" w:rsidTr="008469E3">
        <w:trPr>
          <w:jc w:val="center"/>
        </w:trPr>
        <w:tc>
          <w:tcPr>
            <w:tcW w:w="8199" w:type="dxa"/>
            <w:gridSpan w:val="4"/>
          </w:tcPr>
          <w:p w14:paraId="05E528F8" w14:textId="1A8E6637" w:rsidR="00B21374" w:rsidRPr="00C876AC" w:rsidRDefault="00B21374" w:rsidP="00172F56">
            <w:pPr>
              <w:pStyle w:val="Caption1"/>
              <w:widowControl w:val="0"/>
              <w:spacing w:before="0" w:after="0" w:line="300" w:lineRule="auto"/>
              <w:rPr>
                <w:rFonts w:ascii="Arial" w:hAnsi="Arial"/>
                <w:sz w:val="20"/>
                <w:szCs w:val="20"/>
              </w:rPr>
            </w:pPr>
            <w:r w:rsidRPr="00C876AC">
              <w:rPr>
                <w:rFonts w:ascii="Arial" w:hAnsi="Arial"/>
                <w:sz w:val="20"/>
                <w:szCs w:val="20"/>
              </w:rPr>
              <w:t xml:space="preserve">Figure </w:t>
            </w:r>
            <w:r w:rsidR="00AD29A6" w:rsidRPr="00C876AC">
              <w:rPr>
                <w:rFonts w:ascii="Arial" w:hAnsi="Arial"/>
                <w:sz w:val="20"/>
                <w:szCs w:val="20"/>
              </w:rPr>
              <w:t>2.12:</w:t>
            </w:r>
            <w:r w:rsidRPr="00C876AC">
              <w:rPr>
                <w:rFonts w:ascii="Arial" w:hAnsi="Arial"/>
                <w:sz w:val="20"/>
                <w:szCs w:val="20"/>
              </w:rPr>
              <w:t xml:space="preserve"> </w:t>
            </w:r>
            <w:r w:rsidR="00C876AC">
              <w:rPr>
                <w:rFonts w:ascii="Arial" w:hAnsi="Arial"/>
                <w:sz w:val="20"/>
                <w:szCs w:val="20"/>
              </w:rPr>
              <w:t>H</w:t>
            </w:r>
            <w:r w:rsidR="00C876AC" w:rsidRPr="00172F56">
              <w:rPr>
                <w:rFonts w:ascii="Arial" w:hAnsi="Arial"/>
                <w:sz w:val="20"/>
              </w:rPr>
              <w:t>ouseholds unable to afford</w:t>
            </w:r>
            <w:r w:rsidR="00C876AC" w:rsidRPr="00C876AC">
              <w:rPr>
                <w:rFonts w:ascii="Arial" w:hAnsi="Arial"/>
                <w:sz w:val="20"/>
              </w:rPr>
              <w:t xml:space="preserve"> market housing (to buy OR rent)</w:t>
            </w:r>
            <w:r w:rsidR="00C876AC" w:rsidRPr="00172F56">
              <w:rPr>
                <w:rFonts w:ascii="Arial" w:hAnsi="Arial"/>
                <w:sz w:val="20"/>
              </w:rPr>
              <w:t xml:space="preserve"> </w:t>
            </w:r>
            <w:r w:rsidR="00C876AC" w:rsidRPr="00C876AC">
              <w:rPr>
                <w:rFonts w:ascii="Arial" w:hAnsi="Arial"/>
                <w:sz w:val="20"/>
              </w:rPr>
              <w:t xml:space="preserve">by </w:t>
            </w:r>
            <w:r w:rsidRPr="00C876AC">
              <w:rPr>
                <w:rFonts w:ascii="Arial" w:hAnsi="Arial"/>
                <w:sz w:val="20"/>
                <w:szCs w:val="20"/>
              </w:rPr>
              <w:t>household type</w:t>
            </w:r>
          </w:p>
        </w:tc>
      </w:tr>
      <w:tr w:rsidR="00B21374" w:rsidRPr="00120FB5" w14:paraId="527C4022" w14:textId="77777777" w:rsidTr="008469E3">
        <w:trPr>
          <w:jc w:val="center"/>
        </w:trPr>
        <w:tc>
          <w:tcPr>
            <w:tcW w:w="2701" w:type="dxa"/>
            <w:vMerge w:val="restart"/>
          </w:tcPr>
          <w:p w14:paraId="0937D296" w14:textId="77777777" w:rsidR="00B21374" w:rsidRPr="00120FB5" w:rsidRDefault="00B21374" w:rsidP="00500F01">
            <w:pPr>
              <w:keepNext/>
              <w:widowControl w:val="0"/>
              <w:spacing w:line="300" w:lineRule="auto"/>
              <w:rPr>
                <w:rFonts w:ascii="Arial" w:hAnsi="Arial" w:cs="Arial"/>
                <w:bCs/>
                <w:sz w:val="20"/>
                <w:szCs w:val="20"/>
              </w:rPr>
            </w:pPr>
            <w:r w:rsidRPr="00120FB5">
              <w:rPr>
                <w:rFonts w:ascii="Arial" w:hAnsi="Arial" w:cs="Arial"/>
                <w:bCs/>
                <w:sz w:val="20"/>
                <w:szCs w:val="20"/>
              </w:rPr>
              <w:t>Household type</w:t>
            </w:r>
          </w:p>
        </w:tc>
        <w:tc>
          <w:tcPr>
            <w:tcW w:w="5498" w:type="dxa"/>
            <w:gridSpan w:val="3"/>
          </w:tcPr>
          <w:p w14:paraId="3D968515" w14:textId="77777777" w:rsidR="00B21374" w:rsidRPr="00120FB5" w:rsidRDefault="00B21374" w:rsidP="00500F01">
            <w:pPr>
              <w:keepNext/>
              <w:widowControl w:val="0"/>
              <w:spacing w:line="300" w:lineRule="auto"/>
              <w:jc w:val="center"/>
              <w:rPr>
                <w:rFonts w:ascii="Arial" w:hAnsi="Arial" w:cs="Arial"/>
                <w:bCs/>
                <w:sz w:val="20"/>
                <w:szCs w:val="20"/>
              </w:rPr>
            </w:pPr>
            <w:r w:rsidRPr="00120FB5">
              <w:rPr>
                <w:rFonts w:ascii="Arial" w:hAnsi="Arial" w:cs="Arial"/>
                <w:bCs/>
                <w:sz w:val="20"/>
                <w:szCs w:val="20"/>
              </w:rPr>
              <w:t>Affordability</w:t>
            </w:r>
          </w:p>
        </w:tc>
      </w:tr>
      <w:tr w:rsidR="00B21374" w:rsidRPr="00120FB5" w14:paraId="08059A7F" w14:textId="77777777" w:rsidTr="008469E3">
        <w:trPr>
          <w:jc w:val="center"/>
        </w:trPr>
        <w:tc>
          <w:tcPr>
            <w:tcW w:w="2701" w:type="dxa"/>
            <w:vMerge/>
          </w:tcPr>
          <w:p w14:paraId="03B53976" w14:textId="77777777" w:rsidR="00B21374" w:rsidRPr="00120FB5" w:rsidRDefault="00B21374" w:rsidP="00500F01">
            <w:pPr>
              <w:keepNext/>
              <w:widowControl w:val="0"/>
              <w:spacing w:line="300" w:lineRule="auto"/>
              <w:rPr>
                <w:rFonts w:ascii="Arial" w:hAnsi="Arial" w:cs="Arial"/>
                <w:bCs/>
                <w:sz w:val="20"/>
                <w:szCs w:val="20"/>
              </w:rPr>
            </w:pPr>
          </w:p>
        </w:tc>
        <w:tc>
          <w:tcPr>
            <w:tcW w:w="1832" w:type="dxa"/>
          </w:tcPr>
          <w:p w14:paraId="5A6A26ED" w14:textId="63F41A5B" w:rsidR="00B21374" w:rsidRPr="00120FB5" w:rsidRDefault="00390D26" w:rsidP="00500F01">
            <w:pPr>
              <w:keepNext/>
              <w:widowControl w:val="0"/>
              <w:spacing w:line="300" w:lineRule="auto"/>
              <w:jc w:val="center"/>
              <w:rPr>
                <w:rFonts w:ascii="Arial" w:hAnsi="Arial" w:cs="Arial"/>
                <w:bCs/>
                <w:sz w:val="20"/>
                <w:szCs w:val="20"/>
              </w:rPr>
            </w:pPr>
            <w:r>
              <w:rPr>
                <w:rFonts w:ascii="Arial" w:hAnsi="Arial" w:cs="Arial"/>
                <w:bCs/>
                <w:sz w:val="20"/>
                <w:szCs w:val="20"/>
              </w:rPr>
              <w:t xml:space="preserve">Number </w:t>
            </w:r>
            <w:r w:rsidR="00071DA1">
              <w:rPr>
                <w:rFonts w:ascii="Arial" w:hAnsi="Arial" w:cs="Arial"/>
                <w:bCs/>
                <w:sz w:val="20"/>
                <w:szCs w:val="20"/>
              </w:rPr>
              <w:t xml:space="preserve">of each household type </w:t>
            </w:r>
            <w:r>
              <w:rPr>
                <w:rFonts w:ascii="Arial" w:hAnsi="Arial" w:cs="Arial"/>
                <w:bCs/>
                <w:sz w:val="20"/>
                <w:szCs w:val="20"/>
              </w:rPr>
              <w:t>u</w:t>
            </w:r>
            <w:r w:rsidRPr="00120FB5">
              <w:rPr>
                <w:rFonts w:ascii="Arial" w:hAnsi="Arial" w:cs="Arial"/>
                <w:bCs/>
                <w:sz w:val="20"/>
                <w:szCs w:val="20"/>
              </w:rPr>
              <w:t xml:space="preserve">nable </w:t>
            </w:r>
            <w:r w:rsidR="00B21374" w:rsidRPr="00120FB5">
              <w:rPr>
                <w:rFonts w:ascii="Arial" w:hAnsi="Arial" w:cs="Arial"/>
                <w:bCs/>
                <w:sz w:val="20"/>
                <w:szCs w:val="20"/>
              </w:rPr>
              <w:t>to afford market housing</w:t>
            </w:r>
          </w:p>
        </w:tc>
        <w:tc>
          <w:tcPr>
            <w:tcW w:w="1833" w:type="dxa"/>
          </w:tcPr>
          <w:p w14:paraId="356441BE" w14:textId="7A0AFF7B" w:rsidR="00B21374" w:rsidRPr="00120FB5" w:rsidRDefault="003B5A79" w:rsidP="00500F01">
            <w:pPr>
              <w:keepNext/>
              <w:widowControl w:val="0"/>
              <w:spacing w:line="300" w:lineRule="auto"/>
              <w:jc w:val="center"/>
              <w:rPr>
                <w:rFonts w:ascii="Arial" w:hAnsi="Arial" w:cs="Arial"/>
                <w:bCs/>
                <w:sz w:val="20"/>
                <w:szCs w:val="20"/>
              </w:rPr>
            </w:pPr>
            <w:r>
              <w:rPr>
                <w:rFonts w:ascii="Arial" w:hAnsi="Arial" w:cs="Arial"/>
                <w:bCs/>
                <w:sz w:val="20"/>
                <w:szCs w:val="20"/>
              </w:rPr>
              <w:t>Total n</w:t>
            </w:r>
            <w:r w:rsidRPr="00120FB5">
              <w:rPr>
                <w:rFonts w:ascii="Arial" w:hAnsi="Arial" w:cs="Arial"/>
                <w:bCs/>
                <w:sz w:val="20"/>
                <w:szCs w:val="20"/>
              </w:rPr>
              <w:t xml:space="preserve">umber </w:t>
            </w:r>
            <w:r w:rsidR="00B21374" w:rsidRPr="00120FB5">
              <w:rPr>
                <w:rFonts w:ascii="Arial" w:hAnsi="Arial" w:cs="Arial"/>
                <w:bCs/>
                <w:sz w:val="20"/>
                <w:szCs w:val="20"/>
              </w:rPr>
              <w:t xml:space="preserve">of </w:t>
            </w:r>
            <w:r w:rsidR="00DB3533">
              <w:rPr>
                <w:rFonts w:ascii="Arial" w:hAnsi="Arial" w:cs="Arial"/>
                <w:bCs/>
                <w:sz w:val="20"/>
                <w:szCs w:val="20"/>
              </w:rPr>
              <w:t xml:space="preserve">each </w:t>
            </w:r>
            <w:r w:rsidR="00B21374" w:rsidRPr="00120FB5">
              <w:rPr>
                <w:rFonts w:ascii="Arial" w:hAnsi="Arial" w:cs="Arial"/>
                <w:bCs/>
                <w:sz w:val="20"/>
                <w:szCs w:val="20"/>
              </w:rPr>
              <w:t>household</w:t>
            </w:r>
            <w:r w:rsidR="00F6628B">
              <w:rPr>
                <w:rFonts w:ascii="Arial" w:hAnsi="Arial" w:cs="Arial"/>
                <w:bCs/>
                <w:sz w:val="20"/>
                <w:szCs w:val="20"/>
              </w:rPr>
              <w:t xml:space="preserve"> type in Fylde</w:t>
            </w:r>
          </w:p>
        </w:tc>
        <w:tc>
          <w:tcPr>
            <w:tcW w:w="1833" w:type="dxa"/>
          </w:tcPr>
          <w:p w14:paraId="623AE239" w14:textId="5498FCF2" w:rsidR="00B21374" w:rsidRPr="00120FB5" w:rsidRDefault="00B21374" w:rsidP="00500F01">
            <w:pPr>
              <w:keepNext/>
              <w:widowControl w:val="0"/>
              <w:spacing w:line="300" w:lineRule="auto"/>
              <w:jc w:val="center"/>
              <w:rPr>
                <w:rFonts w:ascii="Arial" w:hAnsi="Arial" w:cs="Arial"/>
                <w:bCs/>
                <w:sz w:val="20"/>
                <w:szCs w:val="20"/>
              </w:rPr>
            </w:pPr>
            <w:r w:rsidRPr="00120FB5">
              <w:rPr>
                <w:rFonts w:ascii="Arial" w:hAnsi="Arial" w:cs="Arial"/>
                <w:bCs/>
                <w:sz w:val="20"/>
                <w:szCs w:val="20"/>
              </w:rPr>
              <w:t xml:space="preserve">% of households </w:t>
            </w:r>
            <w:r w:rsidR="00543F31">
              <w:rPr>
                <w:rFonts w:ascii="Arial" w:hAnsi="Arial" w:cs="Arial"/>
                <w:bCs/>
                <w:sz w:val="20"/>
                <w:szCs w:val="20"/>
              </w:rPr>
              <w:t xml:space="preserve">of each household type </w:t>
            </w:r>
            <w:r w:rsidRPr="00120FB5">
              <w:rPr>
                <w:rFonts w:ascii="Arial" w:hAnsi="Arial" w:cs="Arial"/>
                <w:bCs/>
                <w:sz w:val="20"/>
                <w:szCs w:val="20"/>
              </w:rPr>
              <w:t>unable to afford</w:t>
            </w:r>
            <w:r w:rsidR="00543F31">
              <w:rPr>
                <w:rFonts w:ascii="Arial" w:hAnsi="Arial" w:cs="Arial"/>
                <w:bCs/>
                <w:sz w:val="20"/>
                <w:szCs w:val="20"/>
              </w:rPr>
              <w:t xml:space="preserve"> market housing</w:t>
            </w:r>
          </w:p>
        </w:tc>
      </w:tr>
      <w:tr w:rsidR="00B21374" w:rsidRPr="00120FB5" w14:paraId="5F8868B7" w14:textId="77777777" w:rsidTr="008469E3">
        <w:trPr>
          <w:jc w:val="center"/>
        </w:trPr>
        <w:tc>
          <w:tcPr>
            <w:tcW w:w="2701" w:type="dxa"/>
          </w:tcPr>
          <w:p w14:paraId="5A04C24B"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Single pensioners</w:t>
            </w:r>
          </w:p>
        </w:tc>
        <w:tc>
          <w:tcPr>
            <w:tcW w:w="1832" w:type="dxa"/>
          </w:tcPr>
          <w:p w14:paraId="039E8E04"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1,702</w:t>
            </w:r>
          </w:p>
        </w:tc>
        <w:tc>
          <w:tcPr>
            <w:tcW w:w="1833" w:type="dxa"/>
          </w:tcPr>
          <w:p w14:paraId="74BAEFF7"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6,950</w:t>
            </w:r>
          </w:p>
        </w:tc>
        <w:tc>
          <w:tcPr>
            <w:tcW w:w="1833" w:type="dxa"/>
          </w:tcPr>
          <w:p w14:paraId="4294BFA1" w14:textId="77777777" w:rsidR="00B21374" w:rsidRPr="007A4BE6" w:rsidRDefault="00B21374" w:rsidP="00500F01">
            <w:pPr>
              <w:keepNext/>
              <w:spacing w:line="300" w:lineRule="auto"/>
              <w:jc w:val="center"/>
              <w:rPr>
                <w:rFonts w:ascii="Arial" w:hAnsi="Arial" w:cs="Arial"/>
                <w:sz w:val="20"/>
                <w:szCs w:val="20"/>
              </w:rPr>
            </w:pPr>
            <w:r w:rsidRPr="007A4BE6">
              <w:rPr>
                <w:rFonts w:ascii="Arial" w:hAnsi="Arial" w:cs="Arial"/>
                <w:color w:val="000000"/>
                <w:sz w:val="20"/>
                <w:szCs w:val="20"/>
              </w:rPr>
              <w:t>24.5%</w:t>
            </w:r>
          </w:p>
        </w:tc>
      </w:tr>
      <w:tr w:rsidR="00B21374" w:rsidRPr="00120FB5" w14:paraId="32F3C58D" w14:textId="77777777" w:rsidTr="008469E3">
        <w:trPr>
          <w:jc w:val="center"/>
        </w:trPr>
        <w:tc>
          <w:tcPr>
            <w:tcW w:w="2701" w:type="dxa"/>
          </w:tcPr>
          <w:p w14:paraId="0F261D89"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2 or more pensioners</w:t>
            </w:r>
          </w:p>
        </w:tc>
        <w:tc>
          <w:tcPr>
            <w:tcW w:w="1832" w:type="dxa"/>
          </w:tcPr>
          <w:p w14:paraId="4447B735"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554</w:t>
            </w:r>
          </w:p>
        </w:tc>
        <w:tc>
          <w:tcPr>
            <w:tcW w:w="1833" w:type="dxa"/>
          </w:tcPr>
          <w:p w14:paraId="0E4C4D11"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6,113</w:t>
            </w:r>
          </w:p>
        </w:tc>
        <w:tc>
          <w:tcPr>
            <w:tcW w:w="1833" w:type="dxa"/>
          </w:tcPr>
          <w:p w14:paraId="20352C5E" w14:textId="77777777" w:rsidR="00B21374" w:rsidRPr="007A4BE6" w:rsidRDefault="00B21374" w:rsidP="00500F01">
            <w:pPr>
              <w:keepNext/>
              <w:spacing w:line="300" w:lineRule="auto"/>
              <w:jc w:val="center"/>
              <w:rPr>
                <w:rFonts w:ascii="Arial" w:hAnsi="Arial" w:cs="Arial"/>
                <w:sz w:val="20"/>
                <w:szCs w:val="20"/>
              </w:rPr>
            </w:pPr>
            <w:r w:rsidRPr="007A4BE6">
              <w:rPr>
                <w:rFonts w:ascii="Arial" w:hAnsi="Arial" w:cs="Arial"/>
                <w:color w:val="000000"/>
                <w:sz w:val="20"/>
                <w:szCs w:val="20"/>
              </w:rPr>
              <w:t>9.1%</w:t>
            </w:r>
          </w:p>
        </w:tc>
      </w:tr>
      <w:tr w:rsidR="00B21374" w:rsidRPr="00120FB5" w14:paraId="38880718" w14:textId="77777777" w:rsidTr="008469E3">
        <w:trPr>
          <w:jc w:val="center"/>
        </w:trPr>
        <w:tc>
          <w:tcPr>
            <w:tcW w:w="2701" w:type="dxa"/>
          </w:tcPr>
          <w:p w14:paraId="4CEE7CED"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Single non-pensioners</w:t>
            </w:r>
          </w:p>
        </w:tc>
        <w:tc>
          <w:tcPr>
            <w:tcW w:w="1832" w:type="dxa"/>
          </w:tcPr>
          <w:p w14:paraId="743B6D9B"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1,886</w:t>
            </w:r>
          </w:p>
        </w:tc>
        <w:tc>
          <w:tcPr>
            <w:tcW w:w="1833" w:type="dxa"/>
          </w:tcPr>
          <w:p w14:paraId="26E8C786"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5,415</w:t>
            </w:r>
          </w:p>
        </w:tc>
        <w:tc>
          <w:tcPr>
            <w:tcW w:w="1833" w:type="dxa"/>
          </w:tcPr>
          <w:p w14:paraId="4B3B2F07" w14:textId="77777777" w:rsidR="00B21374" w:rsidRPr="007A4BE6" w:rsidRDefault="00B21374" w:rsidP="00500F01">
            <w:pPr>
              <w:keepNext/>
              <w:spacing w:line="300" w:lineRule="auto"/>
              <w:jc w:val="center"/>
              <w:rPr>
                <w:rFonts w:ascii="Arial" w:hAnsi="Arial" w:cs="Arial"/>
                <w:sz w:val="20"/>
                <w:szCs w:val="20"/>
              </w:rPr>
            </w:pPr>
            <w:r w:rsidRPr="007A4BE6">
              <w:rPr>
                <w:rFonts w:ascii="Arial" w:hAnsi="Arial" w:cs="Arial"/>
                <w:color w:val="000000"/>
                <w:sz w:val="20"/>
                <w:szCs w:val="20"/>
              </w:rPr>
              <w:t>34.8%</w:t>
            </w:r>
          </w:p>
        </w:tc>
      </w:tr>
      <w:tr w:rsidR="00B21374" w:rsidRPr="00120FB5" w14:paraId="3217A09C" w14:textId="77777777" w:rsidTr="008469E3">
        <w:trPr>
          <w:jc w:val="center"/>
        </w:trPr>
        <w:tc>
          <w:tcPr>
            <w:tcW w:w="2701" w:type="dxa"/>
          </w:tcPr>
          <w:p w14:paraId="5584FE9B"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Childless couple</w:t>
            </w:r>
          </w:p>
        </w:tc>
        <w:tc>
          <w:tcPr>
            <w:tcW w:w="1832" w:type="dxa"/>
          </w:tcPr>
          <w:p w14:paraId="6A2866CF"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427</w:t>
            </w:r>
          </w:p>
        </w:tc>
        <w:tc>
          <w:tcPr>
            <w:tcW w:w="1833" w:type="dxa"/>
          </w:tcPr>
          <w:p w14:paraId="2AFCFF9F"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7,461</w:t>
            </w:r>
          </w:p>
        </w:tc>
        <w:tc>
          <w:tcPr>
            <w:tcW w:w="1833" w:type="dxa"/>
          </w:tcPr>
          <w:p w14:paraId="46E74A3B" w14:textId="77777777" w:rsidR="00B21374" w:rsidRPr="007A4BE6" w:rsidRDefault="00B21374" w:rsidP="00500F01">
            <w:pPr>
              <w:keepNext/>
              <w:spacing w:line="300" w:lineRule="auto"/>
              <w:jc w:val="center"/>
              <w:rPr>
                <w:rFonts w:ascii="Arial" w:hAnsi="Arial" w:cs="Arial"/>
                <w:sz w:val="20"/>
                <w:szCs w:val="20"/>
              </w:rPr>
            </w:pPr>
            <w:r w:rsidRPr="007A4BE6">
              <w:rPr>
                <w:rFonts w:ascii="Arial" w:hAnsi="Arial" w:cs="Arial"/>
                <w:color w:val="000000"/>
                <w:sz w:val="20"/>
                <w:szCs w:val="20"/>
              </w:rPr>
              <w:t>5.7%</w:t>
            </w:r>
          </w:p>
        </w:tc>
      </w:tr>
      <w:tr w:rsidR="00B21374" w:rsidRPr="00120FB5" w14:paraId="440AF9E6" w14:textId="77777777" w:rsidTr="008469E3">
        <w:trPr>
          <w:jc w:val="center"/>
        </w:trPr>
        <w:tc>
          <w:tcPr>
            <w:tcW w:w="2701" w:type="dxa"/>
          </w:tcPr>
          <w:p w14:paraId="4F795F15"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Other multi-adult</w:t>
            </w:r>
          </w:p>
        </w:tc>
        <w:tc>
          <w:tcPr>
            <w:tcW w:w="1832" w:type="dxa"/>
          </w:tcPr>
          <w:p w14:paraId="7E417D5F"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680</w:t>
            </w:r>
          </w:p>
        </w:tc>
        <w:tc>
          <w:tcPr>
            <w:tcW w:w="1833" w:type="dxa"/>
          </w:tcPr>
          <w:p w14:paraId="31739010"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5,044</w:t>
            </w:r>
          </w:p>
        </w:tc>
        <w:tc>
          <w:tcPr>
            <w:tcW w:w="1833" w:type="dxa"/>
          </w:tcPr>
          <w:p w14:paraId="396A74AE" w14:textId="77777777" w:rsidR="00B21374" w:rsidRPr="007A4BE6" w:rsidRDefault="00B21374" w:rsidP="00500F01">
            <w:pPr>
              <w:keepNext/>
              <w:spacing w:line="300" w:lineRule="auto"/>
              <w:jc w:val="center"/>
              <w:rPr>
                <w:rFonts w:ascii="Arial" w:hAnsi="Arial" w:cs="Arial"/>
                <w:sz w:val="20"/>
                <w:szCs w:val="20"/>
              </w:rPr>
            </w:pPr>
            <w:r w:rsidRPr="007A4BE6">
              <w:rPr>
                <w:rFonts w:ascii="Arial" w:hAnsi="Arial" w:cs="Arial"/>
                <w:color w:val="000000"/>
                <w:sz w:val="20"/>
                <w:szCs w:val="20"/>
              </w:rPr>
              <w:t>13.5%</w:t>
            </w:r>
          </w:p>
        </w:tc>
      </w:tr>
      <w:tr w:rsidR="00B21374" w:rsidRPr="00120FB5" w14:paraId="7C878819" w14:textId="77777777" w:rsidTr="008469E3">
        <w:trPr>
          <w:jc w:val="center"/>
        </w:trPr>
        <w:tc>
          <w:tcPr>
            <w:tcW w:w="2701" w:type="dxa"/>
          </w:tcPr>
          <w:p w14:paraId="7421B95A"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Lone parent</w:t>
            </w:r>
          </w:p>
        </w:tc>
        <w:tc>
          <w:tcPr>
            <w:tcW w:w="1832" w:type="dxa"/>
          </w:tcPr>
          <w:p w14:paraId="4CD0B8DE"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945</w:t>
            </w:r>
          </w:p>
        </w:tc>
        <w:tc>
          <w:tcPr>
            <w:tcW w:w="1833" w:type="dxa"/>
          </w:tcPr>
          <w:p w14:paraId="7E50EA32"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2,097</w:t>
            </w:r>
          </w:p>
        </w:tc>
        <w:tc>
          <w:tcPr>
            <w:tcW w:w="1833" w:type="dxa"/>
          </w:tcPr>
          <w:p w14:paraId="0135804C" w14:textId="77777777" w:rsidR="00B21374" w:rsidRPr="007A4BE6" w:rsidRDefault="00B21374" w:rsidP="00500F01">
            <w:pPr>
              <w:keepNext/>
              <w:spacing w:line="300" w:lineRule="auto"/>
              <w:jc w:val="center"/>
              <w:rPr>
                <w:rFonts w:ascii="Arial" w:hAnsi="Arial" w:cs="Arial"/>
                <w:sz w:val="20"/>
                <w:szCs w:val="20"/>
              </w:rPr>
            </w:pPr>
            <w:r w:rsidRPr="007A4BE6">
              <w:rPr>
                <w:rFonts w:ascii="Arial" w:hAnsi="Arial" w:cs="Arial"/>
                <w:color w:val="000000"/>
                <w:sz w:val="20"/>
                <w:szCs w:val="20"/>
              </w:rPr>
              <w:t>45.1%</w:t>
            </w:r>
          </w:p>
        </w:tc>
      </w:tr>
      <w:tr w:rsidR="00B21374" w:rsidRPr="00120FB5" w14:paraId="5B156033" w14:textId="77777777" w:rsidTr="008469E3">
        <w:trPr>
          <w:jc w:val="center"/>
        </w:trPr>
        <w:tc>
          <w:tcPr>
            <w:tcW w:w="2701" w:type="dxa"/>
          </w:tcPr>
          <w:p w14:paraId="767D1287"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2+ adults 1 child</w:t>
            </w:r>
          </w:p>
        </w:tc>
        <w:tc>
          <w:tcPr>
            <w:tcW w:w="1832" w:type="dxa"/>
          </w:tcPr>
          <w:p w14:paraId="373CBC8E"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509</w:t>
            </w:r>
          </w:p>
        </w:tc>
        <w:tc>
          <w:tcPr>
            <w:tcW w:w="1833" w:type="dxa"/>
          </w:tcPr>
          <w:p w14:paraId="301A62A3"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3,222</w:t>
            </w:r>
          </w:p>
        </w:tc>
        <w:tc>
          <w:tcPr>
            <w:tcW w:w="1833" w:type="dxa"/>
          </w:tcPr>
          <w:p w14:paraId="7F46D2E4" w14:textId="77777777" w:rsidR="00B21374" w:rsidRPr="007A4BE6" w:rsidRDefault="00B21374" w:rsidP="00500F01">
            <w:pPr>
              <w:keepNext/>
              <w:spacing w:line="300" w:lineRule="auto"/>
              <w:jc w:val="center"/>
              <w:rPr>
                <w:rFonts w:ascii="Arial" w:hAnsi="Arial" w:cs="Arial"/>
                <w:sz w:val="20"/>
                <w:szCs w:val="20"/>
              </w:rPr>
            </w:pPr>
            <w:r w:rsidRPr="007A4BE6">
              <w:rPr>
                <w:rFonts w:ascii="Arial" w:hAnsi="Arial" w:cs="Arial"/>
                <w:color w:val="000000"/>
                <w:sz w:val="20"/>
                <w:szCs w:val="20"/>
              </w:rPr>
              <w:t>15.8%</w:t>
            </w:r>
          </w:p>
        </w:tc>
      </w:tr>
      <w:tr w:rsidR="00B21374" w:rsidRPr="00120FB5" w14:paraId="6D2F5CC9" w14:textId="77777777" w:rsidTr="008469E3">
        <w:trPr>
          <w:jc w:val="center"/>
        </w:trPr>
        <w:tc>
          <w:tcPr>
            <w:tcW w:w="2701" w:type="dxa"/>
          </w:tcPr>
          <w:p w14:paraId="5E18699B"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2+ adults 2+ children</w:t>
            </w:r>
          </w:p>
        </w:tc>
        <w:tc>
          <w:tcPr>
            <w:tcW w:w="1832" w:type="dxa"/>
          </w:tcPr>
          <w:p w14:paraId="69983A6B"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344</w:t>
            </w:r>
          </w:p>
        </w:tc>
        <w:tc>
          <w:tcPr>
            <w:tcW w:w="1833" w:type="dxa"/>
          </w:tcPr>
          <w:p w14:paraId="10061648"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2,698</w:t>
            </w:r>
          </w:p>
        </w:tc>
        <w:tc>
          <w:tcPr>
            <w:tcW w:w="1833" w:type="dxa"/>
          </w:tcPr>
          <w:p w14:paraId="549181DA" w14:textId="77777777" w:rsidR="00B21374" w:rsidRPr="007A4BE6" w:rsidRDefault="00B21374" w:rsidP="00500F01">
            <w:pPr>
              <w:keepNext/>
              <w:spacing w:line="300" w:lineRule="auto"/>
              <w:jc w:val="center"/>
              <w:rPr>
                <w:rFonts w:ascii="Arial" w:hAnsi="Arial" w:cs="Arial"/>
                <w:sz w:val="20"/>
                <w:szCs w:val="20"/>
              </w:rPr>
            </w:pPr>
            <w:r w:rsidRPr="007A4BE6">
              <w:rPr>
                <w:rFonts w:ascii="Arial" w:hAnsi="Arial" w:cs="Arial"/>
                <w:color w:val="000000"/>
                <w:sz w:val="20"/>
                <w:szCs w:val="20"/>
              </w:rPr>
              <w:t>12.8%</w:t>
            </w:r>
          </w:p>
        </w:tc>
      </w:tr>
      <w:tr w:rsidR="00B21374" w:rsidRPr="00120FB5" w14:paraId="5D6007E2" w14:textId="77777777" w:rsidTr="008469E3">
        <w:trPr>
          <w:jc w:val="center"/>
        </w:trPr>
        <w:tc>
          <w:tcPr>
            <w:tcW w:w="2701" w:type="dxa"/>
          </w:tcPr>
          <w:p w14:paraId="4D078DFE"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Total</w:t>
            </w:r>
          </w:p>
        </w:tc>
        <w:tc>
          <w:tcPr>
            <w:tcW w:w="1832" w:type="dxa"/>
          </w:tcPr>
          <w:p w14:paraId="35DF3698"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7,048</w:t>
            </w:r>
          </w:p>
        </w:tc>
        <w:tc>
          <w:tcPr>
            <w:tcW w:w="1833" w:type="dxa"/>
          </w:tcPr>
          <w:p w14:paraId="4F3E3F95" w14:textId="77777777" w:rsidR="00B21374" w:rsidRPr="007A4BE6" w:rsidRDefault="00B21374" w:rsidP="00500F01">
            <w:pPr>
              <w:keepNext/>
              <w:spacing w:line="300" w:lineRule="auto"/>
              <w:jc w:val="center"/>
              <w:rPr>
                <w:rFonts w:ascii="Arial" w:hAnsi="Arial" w:cs="Arial"/>
                <w:color w:val="000000"/>
                <w:sz w:val="20"/>
                <w:szCs w:val="20"/>
              </w:rPr>
            </w:pPr>
            <w:r w:rsidRPr="007A4BE6">
              <w:rPr>
                <w:rFonts w:ascii="Arial" w:hAnsi="Arial" w:cs="Arial"/>
                <w:color w:val="000000"/>
                <w:sz w:val="20"/>
                <w:szCs w:val="20"/>
              </w:rPr>
              <w:t>39,000</w:t>
            </w:r>
          </w:p>
        </w:tc>
        <w:tc>
          <w:tcPr>
            <w:tcW w:w="1833" w:type="dxa"/>
          </w:tcPr>
          <w:p w14:paraId="221A1338" w14:textId="77777777" w:rsidR="00B21374" w:rsidRPr="007A4BE6" w:rsidRDefault="00B21374" w:rsidP="00500F01">
            <w:pPr>
              <w:keepNext/>
              <w:spacing w:line="300" w:lineRule="auto"/>
              <w:jc w:val="center"/>
              <w:rPr>
                <w:rFonts w:ascii="Arial" w:hAnsi="Arial" w:cs="Arial"/>
                <w:sz w:val="20"/>
                <w:szCs w:val="20"/>
              </w:rPr>
            </w:pPr>
            <w:r w:rsidRPr="007A4BE6">
              <w:rPr>
                <w:rFonts w:ascii="Arial" w:hAnsi="Arial" w:cs="Arial"/>
                <w:color w:val="000000"/>
                <w:sz w:val="20"/>
                <w:szCs w:val="20"/>
              </w:rPr>
              <w:t>18.1%</w:t>
            </w:r>
          </w:p>
        </w:tc>
      </w:tr>
    </w:tbl>
    <w:p w14:paraId="481B6050" w14:textId="0CC20BBF" w:rsidR="00B21374" w:rsidRDefault="00AB789F" w:rsidP="00172F56">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0B495457" w14:textId="77777777" w:rsidR="009D76D4" w:rsidRPr="00EA5668" w:rsidRDefault="009D76D4" w:rsidP="00172F56">
      <w:pPr>
        <w:pStyle w:val="Reporttext0"/>
        <w:keepLines w:val="0"/>
        <w:widowControl w:val="0"/>
        <w:numPr>
          <w:ilvl w:val="0"/>
          <w:numId w:val="0"/>
        </w:numPr>
        <w:spacing w:line="300" w:lineRule="auto"/>
        <w:jc w:val="both"/>
        <w:rPr>
          <w:rFonts w:ascii="Arial" w:hAnsi="Arial" w:cs="Arial"/>
          <w:sz w:val="20"/>
        </w:rPr>
      </w:pPr>
    </w:p>
    <w:p w14:paraId="16492E3D" w14:textId="12F819AE" w:rsidR="00B21374" w:rsidRPr="008D7085" w:rsidRDefault="00B21374">
      <w:pPr>
        <w:pStyle w:val="11Bodytext"/>
        <w:numPr>
          <w:ilvl w:val="1"/>
          <w:numId w:val="32"/>
        </w:numPr>
        <w:spacing w:before="0" w:after="0" w:line="300" w:lineRule="auto"/>
        <w:ind w:left="720" w:hanging="720"/>
        <w:rPr>
          <w:color w:val="auto"/>
        </w:rPr>
      </w:pPr>
      <w:r w:rsidRPr="008D7085">
        <w:t>The figure below shows affordability by sub-area. Given previous information about income levels</w:t>
      </w:r>
      <w:r w:rsidR="00C876AC">
        <w:t xml:space="preserve"> and variations in house prices and rents</w:t>
      </w:r>
      <w:r w:rsidRPr="008D7085">
        <w:t xml:space="preserve"> the general pattern of affordability is as might be expected</w:t>
      </w:r>
      <w:r w:rsidR="00C876AC">
        <w:t>.</w:t>
      </w:r>
      <w:r w:rsidRPr="008D7085">
        <w:t xml:space="preserve"> </w:t>
      </w:r>
      <w:r w:rsidR="00C876AC">
        <w:t>H</w:t>
      </w:r>
      <w:r w:rsidRPr="008D7085">
        <w:t>ouseholds in Fylde/Blackpool Periphery being considerably less likely to be able to afford market housing than households in other (particularly rural) areas. Households in Rural East appear most likely to be able to afford.</w:t>
      </w:r>
    </w:p>
    <w:p w14:paraId="107FA1CB" w14:textId="77777777" w:rsidR="00B21374" w:rsidRDefault="00B21374" w:rsidP="00172F56">
      <w:pPr>
        <w:pStyle w:val="NormalWeb"/>
        <w:widowControl w:val="0"/>
        <w:spacing w:before="0" w:after="0"/>
        <w:jc w:val="both"/>
        <w:rPr>
          <w:rFonts w:ascii="Arial" w:hAnsi="Arial" w:cs="Arial"/>
          <w:sz w:val="20"/>
          <w:szCs w:val="20"/>
        </w:rPr>
      </w:pPr>
    </w:p>
    <w:tbl>
      <w:tblPr>
        <w:tblStyle w:val="TableTheme"/>
        <w:tblW w:w="8199" w:type="dxa"/>
        <w:jc w:val="center"/>
        <w:tblLook w:val="04A0" w:firstRow="1" w:lastRow="0" w:firstColumn="1" w:lastColumn="0" w:noHBand="0" w:noVBand="1"/>
      </w:tblPr>
      <w:tblGrid>
        <w:gridCol w:w="8199"/>
      </w:tblGrid>
      <w:tr w:rsidR="00B21374" w:rsidRPr="00E508F1" w14:paraId="31265D72" w14:textId="77777777" w:rsidTr="00EB1E43">
        <w:trPr>
          <w:jc w:val="center"/>
        </w:trPr>
        <w:tc>
          <w:tcPr>
            <w:tcW w:w="9628" w:type="dxa"/>
          </w:tcPr>
          <w:p w14:paraId="0B6EB51A" w14:textId="16910CAE" w:rsidR="00B21374" w:rsidRPr="00E508F1" w:rsidRDefault="00B21374" w:rsidP="00172F56">
            <w:pPr>
              <w:pStyle w:val="Reporttext0"/>
              <w:keepNext/>
              <w:keepLines w:val="0"/>
              <w:widowControl w:val="0"/>
              <w:numPr>
                <w:ilvl w:val="1"/>
                <w:numId w:val="0"/>
              </w:numPr>
              <w:spacing w:line="300" w:lineRule="auto"/>
              <w:jc w:val="center"/>
              <w:rPr>
                <w:rFonts w:ascii="Arial" w:hAnsi="Arial" w:cs="Arial"/>
                <w:b/>
                <w:bCs/>
                <w:sz w:val="22"/>
                <w:szCs w:val="22"/>
              </w:rPr>
            </w:pPr>
            <w:r w:rsidRPr="00E508F1">
              <w:rPr>
                <w:rFonts w:ascii="Arial" w:hAnsi="Arial" w:cs="Arial"/>
                <w:b/>
                <w:bCs/>
                <w:sz w:val="20"/>
              </w:rPr>
              <w:t xml:space="preserve">Figure </w:t>
            </w:r>
            <w:r w:rsidR="00AD29A6">
              <w:rPr>
                <w:rFonts w:ascii="Arial" w:hAnsi="Arial" w:cs="Arial"/>
                <w:b/>
                <w:bCs/>
                <w:sz w:val="20"/>
              </w:rPr>
              <w:t>2.13</w:t>
            </w:r>
            <w:r w:rsidRPr="00E508F1">
              <w:rPr>
                <w:rFonts w:ascii="Arial" w:hAnsi="Arial" w:cs="Arial"/>
                <w:b/>
                <w:bCs/>
                <w:sz w:val="20"/>
              </w:rPr>
              <w:t xml:space="preserve">: </w:t>
            </w:r>
            <w:r w:rsidR="00C876AC">
              <w:rPr>
                <w:rFonts w:ascii="Arial" w:hAnsi="Arial"/>
                <w:b/>
                <w:bCs/>
                <w:sz w:val="20"/>
              </w:rPr>
              <w:t>Percentage of households unable to afford</w:t>
            </w:r>
            <w:r w:rsidRPr="00E508F1">
              <w:rPr>
                <w:rFonts w:ascii="Arial" w:hAnsi="Arial"/>
                <w:b/>
                <w:bCs/>
                <w:sz w:val="20"/>
              </w:rPr>
              <w:t xml:space="preserve"> market housing </w:t>
            </w:r>
            <w:r>
              <w:rPr>
                <w:rFonts w:ascii="Arial" w:hAnsi="Arial"/>
                <w:b/>
                <w:bCs/>
                <w:sz w:val="20"/>
              </w:rPr>
              <w:t>(to buy OR rent)</w:t>
            </w:r>
            <w:r w:rsidR="00C876AC" w:rsidRPr="00E508F1">
              <w:rPr>
                <w:rFonts w:ascii="Arial" w:hAnsi="Arial"/>
                <w:b/>
                <w:bCs/>
                <w:sz w:val="20"/>
              </w:rPr>
              <w:t xml:space="preserve"> by sub-area</w:t>
            </w:r>
          </w:p>
        </w:tc>
      </w:tr>
      <w:tr w:rsidR="00B21374" w14:paraId="2F55D409" w14:textId="77777777" w:rsidTr="00EB1E43">
        <w:trPr>
          <w:jc w:val="center"/>
        </w:trPr>
        <w:tc>
          <w:tcPr>
            <w:tcW w:w="9628" w:type="dxa"/>
          </w:tcPr>
          <w:p w14:paraId="27DB9E54" w14:textId="77777777" w:rsidR="00B21374" w:rsidRDefault="00B21374" w:rsidP="00172F56">
            <w:pPr>
              <w:pStyle w:val="Reporttext0"/>
              <w:keepLines w:val="0"/>
              <w:widowControl w:val="0"/>
              <w:numPr>
                <w:ilvl w:val="0"/>
                <w:numId w:val="0"/>
              </w:numPr>
              <w:spacing w:line="300" w:lineRule="auto"/>
              <w:jc w:val="center"/>
              <w:rPr>
                <w:rFonts w:ascii="Arial" w:hAnsi="Arial" w:cs="Arial"/>
                <w:sz w:val="20"/>
              </w:rPr>
            </w:pPr>
            <w:r>
              <w:rPr>
                <w:rFonts w:ascii="Arial" w:hAnsi="Arial" w:cs="Arial"/>
                <w:noProof/>
                <w:sz w:val="22"/>
                <w:szCs w:val="22"/>
              </w:rPr>
              <w:drawing>
                <wp:inline distT="0" distB="0" distL="0" distR="0" wp14:anchorId="75BDC574" wp14:editId="0C4CD6B9">
                  <wp:extent cx="5040000" cy="2880000"/>
                  <wp:effectExtent l="0" t="0" r="825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0AB416BE" w14:textId="59B016A5" w:rsidR="00B21374" w:rsidRPr="00120FB5" w:rsidRDefault="00AB789F" w:rsidP="00500F01">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187ACB9E" w14:textId="77777777" w:rsidR="00EB1E43" w:rsidRPr="002143DA" w:rsidRDefault="00EB1E43" w:rsidP="00172F56">
      <w:pPr>
        <w:spacing w:line="300" w:lineRule="auto"/>
        <w:jc w:val="both"/>
        <w:rPr>
          <w:rFonts w:ascii="Arial" w:hAnsi="Arial" w:cs="Arial"/>
          <w:sz w:val="20"/>
          <w:szCs w:val="20"/>
          <w:lang w:eastAsia="ja-JP"/>
        </w:rPr>
      </w:pPr>
    </w:p>
    <w:p w14:paraId="5D14CD17" w14:textId="55A01DAA" w:rsidR="00B21374" w:rsidRPr="00EB1E43" w:rsidRDefault="00B21374">
      <w:pPr>
        <w:pStyle w:val="11Bodytext"/>
        <w:numPr>
          <w:ilvl w:val="1"/>
          <w:numId w:val="32"/>
        </w:numPr>
        <w:spacing w:before="0" w:after="0" w:line="300" w:lineRule="auto"/>
        <w:ind w:left="720" w:hanging="720"/>
        <w:rPr>
          <w:color w:val="auto"/>
        </w:rPr>
      </w:pPr>
      <w:r w:rsidRPr="00EB1E43">
        <w:t>The data shown above is for all households and includes those who are already homeowners (the vast majority of whom can afford housing due to higher income and equity/savings levels). Below we have therefore provided data just for households who are not currently owner-occupiers. Compared with all households this data shows much higher proportions of households being unable to afford. Over half of all non-owners fail the affordability test with lone parents again showing particularly high proportions unable to afford.</w:t>
      </w:r>
    </w:p>
    <w:p w14:paraId="020CD78E" w14:textId="77777777" w:rsidR="00B21374" w:rsidRPr="00E508F1" w:rsidRDefault="00B21374"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ayout w:type="fixed"/>
        <w:tblLook w:val="01E0" w:firstRow="1" w:lastRow="1" w:firstColumn="1" w:lastColumn="1" w:noHBand="0" w:noVBand="0"/>
      </w:tblPr>
      <w:tblGrid>
        <w:gridCol w:w="2701"/>
        <w:gridCol w:w="1832"/>
        <w:gridCol w:w="1833"/>
        <w:gridCol w:w="1833"/>
      </w:tblGrid>
      <w:tr w:rsidR="00B21374" w:rsidRPr="00120FB5" w14:paraId="0322A25A" w14:textId="77777777" w:rsidTr="00EB1E43">
        <w:trPr>
          <w:jc w:val="center"/>
        </w:trPr>
        <w:tc>
          <w:tcPr>
            <w:tcW w:w="8199" w:type="dxa"/>
            <w:gridSpan w:val="4"/>
          </w:tcPr>
          <w:p w14:paraId="41B62127" w14:textId="4F8BCA7D" w:rsidR="00B21374" w:rsidRPr="00120FB5" w:rsidRDefault="00B21374" w:rsidP="00500F01">
            <w:pPr>
              <w:pStyle w:val="Caption1"/>
              <w:widowControl w:val="0"/>
              <w:spacing w:before="60" w:after="60" w:line="300" w:lineRule="auto"/>
              <w:rPr>
                <w:rFonts w:ascii="Arial" w:hAnsi="Arial"/>
                <w:sz w:val="20"/>
                <w:szCs w:val="20"/>
              </w:rPr>
            </w:pPr>
            <w:r w:rsidRPr="00120FB5">
              <w:rPr>
                <w:rFonts w:ascii="Arial" w:hAnsi="Arial"/>
                <w:sz w:val="20"/>
                <w:szCs w:val="20"/>
              </w:rPr>
              <w:t xml:space="preserve">Figure </w:t>
            </w:r>
            <w:r w:rsidR="00AD29A6">
              <w:rPr>
                <w:rFonts w:ascii="Arial" w:hAnsi="Arial"/>
                <w:sz w:val="20"/>
                <w:szCs w:val="20"/>
              </w:rPr>
              <w:t>2.14:</w:t>
            </w:r>
            <w:r w:rsidRPr="00120FB5">
              <w:rPr>
                <w:rFonts w:ascii="Arial" w:hAnsi="Arial"/>
                <w:sz w:val="20"/>
                <w:szCs w:val="20"/>
              </w:rPr>
              <w:t xml:space="preserve"> Affordability and household type</w:t>
            </w:r>
            <w:r>
              <w:rPr>
                <w:rFonts w:ascii="Arial" w:hAnsi="Arial"/>
                <w:sz w:val="20"/>
                <w:szCs w:val="20"/>
              </w:rPr>
              <w:t xml:space="preserve"> (non-owners)</w:t>
            </w:r>
          </w:p>
        </w:tc>
      </w:tr>
      <w:tr w:rsidR="00B21374" w:rsidRPr="00120FB5" w14:paraId="664A57CE" w14:textId="77777777" w:rsidTr="00EB1E43">
        <w:trPr>
          <w:jc w:val="center"/>
        </w:trPr>
        <w:tc>
          <w:tcPr>
            <w:tcW w:w="2701" w:type="dxa"/>
            <w:vMerge w:val="restart"/>
          </w:tcPr>
          <w:p w14:paraId="62BAFE41" w14:textId="77777777" w:rsidR="00B21374" w:rsidRPr="00120FB5" w:rsidRDefault="00B21374" w:rsidP="00500F01">
            <w:pPr>
              <w:keepNext/>
              <w:widowControl w:val="0"/>
              <w:spacing w:line="300" w:lineRule="auto"/>
              <w:rPr>
                <w:rFonts w:ascii="Arial" w:hAnsi="Arial" w:cs="Arial"/>
                <w:bCs/>
                <w:sz w:val="20"/>
                <w:szCs w:val="20"/>
              </w:rPr>
            </w:pPr>
            <w:r w:rsidRPr="00120FB5">
              <w:rPr>
                <w:rFonts w:ascii="Arial" w:hAnsi="Arial" w:cs="Arial"/>
                <w:bCs/>
                <w:sz w:val="20"/>
                <w:szCs w:val="20"/>
              </w:rPr>
              <w:t>Household type</w:t>
            </w:r>
          </w:p>
        </w:tc>
        <w:tc>
          <w:tcPr>
            <w:tcW w:w="5498" w:type="dxa"/>
            <w:gridSpan w:val="3"/>
          </w:tcPr>
          <w:p w14:paraId="3AB90039" w14:textId="77777777" w:rsidR="00B21374" w:rsidRPr="00120FB5" w:rsidRDefault="00B21374" w:rsidP="00500F01">
            <w:pPr>
              <w:keepNext/>
              <w:widowControl w:val="0"/>
              <w:spacing w:line="300" w:lineRule="auto"/>
              <w:jc w:val="center"/>
              <w:rPr>
                <w:rFonts w:ascii="Arial" w:hAnsi="Arial" w:cs="Arial"/>
                <w:bCs/>
                <w:sz w:val="20"/>
                <w:szCs w:val="20"/>
              </w:rPr>
            </w:pPr>
            <w:r w:rsidRPr="00120FB5">
              <w:rPr>
                <w:rFonts w:ascii="Arial" w:hAnsi="Arial" w:cs="Arial"/>
                <w:bCs/>
                <w:sz w:val="20"/>
                <w:szCs w:val="20"/>
              </w:rPr>
              <w:t>Affordability</w:t>
            </w:r>
          </w:p>
        </w:tc>
      </w:tr>
      <w:tr w:rsidR="00B21374" w:rsidRPr="00120FB5" w14:paraId="01516C86" w14:textId="77777777" w:rsidTr="00EB1E43">
        <w:trPr>
          <w:jc w:val="center"/>
        </w:trPr>
        <w:tc>
          <w:tcPr>
            <w:tcW w:w="2701" w:type="dxa"/>
            <w:vMerge/>
          </w:tcPr>
          <w:p w14:paraId="4D177684" w14:textId="77777777" w:rsidR="00B21374" w:rsidRPr="00120FB5" w:rsidRDefault="00B21374" w:rsidP="00500F01">
            <w:pPr>
              <w:keepNext/>
              <w:widowControl w:val="0"/>
              <w:spacing w:line="300" w:lineRule="auto"/>
              <w:rPr>
                <w:rFonts w:ascii="Arial" w:hAnsi="Arial" w:cs="Arial"/>
                <w:bCs/>
                <w:sz w:val="20"/>
                <w:szCs w:val="20"/>
              </w:rPr>
            </w:pPr>
          </w:p>
        </w:tc>
        <w:tc>
          <w:tcPr>
            <w:tcW w:w="1832" w:type="dxa"/>
          </w:tcPr>
          <w:p w14:paraId="182A8963" w14:textId="7D01EE70" w:rsidR="00B21374" w:rsidRPr="00120FB5" w:rsidRDefault="00B21374" w:rsidP="00500F01">
            <w:pPr>
              <w:keepNext/>
              <w:widowControl w:val="0"/>
              <w:spacing w:line="300" w:lineRule="auto"/>
              <w:jc w:val="center"/>
              <w:rPr>
                <w:rFonts w:ascii="Arial" w:hAnsi="Arial" w:cs="Arial"/>
                <w:bCs/>
                <w:sz w:val="20"/>
                <w:szCs w:val="20"/>
              </w:rPr>
            </w:pPr>
            <w:r w:rsidRPr="00120FB5">
              <w:rPr>
                <w:rFonts w:ascii="Arial" w:hAnsi="Arial" w:cs="Arial"/>
                <w:bCs/>
                <w:sz w:val="20"/>
                <w:szCs w:val="20"/>
              </w:rPr>
              <w:t>Unable to afford market housing</w:t>
            </w:r>
            <w:r w:rsidRPr="191ED13C">
              <w:rPr>
                <w:rFonts w:ascii="Arial" w:hAnsi="Arial" w:cs="Arial"/>
                <w:sz w:val="20"/>
                <w:szCs w:val="20"/>
              </w:rPr>
              <w:t xml:space="preserve"> to rent or buy</w:t>
            </w:r>
          </w:p>
        </w:tc>
        <w:tc>
          <w:tcPr>
            <w:tcW w:w="1833" w:type="dxa"/>
          </w:tcPr>
          <w:p w14:paraId="32E54FDE" w14:textId="7A9EF445" w:rsidR="00B21374" w:rsidRPr="00120FB5" w:rsidRDefault="008F7C65" w:rsidP="00500F01">
            <w:pPr>
              <w:keepNext/>
              <w:widowControl w:val="0"/>
              <w:spacing w:line="300" w:lineRule="auto"/>
              <w:jc w:val="center"/>
              <w:rPr>
                <w:rFonts w:ascii="Arial" w:hAnsi="Arial" w:cs="Arial"/>
                <w:bCs/>
                <w:sz w:val="20"/>
                <w:szCs w:val="20"/>
              </w:rPr>
            </w:pPr>
            <w:r>
              <w:rPr>
                <w:rFonts w:ascii="Arial" w:hAnsi="Arial" w:cs="Arial"/>
                <w:bCs/>
                <w:sz w:val="20"/>
                <w:szCs w:val="20"/>
              </w:rPr>
              <w:t>Total n</w:t>
            </w:r>
            <w:r w:rsidRPr="00120FB5">
              <w:rPr>
                <w:rFonts w:ascii="Arial" w:hAnsi="Arial" w:cs="Arial"/>
                <w:bCs/>
                <w:sz w:val="20"/>
                <w:szCs w:val="20"/>
              </w:rPr>
              <w:t xml:space="preserve">umber </w:t>
            </w:r>
            <w:r w:rsidR="00B21374" w:rsidRPr="00120FB5">
              <w:rPr>
                <w:rFonts w:ascii="Arial" w:hAnsi="Arial" w:cs="Arial"/>
                <w:bCs/>
                <w:sz w:val="20"/>
                <w:szCs w:val="20"/>
              </w:rPr>
              <w:t xml:space="preserve">of </w:t>
            </w:r>
            <w:r>
              <w:rPr>
                <w:rFonts w:ascii="Arial" w:hAnsi="Arial" w:cs="Arial"/>
                <w:bCs/>
                <w:sz w:val="20"/>
                <w:szCs w:val="20"/>
              </w:rPr>
              <w:t xml:space="preserve">non-owning </w:t>
            </w:r>
            <w:r w:rsidR="00B21374" w:rsidRPr="00120FB5">
              <w:rPr>
                <w:rFonts w:ascii="Arial" w:hAnsi="Arial" w:cs="Arial"/>
                <w:bCs/>
                <w:sz w:val="20"/>
                <w:szCs w:val="20"/>
              </w:rPr>
              <w:t>households</w:t>
            </w:r>
          </w:p>
        </w:tc>
        <w:tc>
          <w:tcPr>
            <w:tcW w:w="1833" w:type="dxa"/>
          </w:tcPr>
          <w:p w14:paraId="2235B444" w14:textId="32EBB8D5" w:rsidR="00B21374" w:rsidRPr="00120FB5" w:rsidRDefault="00B21374" w:rsidP="00500F01">
            <w:pPr>
              <w:keepNext/>
              <w:widowControl w:val="0"/>
              <w:spacing w:line="300" w:lineRule="auto"/>
              <w:jc w:val="center"/>
              <w:rPr>
                <w:rFonts w:ascii="Arial" w:hAnsi="Arial" w:cs="Arial"/>
                <w:bCs/>
                <w:sz w:val="20"/>
                <w:szCs w:val="20"/>
              </w:rPr>
            </w:pPr>
            <w:r w:rsidRPr="00120FB5">
              <w:rPr>
                <w:rFonts w:ascii="Arial" w:hAnsi="Arial" w:cs="Arial"/>
                <w:bCs/>
                <w:sz w:val="20"/>
                <w:szCs w:val="20"/>
              </w:rPr>
              <w:t>% of households</w:t>
            </w:r>
            <w:r w:rsidR="0008266A">
              <w:rPr>
                <w:rFonts w:ascii="Arial" w:hAnsi="Arial" w:cs="Arial"/>
                <w:bCs/>
                <w:sz w:val="20"/>
                <w:szCs w:val="20"/>
              </w:rPr>
              <w:t xml:space="preserve"> of each household type</w:t>
            </w:r>
            <w:r w:rsidRPr="00120FB5">
              <w:rPr>
                <w:rFonts w:ascii="Arial" w:hAnsi="Arial" w:cs="Arial"/>
                <w:bCs/>
                <w:sz w:val="20"/>
                <w:szCs w:val="20"/>
              </w:rPr>
              <w:t xml:space="preserve"> unable to afford</w:t>
            </w:r>
            <w:r w:rsidR="008F7C65">
              <w:rPr>
                <w:rFonts w:ascii="Arial" w:hAnsi="Arial" w:cs="Arial"/>
                <w:bCs/>
                <w:sz w:val="20"/>
                <w:szCs w:val="20"/>
              </w:rPr>
              <w:t xml:space="preserve"> market housing</w:t>
            </w:r>
          </w:p>
        </w:tc>
      </w:tr>
      <w:tr w:rsidR="00B21374" w:rsidRPr="00120FB5" w14:paraId="4CD6CF65" w14:textId="77777777" w:rsidTr="00EB1E43">
        <w:trPr>
          <w:jc w:val="center"/>
        </w:trPr>
        <w:tc>
          <w:tcPr>
            <w:tcW w:w="2701" w:type="dxa"/>
          </w:tcPr>
          <w:p w14:paraId="2BBCFFA9"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Single pensioners</w:t>
            </w:r>
          </w:p>
        </w:tc>
        <w:tc>
          <w:tcPr>
            <w:tcW w:w="1832" w:type="dxa"/>
          </w:tcPr>
          <w:p w14:paraId="0CA8CBF8"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1,127</w:t>
            </w:r>
          </w:p>
        </w:tc>
        <w:tc>
          <w:tcPr>
            <w:tcW w:w="1833" w:type="dxa"/>
          </w:tcPr>
          <w:p w14:paraId="42A59258"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1,825</w:t>
            </w:r>
          </w:p>
        </w:tc>
        <w:tc>
          <w:tcPr>
            <w:tcW w:w="1833" w:type="dxa"/>
          </w:tcPr>
          <w:p w14:paraId="64EC005D" w14:textId="77777777" w:rsidR="00B21374" w:rsidRPr="00207BCF" w:rsidRDefault="00B21374" w:rsidP="00500F01">
            <w:pPr>
              <w:keepNext/>
              <w:spacing w:line="300" w:lineRule="auto"/>
              <w:jc w:val="center"/>
              <w:rPr>
                <w:rFonts w:ascii="Arial" w:hAnsi="Arial" w:cs="Arial"/>
                <w:sz w:val="20"/>
                <w:szCs w:val="20"/>
              </w:rPr>
            </w:pPr>
            <w:r w:rsidRPr="00207BCF">
              <w:rPr>
                <w:rFonts w:ascii="Arial" w:hAnsi="Arial" w:cs="Arial"/>
                <w:color w:val="000000"/>
                <w:sz w:val="20"/>
                <w:szCs w:val="20"/>
              </w:rPr>
              <w:t>61.7%</w:t>
            </w:r>
          </w:p>
        </w:tc>
      </w:tr>
      <w:tr w:rsidR="00B21374" w:rsidRPr="00120FB5" w14:paraId="2DCB1DCC" w14:textId="77777777" w:rsidTr="00EB1E43">
        <w:trPr>
          <w:jc w:val="center"/>
        </w:trPr>
        <w:tc>
          <w:tcPr>
            <w:tcW w:w="2701" w:type="dxa"/>
          </w:tcPr>
          <w:p w14:paraId="67DF26D6"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2 or more pensioners</w:t>
            </w:r>
          </w:p>
        </w:tc>
        <w:tc>
          <w:tcPr>
            <w:tcW w:w="1832" w:type="dxa"/>
          </w:tcPr>
          <w:p w14:paraId="76E1D514"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328</w:t>
            </w:r>
          </w:p>
        </w:tc>
        <w:tc>
          <w:tcPr>
            <w:tcW w:w="1833" w:type="dxa"/>
          </w:tcPr>
          <w:p w14:paraId="50B84B56"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644</w:t>
            </w:r>
          </w:p>
        </w:tc>
        <w:tc>
          <w:tcPr>
            <w:tcW w:w="1833" w:type="dxa"/>
          </w:tcPr>
          <w:p w14:paraId="492F11CF" w14:textId="77777777" w:rsidR="00B21374" w:rsidRPr="00207BCF" w:rsidRDefault="00B21374" w:rsidP="00500F01">
            <w:pPr>
              <w:keepNext/>
              <w:spacing w:line="300" w:lineRule="auto"/>
              <w:jc w:val="center"/>
              <w:rPr>
                <w:rFonts w:ascii="Arial" w:hAnsi="Arial" w:cs="Arial"/>
                <w:sz w:val="20"/>
                <w:szCs w:val="20"/>
              </w:rPr>
            </w:pPr>
            <w:r w:rsidRPr="00207BCF">
              <w:rPr>
                <w:rFonts w:ascii="Arial" w:hAnsi="Arial" w:cs="Arial"/>
                <w:color w:val="000000"/>
                <w:sz w:val="20"/>
                <w:szCs w:val="20"/>
              </w:rPr>
              <w:t>51.0%</w:t>
            </w:r>
          </w:p>
        </w:tc>
      </w:tr>
      <w:tr w:rsidR="00B21374" w:rsidRPr="00120FB5" w14:paraId="1EA842F6" w14:textId="77777777" w:rsidTr="00EB1E43">
        <w:trPr>
          <w:jc w:val="center"/>
        </w:trPr>
        <w:tc>
          <w:tcPr>
            <w:tcW w:w="2701" w:type="dxa"/>
          </w:tcPr>
          <w:p w14:paraId="6442EEA7"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Single non-pensioners</w:t>
            </w:r>
          </w:p>
        </w:tc>
        <w:tc>
          <w:tcPr>
            <w:tcW w:w="1832" w:type="dxa"/>
          </w:tcPr>
          <w:p w14:paraId="76CA6ACF"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1,645</w:t>
            </w:r>
          </w:p>
        </w:tc>
        <w:tc>
          <w:tcPr>
            <w:tcW w:w="1833" w:type="dxa"/>
          </w:tcPr>
          <w:p w14:paraId="4E7087DA"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2,615</w:t>
            </w:r>
          </w:p>
        </w:tc>
        <w:tc>
          <w:tcPr>
            <w:tcW w:w="1833" w:type="dxa"/>
          </w:tcPr>
          <w:p w14:paraId="4E188B63" w14:textId="77777777" w:rsidR="00B21374" w:rsidRPr="00207BCF" w:rsidRDefault="00B21374" w:rsidP="00500F01">
            <w:pPr>
              <w:keepNext/>
              <w:spacing w:line="300" w:lineRule="auto"/>
              <w:jc w:val="center"/>
              <w:rPr>
                <w:rFonts w:ascii="Arial" w:hAnsi="Arial" w:cs="Arial"/>
                <w:sz w:val="20"/>
                <w:szCs w:val="20"/>
              </w:rPr>
            </w:pPr>
            <w:r w:rsidRPr="00207BCF">
              <w:rPr>
                <w:rFonts w:ascii="Arial" w:hAnsi="Arial" w:cs="Arial"/>
                <w:color w:val="000000"/>
                <w:sz w:val="20"/>
                <w:szCs w:val="20"/>
              </w:rPr>
              <w:t>62.9%</w:t>
            </w:r>
          </w:p>
        </w:tc>
      </w:tr>
      <w:tr w:rsidR="00B21374" w:rsidRPr="00120FB5" w14:paraId="72E6DF8C" w14:textId="77777777" w:rsidTr="00EB1E43">
        <w:trPr>
          <w:jc w:val="center"/>
        </w:trPr>
        <w:tc>
          <w:tcPr>
            <w:tcW w:w="2701" w:type="dxa"/>
          </w:tcPr>
          <w:p w14:paraId="381DA3B8"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Childless couple</w:t>
            </w:r>
          </w:p>
        </w:tc>
        <w:tc>
          <w:tcPr>
            <w:tcW w:w="1832" w:type="dxa"/>
          </w:tcPr>
          <w:p w14:paraId="641EA734"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353</w:t>
            </w:r>
          </w:p>
        </w:tc>
        <w:tc>
          <w:tcPr>
            <w:tcW w:w="1833" w:type="dxa"/>
          </w:tcPr>
          <w:p w14:paraId="07015C2C"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1,158</w:t>
            </w:r>
          </w:p>
        </w:tc>
        <w:tc>
          <w:tcPr>
            <w:tcW w:w="1833" w:type="dxa"/>
          </w:tcPr>
          <w:p w14:paraId="5A39B523" w14:textId="77777777" w:rsidR="00B21374" w:rsidRPr="00207BCF" w:rsidRDefault="00B21374" w:rsidP="00500F01">
            <w:pPr>
              <w:keepNext/>
              <w:spacing w:line="300" w:lineRule="auto"/>
              <w:jc w:val="center"/>
              <w:rPr>
                <w:rFonts w:ascii="Arial" w:hAnsi="Arial" w:cs="Arial"/>
                <w:sz w:val="20"/>
                <w:szCs w:val="20"/>
              </w:rPr>
            </w:pPr>
            <w:r w:rsidRPr="00207BCF">
              <w:rPr>
                <w:rFonts w:ascii="Arial" w:hAnsi="Arial" w:cs="Arial"/>
                <w:color w:val="000000"/>
                <w:sz w:val="20"/>
                <w:szCs w:val="20"/>
              </w:rPr>
              <w:t>30.5%</w:t>
            </w:r>
          </w:p>
        </w:tc>
      </w:tr>
      <w:tr w:rsidR="00B21374" w:rsidRPr="00120FB5" w14:paraId="57E92E76" w14:textId="77777777" w:rsidTr="00EB1E43">
        <w:trPr>
          <w:jc w:val="center"/>
        </w:trPr>
        <w:tc>
          <w:tcPr>
            <w:tcW w:w="2701" w:type="dxa"/>
          </w:tcPr>
          <w:p w14:paraId="1E1AE3EA"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Other multi-adult</w:t>
            </w:r>
          </w:p>
        </w:tc>
        <w:tc>
          <w:tcPr>
            <w:tcW w:w="1832" w:type="dxa"/>
          </w:tcPr>
          <w:p w14:paraId="08A64AC6"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546</w:t>
            </w:r>
          </w:p>
        </w:tc>
        <w:tc>
          <w:tcPr>
            <w:tcW w:w="1833" w:type="dxa"/>
          </w:tcPr>
          <w:p w14:paraId="6E8F3B55"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1,038</w:t>
            </w:r>
          </w:p>
        </w:tc>
        <w:tc>
          <w:tcPr>
            <w:tcW w:w="1833" w:type="dxa"/>
          </w:tcPr>
          <w:p w14:paraId="07E42EEF" w14:textId="77777777" w:rsidR="00B21374" w:rsidRPr="00207BCF" w:rsidRDefault="00B21374" w:rsidP="00500F01">
            <w:pPr>
              <w:keepNext/>
              <w:spacing w:line="300" w:lineRule="auto"/>
              <w:jc w:val="center"/>
              <w:rPr>
                <w:rFonts w:ascii="Arial" w:hAnsi="Arial" w:cs="Arial"/>
                <w:sz w:val="20"/>
                <w:szCs w:val="20"/>
              </w:rPr>
            </w:pPr>
            <w:r w:rsidRPr="00207BCF">
              <w:rPr>
                <w:rFonts w:ascii="Arial" w:hAnsi="Arial" w:cs="Arial"/>
                <w:color w:val="000000"/>
                <w:sz w:val="20"/>
                <w:szCs w:val="20"/>
              </w:rPr>
              <w:t>52.6%</w:t>
            </w:r>
          </w:p>
        </w:tc>
      </w:tr>
      <w:tr w:rsidR="00B21374" w:rsidRPr="00120FB5" w14:paraId="0555EED1" w14:textId="77777777" w:rsidTr="00EB1E43">
        <w:trPr>
          <w:jc w:val="center"/>
        </w:trPr>
        <w:tc>
          <w:tcPr>
            <w:tcW w:w="2701" w:type="dxa"/>
          </w:tcPr>
          <w:p w14:paraId="27A84214"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Lone parent</w:t>
            </w:r>
          </w:p>
        </w:tc>
        <w:tc>
          <w:tcPr>
            <w:tcW w:w="1832" w:type="dxa"/>
          </w:tcPr>
          <w:p w14:paraId="7CFBD19A"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933</w:t>
            </w:r>
          </w:p>
        </w:tc>
        <w:tc>
          <w:tcPr>
            <w:tcW w:w="1833" w:type="dxa"/>
          </w:tcPr>
          <w:p w14:paraId="63A50711"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1,534</w:t>
            </w:r>
          </w:p>
        </w:tc>
        <w:tc>
          <w:tcPr>
            <w:tcW w:w="1833" w:type="dxa"/>
          </w:tcPr>
          <w:p w14:paraId="4D0CF669" w14:textId="77777777" w:rsidR="00B21374" w:rsidRPr="00207BCF" w:rsidRDefault="00B21374" w:rsidP="00500F01">
            <w:pPr>
              <w:keepNext/>
              <w:spacing w:line="300" w:lineRule="auto"/>
              <w:jc w:val="center"/>
              <w:rPr>
                <w:rFonts w:ascii="Arial" w:hAnsi="Arial" w:cs="Arial"/>
                <w:sz w:val="20"/>
                <w:szCs w:val="20"/>
              </w:rPr>
            </w:pPr>
            <w:r w:rsidRPr="00207BCF">
              <w:rPr>
                <w:rFonts w:ascii="Arial" w:hAnsi="Arial" w:cs="Arial"/>
                <w:color w:val="000000"/>
                <w:sz w:val="20"/>
                <w:szCs w:val="20"/>
              </w:rPr>
              <w:t>60.8%</w:t>
            </w:r>
          </w:p>
        </w:tc>
      </w:tr>
      <w:tr w:rsidR="00B21374" w:rsidRPr="00120FB5" w14:paraId="3AD3DCC2" w14:textId="77777777" w:rsidTr="00EB1E43">
        <w:trPr>
          <w:jc w:val="center"/>
        </w:trPr>
        <w:tc>
          <w:tcPr>
            <w:tcW w:w="2701" w:type="dxa"/>
          </w:tcPr>
          <w:p w14:paraId="4CB78524"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2+ adults 1 child</w:t>
            </w:r>
          </w:p>
        </w:tc>
        <w:tc>
          <w:tcPr>
            <w:tcW w:w="1832" w:type="dxa"/>
          </w:tcPr>
          <w:p w14:paraId="377B9F47"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444</w:t>
            </w:r>
          </w:p>
        </w:tc>
        <w:tc>
          <w:tcPr>
            <w:tcW w:w="1833" w:type="dxa"/>
          </w:tcPr>
          <w:p w14:paraId="1C9A4189"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1,170</w:t>
            </w:r>
          </w:p>
        </w:tc>
        <w:tc>
          <w:tcPr>
            <w:tcW w:w="1833" w:type="dxa"/>
          </w:tcPr>
          <w:p w14:paraId="64D0D6F8" w14:textId="77777777" w:rsidR="00B21374" w:rsidRPr="00207BCF" w:rsidRDefault="00B21374" w:rsidP="00500F01">
            <w:pPr>
              <w:keepNext/>
              <w:spacing w:line="300" w:lineRule="auto"/>
              <w:jc w:val="center"/>
              <w:rPr>
                <w:rFonts w:ascii="Arial" w:hAnsi="Arial" w:cs="Arial"/>
                <w:sz w:val="20"/>
                <w:szCs w:val="20"/>
              </w:rPr>
            </w:pPr>
            <w:r w:rsidRPr="00207BCF">
              <w:rPr>
                <w:rFonts w:ascii="Arial" w:hAnsi="Arial" w:cs="Arial"/>
                <w:color w:val="000000"/>
                <w:sz w:val="20"/>
                <w:szCs w:val="20"/>
              </w:rPr>
              <w:t>38.0%</w:t>
            </w:r>
          </w:p>
        </w:tc>
      </w:tr>
      <w:tr w:rsidR="00B21374" w:rsidRPr="00120FB5" w14:paraId="028EDD8A" w14:textId="77777777" w:rsidTr="00EB1E43">
        <w:trPr>
          <w:jc w:val="center"/>
        </w:trPr>
        <w:tc>
          <w:tcPr>
            <w:tcW w:w="2701" w:type="dxa"/>
          </w:tcPr>
          <w:p w14:paraId="6CC8D132"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2+ adults 2+ children</w:t>
            </w:r>
          </w:p>
        </w:tc>
        <w:tc>
          <w:tcPr>
            <w:tcW w:w="1832" w:type="dxa"/>
          </w:tcPr>
          <w:p w14:paraId="6F0E5962"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340</w:t>
            </w:r>
          </w:p>
        </w:tc>
        <w:tc>
          <w:tcPr>
            <w:tcW w:w="1833" w:type="dxa"/>
          </w:tcPr>
          <w:p w14:paraId="1487E5F0"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1,027</w:t>
            </w:r>
          </w:p>
        </w:tc>
        <w:tc>
          <w:tcPr>
            <w:tcW w:w="1833" w:type="dxa"/>
          </w:tcPr>
          <w:p w14:paraId="3C8CD9DE" w14:textId="77777777" w:rsidR="00B21374" w:rsidRPr="00207BCF" w:rsidRDefault="00B21374" w:rsidP="00500F01">
            <w:pPr>
              <w:keepNext/>
              <w:spacing w:line="300" w:lineRule="auto"/>
              <w:jc w:val="center"/>
              <w:rPr>
                <w:rFonts w:ascii="Arial" w:hAnsi="Arial" w:cs="Arial"/>
                <w:sz w:val="20"/>
                <w:szCs w:val="20"/>
              </w:rPr>
            </w:pPr>
            <w:r w:rsidRPr="00207BCF">
              <w:rPr>
                <w:rFonts w:ascii="Arial" w:hAnsi="Arial" w:cs="Arial"/>
                <w:color w:val="000000"/>
                <w:sz w:val="20"/>
                <w:szCs w:val="20"/>
              </w:rPr>
              <w:t>33.1%</w:t>
            </w:r>
          </w:p>
        </w:tc>
      </w:tr>
      <w:tr w:rsidR="00B21374" w:rsidRPr="00120FB5" w14:paraId="53DF9493" w14:textId="77777777" w:rsidTr="00EB1E43">
        <w:trPr>
          <w:jc w:val="center"/>
        </w:trPr>
        <w:tc>
          <w:tcPr>
            <w:tcW w:w="2701" w:type="dxa"/>
          </w:tcPr>
          <w:p w14:paraId="3DD599FA" w14:textId="77777777" w:rsidR="00B21374" w:rsidRPr="00120FB5" w:rsidRDefault="00B21374" w:rsidP="00500F01">
            <w:pPr>
              <w:keepNext/>
              <w:widowControl w:val="0"/>
              <w:spacing w:line="300" w:lineRule="auto"/>
              <w:rPr>
                <w:rFonts w:ascii="Arial" w:hAnsi="Arial" w:cs="Arial"/>
                <w:sz w:val="20"/>
                <w:szCs w:val="20"/>
              </w:rPr>
            </w:pPr>
            <w:r w:rsidRPr="00120FB5">
              <w:rPr>
                <w:rFonts w:ascii="Arial" w:hAnsi="Arial" w:cs="Arial"/>
                <w:sz w:val="20"/>
                <w:szCs w:val="20"/>
              </w:rPr>
              <w:t>Total</w:t>
            </w:r>
          </w:p>
        </w:tc>
        <w:tc>
          <w:tcPr>
            <w:tcW w:w="1832" w:type="dxa"/>
          </w:tcPr>
          <w:p w14:paraId="4680D10E"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5,715</w:t>
            </w:r>
          </w:p>
        </w:tc>
        <w:tc>
          <w:tcPr>
            <w:tcW w:w="1833" w:type="dxa"/>
          </w:tcPr>
          <w:p w14:paraId="56E0F0A2" w14:textId="77777777" w:rsidR="00B21374" w:rsidRPr="00207BCF" w:rsidRDefault="00B21374" w:rsidP="00500F01">
            <w:pPr>
              <w:keepNext/>
              <w:spacing w:line="300" w:lineRule="auto"/>
              <w:jc w:val="center"/>
              <w:rPr>
                <w:rFonts w:ascii="Arial" w:hAnsi="Arial" w:cs="Arial"/>
                <w:color w:val="000000"/>
                <w:sz w:val="20"/>
                <w:szCs w:val="20"/>
              </w:rPr>
            </w:pPr>
            <w:r w:rsidRPr="00207BCF">
              <w:rPr>
                <w:rFonts w:ascii="Arial" w:hAnsi="Arial" w:cs="Arial"/>
                <w:color w:val="000000"/>
                <w:sz w:val="20"/>
                <w:szCs w:val="20"/>
              </w:rPr>
              <w:t>11,010</w:t>
            </w:r>
          </w:p>
        </w:tc>
        <w:tc>
          <w:tcPr>
            <w:tcW w:w="1833" w:type="dxa"/>
          </w:tcPr>
          <w:p w14:paraId="0E7C5BEF" w14:textId="77777777" w:rsidR="00B21374" w:rsidRPr="00207BCF" w:rsidRDefault="00B21374" w:rsidP="00500F01">
            <w:pPr>
              <w:keepNext/>
              <w:spacing w:line="300" w:lineRule="auto"/>
              <w:jc w:val="center"/>
              <w:rPr>
                <w:rFonts w:ascii="Arial" w:hAnsi="Arial" w:cs="Arial"/>
                <w:sz w:val="20"/>
                <w:szCs w:val="20"/>
              </w:rPr>
            </w:pPr>
            <w:r w:rsidRPr="00207BCF">
              <w:rPr>
                <w:rFonts w:ascii="Arial" w:hAnsi="Arial" w:cs="Arial"/>
                <w:color w:val="000000"/>
                <w:sz w:val="20"/>
                <w:szCs w:val="20"/>
              </w:rPr>
              <w:t>51.9%</w:t>
            </w:r>
          </w:p>
        </w:tc>
      </w:tr>
    </w:tbl>
    <w:p w14:paraId="4353A072" w14:textId="6213EC77" w:rsidR="00B21374" w:rsidRDefault="00AB789F" w:rsidP="00500F01">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7A3F1578" w14:textId="4844361B" w:rsidR="00B21374" w:rsidRDefault="00B21374">
      <w:pPr>
        <w:pStyle w:val="Reporttext0"/>
        <w:keepLines w:val="0"/>
        <w:widowControl w:val="0"/>
        <w:numPr>
          <w:ilvl w:val="0"/>
          <w:numId w:val="0"/>
        </w:numPr>
        <w:spacing w:line="300" w:lineRule="auto"/>
        <w:jc w:val="both"/>
        <w:rPr>
          <w:rFonts w:ascii="Arial" w:hAnsi="Arial" w:cs="Arial"/>
          <w:sz w:val="20"/>
        </w:rPr>
      </w:pPr>
    </w:p>
    <w:p w14:paraId="7BDC952D" w14:textId="77777777" w:rsidR="00177D13" w:rsidRDefault="00177D13" w:rsidP="00172F56">
      <w:pPr>
        <w:pStyle w:val="Reporttext0"/>
        <w:keepLines w:val="0"/>
        <w:widowControl w:val="0"/>
        <w:numPr>
          <w:ilvl w:val="0"/>
          <w:numId w:val="0"/>
        </w:numPr>
        <w:spacing w:line="300" w:lineRule="auto"/>
        <w:jc w:val="both"/>
        <w:rPr>
          <w:rFonts w:ascii="Arial" w:hAnsi="Arial" w:cs="Arial"/>
          <w:sz w:val="20"/>
        </w:rPr>
      </w:pPr>
    </w:p>
    <w:p w14:paraId="67D22FF9" w14:textId="7585BE91" w:rsidR="00EB1E43" w:rsidRPr="007236BD" w:rsidRDefault="00EB1E43" w:rsidP="00172F56">
      <w:pPr>
        <w:spacing w:line="300" w:lineRule="auto"/>
        <w:jc w:val="both"/>
        <w:rPr>
          <w:rFonts w:ascii="Arial" w:hAnsi="Arial" w:cs="Arial"/>
          <w:b/>
          <w:lang w:eastAsia="ja-JP"/>
        </w:rPr>
      </w:pPr>
      <w:r>
        <w:rPr>
          <w:rFonts w:ascii="Arial" w:hAnsi="Arial" w:cs="Arial"/>
          <w:b/>
          <w:lang w:eastAsia="ja-JP"/>
        </w:rPr>
        <w:t>Households Able to Rent but not Buy</w:t>
      </w:r>
    </w:p>
    <w:p w14:paraId="058757D3" w14:textId="77777777" w:rsidR="00EB1E43" w:rsidRPr="002143DA" w:rsidRDefault="00EB1E43" w:rsidP="00172F56">
      <w:pPr>
        <w:spacing w:line="300" w:lineRule="auto"/>
        <w:jc w:val="both"/>
        <w:rPr>
          <w:rFonts w:ascii="Arial" w:hAnsi="Arial" w:cs="Arial"/>
          <w:sz w:val="20"/>
          <w:szCs w:val="20"/>
          <w:lang w:eastAsia="ja-JP"/>
        </w:rPr>
      </w:pPr>
    </w:p>
    <w:p w14:paraId="2DA73092" w14:textId="13C5FEC9" w:rsidR="00B21374" w:rsidRPr="00EB1E43" w:rsidRDefault="00B21374">
      <w:pPr>
        <w:pStyle w:val="11Bodytext"/>
        <w:numPr>
          <w:ilvl w:val="1"/>
          <w:numId w:val="32"/>
        </w:numPr>
        <w:spacing w:before="0" w:after="0" w:line="300" w:lineRule="auto"/>
        <w:ind w:left="720" w:hanging="720"/>
        <w:rPr>
          <w:color w:val="auto"/>
        </w:rPr>
      </w:pPr>
      <w:r w:rsidRPr="00EB1E43">
        <w:t xml:space="preserve">As well as looking at households unable to afford to buy OR rent housing locally the </w:t>
      </w:r>
      <w:r w:rsidR="00432414" w:rsidRPr="00EB1E43">
        <w:t>analysis</w:t>
      </w:r>
      <w:r w:rsidRPr="00EB1E43">
        <w:t xml:space="preserve"> considers households who are able to rent a home but not afford to buy. This category is important when considering the need for affordable home ownership products, which now form part of the Government’s definition of affordable housing in the NPPF (latest version July 2021).</w:t>
      </w:r>
    </w:p>
    <w:p w14:paraId="565B5D22" w14:textId="77777777" w:rsidR="00EB1E43" w:rsidRPr="00EB1E43" w:rsidRDefault="00EB1E43" w:rsidP="00172F56">
      <w:pPr>
        <w:pStyle w:val="11Bodytext"/>
        <w:numPr>
          <w:ilvl w:val="0"/>
          <w:numId w:val="0"/>
        </w:numPr>
        <w:spacing w:before="0" w:after="0" w:line="300" w:lineRule="auto"/>
        <w:rPr>
          <w:color w:val="auto"/>
        </w:rPr>
      </w:pPr>
    </w:p>
    <w:p w14:paraId="3492D19E" w14:textId="1A73ABFE" w:rsidR="00B21374" w:rsidRPr="00EB1E43" w:rsidRDefault="00B21374">
      <w:pPr>
        <w:pStyle w:val="11Bodytext"/>
        <w:numPr>
          <w:ilvl w:val="1"/>
          <w:numId w:val="32"/>
        </w:numPr>
        <w:spacing w:before="0" w:after="0" w:line="300" w:lineRule="auto"/>
        <w:ind w:left="720" w:hanging="720"/>
        <w:rPr>
          <w:color w:val="auto"/>
        </w:rPr>
      </w:pPr>
      <w:r w:rsidRPr="00EB1E43">
        <w:t>The table below shows the tenures of housing affordable to households in the Borough; this confirms the 18.1% who are unable to afford to buy OR rent and also shows around 11% as able to rent but not buy. There are a further 12</w:t>
      </w:r>
      <w:r>
        <w:t>%</w:t>
      </w:r>
      <w:r w:rsidRPr="00EB1E43">
        <w:t xml:space="preserve"> who can afford to buy only, these households are mainly older owner-occupiers with a high level of equity but more modest incomes.</w:t>
      </w:r>
    </w:p>
    <w:p w14:paraId="7F8079C8" w14:textId="77777777" w:rsidR="00B21374" w:rsidRDefault="00B21374"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ayout w:type="fixed"/>
        <w:tblLook w:val="04A0" w:firstRow="1" w:lastRow="0" w:firstColumn="1" w:lastColumn="0" w:noHBand="0" w:noVBand="1"/>
      </w:tblPr>
      <w:tblGrid>
        <w:gridCol w:w="2733"/>
        <w:gridCol w:w="2733"/>
        <w:gridCol w:w="2733"/>
      </w:tblGrid>
      <w:tr w:rsidR="00B21374" w:rsidRPr="00E11E96" w14:paraId="15D0EE0D" w14:textId="77777777" w:rsidTr="00172F56">
        <w:trPr>
          <w:jc w:val="center"/>
        </w:trPr>
        <w:tc>
          <w:tcPr>
            <w:tcW w:w="8199" w:type="dxa"/>
            <w:gridSpan w:val="3"/>
            <w:noWrap/>
          </w:tcPr>
          <w:p w14:paraId="7ECCE743" w14:textId="67F2D267" w:rsidR="00B21374" w:rsidRPr="00E11E96" w:rsidRDefault="00AD29A6" w:rsidP="00500F01">
            <w:pPr>
              <w:keepNext/>
              <w:spacing w:before="60" w:after="60" w:line="300" w:lineRule="auto"/>
              <w:jc w:val="center"/>
              <w:rPr>
                <w:rFonts w:ascii="Arial" w:hAnsi="Arial" w:cs="Arial"/>
                <w:b/>
                <w:bCs/>
                <w:color w:val="000000"/>
                <w:sz w:val="20"/>
                <w:szCs w:val="20"/>
              </w:rPr>
            </w:pPr>
            <w:r>
              <w:rPr>
                <w:rFonts w:ascii="Arial" w:hAnsi="Arial" w:cs="Arial"/>
                <w:b/>
                <w:bCs/>
                <w:color w:val="000000"/>
                <w:sz w:val="20"/>
                <w:szCs w:val="20"/>
              </w:rPr>
              <w:t>Figure</w:t>
            </w:r>
            <w:r w:rsidR="00B21374" w:rsidRPr="00E11E96">
              <w:rPr>
                <w:rFonts w:ascii="Arial" w:hAnsi="Arial" w:cs="Arial"/>
                <w:b/>
                <w:bCs/>
                <w:color w:val="000000"/>
                <w:sz w:val="20"/>
                <w:szCs w:val="20"/>
              </w:rPr>
              <w:t xml:space="preserve"> </w:t>
            </w:r>
            <w:r>
              <w:rPr>
                <w:rFonts w:ascii="Arial" w:hAnsi="Arial" w:cs="Arial"/>
                <w:b/>
                <w:bCs/>
                <w:color w:val="000000"/>
                <w:sz w:val="20"/>
                <w:szCs w:val="20"/>
              </w:rPr>
              <w:t>2.15</w:t>
            </w:r>
            <w:r w:rsidR="00B21374" w:rsidRPr="00E11E96">
              <w:rPr>
                <w:rFonts w:ascii="Arial" w:hAnsi="Arial" w:cs="Arial"/>
                <w:b/>
                <w:bCs/>
                <w:color w:val="000000"/>
                <w:sz w:val="20"/>
                <w:szCs w:val="20"/>
              </w:rPr>
              <w:t xml:space="preserve">: </w:t>
            </w:r>
            <w:r w:rsidR="003329D1" w:rsidRPr="003329D1">
              <w:rPr>
                <w:rFonts w:ascii="Arial" w:hAnsi="Arial" w:cs="Arial"/>
                <w:b/>
                <w:bCs/>
                <w:color w:val="000000"/>
                <w:sz w:val="20"/>
                <w:szCs w:val="20"/>
              </w:rPr>
              <w:t>Tenures of housing that households can afford</w:t>
            </w:r>
          </w:p>
        </w:tc>
      </w:tr>
      <w:tr w:rsidR="00B21374" w:rsidRPr="00C26D28" w14:paraId="6E0FE17B" w14:textId="77777777" w:rsidTr="00172F56">
        <w:trPr>
          <w:jc w:val="center"/>
        </w:trPr>
        <w:tc>
          <w:tcPr>
            <w:tcW w:w="2733" w:type="dxa"/>
            <w:noWrap/>
          </w:tcPr>
          <w:p w14:paraId="0B49342E" w14:textId="77777777" w:rsidR="00B21374" w:rsidRPr="00C26D28" w:rsidRDefault="00B21374" w:rsidP="00500F01">
            <w:pPr>
              <w:keepNext/>
              <w:spacing w:before="60" w:after="60" w:line="300" w:lineRule="auto"/>
              <w:rPr>
                <w:rFonts w:ascii="Arial" w:hAnsi="Arial" w:cs="Arial"/>
                <w:color w:val="000000"/>
                <w:sz w:val="20"/>
                <w:szCs w:val="20"/>
              </w:rPr>
            </w:pPr>
          </w:p>
        </w:tc>
        <w:tc>
          <w:tcPr>
            <w:tcW w:w="2733" w:type="dxa"/>
            <w:noWrap/>
          </w:tcPr>
          <w:p w14:paraId="126378D1" w14:textId="77777777" w:rsidR="00B21374" w:rsidRPr="00C26D28" w:rsidRDefault="00B21374" w:rsidP="00500F01">
            <w:pPr>
              <w:keepNext/>
              <w:spacing w:before="60" w:after="60" w:line="300" w:lineRule="auto"/>
              <w:jc w:val="center"/>
              <w:rPr>
                <w:rFonts w:ascii="Arial" w:hAnsi="Arial" w:cs="Arial"/>
                <w:color w:val="000000"/>
                <w:sz w:val="20"/>
                <w:szCs w:val="20"/>
              </w:rPr>
            </w:pPr>
            <w:r w:rsidRPr="00C26D28">
              <w:rPr>
                <w:rFonts w:ascii="Arial" w:hAnsi="Arial" w:cs="Arial"/>
                <w:color w:val="000000"/>
                <w:sz w:val="20"/>
                <w:szCs w:val="20"/>
              </w:rPr>
              <w:t>Households</w:t>
            </w:r>
          </w:p>
        </w:tc>
        <w:tc>
          <w:tcPr>
            <w:tcW w:w="2733" w:type="dxa"/>
            <w:noWrap/>
          </w:tcPr>
          <w:p w14:paraId="0D1EB4EF" w14:textId="77777777" w:rsidR="00B21374" w:rsidRPr="00C26D28" w:rsidRDefault="00B21374" w:rsidP="00500F01">
            <w:pPr>
              <w:keepNext/>
              <w:spacing w:before="60" w:after="60" w:line="300" w:lineRule="auto"/>
              <w:jc w:val="center"/>
              <w:rPr>
                <w:rFonts w:ascii="Arial" w:hAnsi="Arial" w:cs="Arial"/>
                <w:color w:val="000000"/>
                <w:sz w:val="20"/>
                <w:szCs w:val="20"/>
              </w:rPr>
            </w:pPr>
            <w:r w:rsidRPr="00C26D28">
              <w:rPr>
                <w:rFonts w:ascii="Arial" w:hAnsi="Arial" w:cs="Arial"/>
                <w:color w:val="000000"/>
                <w:sz w:val="20"/>
                <w:szCs w:val="20"/>
              </w:rPr>
              <w:t>% of households</w:t>
            </w:r>
          </w:p>
        </w:tc>
      </w:tr>
      <w:tr w:rsidR="00B21374" w:rsidRPr="00C26D28" w14:paraId="5D04ABBE" w14:textId="77777777" w:rsidTr="00172F56">
        <w:trPr>
          <w:jc w:val="center"/>
        </w:trPr>
        <w:tc>
          <w:tcPr>
            <w:tcW w:w="2733" w:type="dxa"/>
            <w:noWrap/>
            <w:hideMark/>
          </w:tcPr>
          <w:p w14:paraId="724A0F69" w14:textId="77777777" w:rsidR="00B21374" w:rsidRPr="00C26D28" w:rsidRDefault="00B21374" w:rsidP="00500F01">
            <w:pPr>
              <w:keepNext/>
              <w:spacing w:line="300" w:lineRule="auto"/>
              <w:rPr>
                <w:rFonts w:ascii="Arial" w:hAnsi="Arial" w:cs="Arial"/>
                <w:color w:val="000000"/>
                <w:sz w:val="20"/>
                <w:szCs w:val="20"/>
              </w:rPr>
            </w:pPr>
            <w:r>
              <w:rPr>
                <w:rFonts w:ascii="Arial" w:hAnsi="Arial" w:cs="Arial"/>
                <w:color w:val="000000"/>
                <w:sz w:val="20"/>
                <w:szCs w:val="20"/>
              </w:rPr>
              <w:t>A</w:t>
            </w:r>
            <w:r w:rsidRPr="00C26D28">
              <w:rPr>
                <w:rFonts w:ascii="Arial" w:hAnsi="Arial" w:cs="Arial"/>
                <w:color w:val="000000"/>
                <w:sz w:val="20"/>
                <w:szCs w:val="20"/>
              </w:rPr>
              <w:t>fford to buy or rent</w:t>
            </w:r>
          </w:p>
        </w:tc>
        <w:tc>
          <w:tcPr>
            <w:tcW w:w="2733" w:type="dxa"/>
            <w:noWrap/>
            <w:hideMark/>
          </w:tcPr>
          <w:p w14:paraId="1E3E265C" w14:textId="77777777" w:rsidR="00B21374" w:rsidRPr="00C26D28" w:rsidRDefault="00B21374" w:rsidP="00500F01">
            <w:pPr>
              <w:keepNext/>
              <w:spacing w:line="300" w:lineRule="auto"/>
              <w:jc w:val="center"/>
              <w:rPr>
                <w:rFonts w:ascii="Arial" w:hAnsi="Arial" w:cs="Arial"/>
                <w:color w:val="000000"/>
                <w:sz w:val="20"/>
                <w:szCs w:val="20"/>
              </w:rPr>
            </w:pPr>
            <w:r w:rsidRPr="00C26D28">
              <w:rPr>
                <w:rFonts w:ascii="Arial" w:hAnsi="Arial" w:cs="Arial"/>
                <w:color w:val="000000"/>
                <w:sz w:val="20"/>
                <w:szCs w:val="20"/>
              </w:rPr>
              <w:t>23,221</w:t>
            </w:r>
          </w:p>
        </w:tc>
        <w:tc>
          <w:tcPr>
            <w:tcW w:w="2733" w:type="dxa"/>
            <w:noWrap/>
            <w:hideMark/>
          </w:tcPr>
          <w:p w14:paraId="51524A99" w14:textId="77777777" w:rsidR="00B21374" w:rsidRPr="00C26D28" w:rsidRDefault="00B21374" w:rsidP="00500F01">
            <w:pPr>
              <w:keepNext/>
              <w:spacing w:line="300" w:lineRule="auto"/>
              <w:jc w:val="center"/>
              <w:rPr>
                <w:rFonts w:ascii="Arial" w:hAnsi="Arial" w:cs="Arial"/>
                <w:color w:val="000000"/>
                <w:sz w:val="20"/>
                <w:szCs w:val="20"/>
              </w:rPr>
            </w:pPr>
            <w:r w:rsidRPr="00C26D28">
              <w:rPr>
                <w:rFonts w:ascii="Arial" w:hAnsi="Arial" w:cs="Arial"/>
                <w:color w:val="000000"/>
                <w:sz w:val="20"/>
                <w:szCs w:val="20"/>
              </w:rPr>
              <w:t>59.5</w:t>
            </w:r>
            <w:r>
              <w:rPr>
                <w:rFonts w:ascii="Arial" w:hAnsi="Arial" w:cs="Arial"/>
                <w:color w:val="000000"/>
                <w:sz w:val="20"/>
                <w:szCs w:val="20"/>
              </w:rPr>
              <w:t>%</w:t>
            </w:r>
          </w:p>
        </w:tc>
      </w:tr>
      <w:tr w:rsidR="00B21374" w:rsidRPr="00C26D28" w14:paraId="4247284F" w14:textId="77777777" w:rsidTr="00172F56">
        <w:trPr>
          <w:jc w:val="center"/>
        </w:trPr>
        <w:tc>
          <w:tcPr>
            <w:tcW w:w="2733" w:type="dxa"/>
            <w:noWrap/>
            <w:hideMark/>
          </w:tcPr>
          <w:p w14:paraId="173D81E6" w14:textId="77777777" w:rsidR="00B21374" w:rsidRPr="00C26D28" w:rsidRDefault="00B21374" w:rsidP="00500F01">
            <w:pPr>
              <w:keepNext/>
              <w:spacing w:line="300" w:lineRule="auto"/>
              <w:rPr>
                <w:rFonts w:ascii="Arial" w:hAnsi="Arial" w:cs="Arial"/>
                <w:color w:val="000000"/>
                <w:sz w:val="20"/>
                <w:szCs w:val="20"/>
              </w:rPr>
            </w:pPr>
            <w:r>
              <w:rPr>
                <w:rFonts w:ascii="Arial" w:hAnsi="Arial" w:cs="Arial"/>
                <w:color w:val="000000"/>
                <w:sz w:val="20"/>
                <w:szCs w:val="20"/>
              </w:rPr>
              <w:t>A</w:t>
            </w:r>
            <w:r w:rsidRPr="00C26D28">
              <w:rPr>
                <w:rFonts w:ascii="Arial" w:hAnsi="Arial" w:cs="Arial"/>
                <w:color w:val="000000"/>
                <w:sz w:val="20"/>
                <w:szCs w:val="20"/>
              </w:rPr>
              <w:t>fford to rent only</w:t>
            </w:r>
          </w:p>
        </w:tc>
        <w:tc>
          <w:tcPr>
            <w:tcW w:w="2733" w:type="dxa"/>
            <w:noWrap/>
            <w:hideMark/>
          </w:tcPr>
          <w:p w14:paraId="2DAD2148" w14:textId="77777777" w:rsidR="00B21374" w:rsidRPr="00C26D28" w:rsidRDefault="00B21374" w:rsidP="00500F01">
            <w:pPr>
              <w:keepNext/>
              <w:spacing w:line="300" w:lineRule="auto"/>
              <w:jc w:val="center"/>
              <w:rPr>
                <w:rFonts w:ascii="Arial" w:hAnsi="Arial" w:cs="Arial"/>
                <w:color w:val="000000"/>
                <w:sz w:val="20"/>
                <w:szCs w:val="20"/>
              </w:rPr>
            </w:pPr>
            <w:r w:rsidRPr="00C26D28">
              <w:rPr>
                <w:rFonts w:ascii="Arial" w:hAnsi="Arial" w:cs="Arial"/>
                <w:color w:val="000000"/>
                <w:sz w:val="20"/>
                <w:szCs w:val="20"/>
              </w:rPr>
              <w:t>4,151</w:t>
            </w:r>
          </w:p>
        </w:tc>
        <w:tc>
          <w:tcPr>
            <w:tcW w:w="2733" w:type="dxa"/>
            <w:noWrap/>
            <w:hideMark/>
          </w:tcPr>
          <w:p w14:paraId="65E2A0FE" w14:textId="77777777" w:rsidR="00B21374" w:rsidRPr="00C26D28" w:rsidRDefault="00B21374" w:rsidP="00500F01">
            <w:pPr>
              <w:keepNext/>
              <w:spacing w:line="300" w:lineRule="auto"/>
              <w:jc w:val="center"/>
              <w:rPr>
                <w:rFonts w:ascii="Arial" w:hAnsi="Arial" w:cs="Arial"/>
                <w:color w:val="000000"/>
                <w:sz w:val="20"/>
                <w:szCs w:val="20"/>
              </w:rPr>
            </w:pPr>
            <w:r w:rsidRPr="00C26D28">
              <w:rPr>
                <w:rFonts w:ascii="Arial" w:hAnsi="Arial" w:cs="Arial"/>
                <w:color w:val="000000"/>
                <w:sz w:val="20"/>
                <w:szCs w:val="20"/>
              </w:rPr>
              <w:t>10.6</w:t>
            </w:r>
            <w:r>
              <w:rPr>
                <w:rFonts w:ascii="Arial" w:hAnsi="Arial" w:cs="Arial"/>
                <w:color w:val="000000"/>
                <w:sz w:val="20"/>
                <w:szCs w:val="20"/>
              </w:rPr>
              <w:t>%</w:t>
            </w:r>
          </w:p>
        </w:tc>
      </w:tr>
      <w:tr w:rsidR="00B21374" w:rsidRPr="00C26D28" w14:paraId="4AB84514" w14:textId="77777777" w:rsidTr="00172F56">
        <w:trPr>
          <w:jc w:val="center"/>
        </w:trPr>
        <w:tc>
          <w:tcPr>
            <w:tcW w:w="2733" w:type="dxa"/>
            <w:noWrap/>
            <w:hideMark/>
          </w:tcPr>
          <w:p w14:paraId="3EE23817" w14:textId="77777777" w:rsidR="00B21374" w:rsidRPr="00C26D28" w:rsidRDefault="00B21374" w:rsidP="00500F01">
            <w:pPr>
              <w:keepNext/>
              <w:spacing w:line="300" w:lineRule="auto"/>
              <w:rPr>
                <w:rFonts w:ascii="Arial" w:hAnsi="Arial" w:cs="Arial"/>
                <w:color w:val="000000"/>
                <w:sz w:val="20"/>
                <w:szCs w:val="20"/>
              </w:rPr>
            </w:pPr>
            <w:r>
              <w:rPr>
                <w:rFonts w:ascii="Arial" w:hAnsi="Arial" w:cs="Arial"/>
                <w:color w:val="000000"/>
                <w:sz w:val="20"/>
                <w:szCs w:val="20"/>
              </w:rPr>
              <w:t>A</w:t>
            </w:r>
            <w:r w:rsidRPr="00C26D28">
              <w:rPr>
                <w:rFonts w:ascii="Arial" w:hAnsi="Arial" w:cs="Arial"/>
                <w:color w:val="000000"/>
                <w:sz w:val="20"/>
                <w:szCs w:val="20"/>
              </w:rPr>
              <w:t>fford to buy only</w:t>
            </w:r>
          </w:p>
        </w:tc>
        <w:tc>
          <w:tcPr>
            <w:tcW w:w="2733" w:type="dxa"/>
            <w:noWrap/>
            <w:hideMark/>
          </w:tcPr>
          <w:p w14:paraId="078E9896" w14:textId="77777777" w:rsidR="00B21374" w:rsidRPr="00C26D28" w:rsidRDefault="00B21374" w:rsidP="00500F01">
            <w:pPr>
              <w:keepNext/>
              <w:spacing w:line="300" w:lineRule="auto"/>
              <w:jc w:val="center"/>
              <w:rPr>
                <w:rFonts w:ascii="Arial" w:hAnsi="Arial" w:cs="Arial"/>
                <w:color w:val="000000"/>
                <w:sz w:val="20"/>
                <w:szCs w:val="20"/>
              </w:rPr>
            </w:pPr>
            <w:r w:rsidRPr="00C26D28">
              <w:rPr>
                <w:rFonts w:ascii="Arial" w:hAnsi="Arial" w:cs="Arial"/>
                <w:color w:val="000000"/>
                <w:sz w:val="20"/>
                <w:szCs w:val="20"/>
              </w:rPr>
              <w:t>4,580</w:t>
            </w:r>
          </w:p>
        </w:tc>
        <w:tc>
          <w:tcPr>
            <w:tcW w:w="2733" w:type="dxa"/>
            <w:noWrap/>
            <w:hideMark/>
          </w:tcPr>
          <w:p w14:paraId="048057E3" w14:textId="77777777" w:rsidR="00B21374" w:rsidRPr="00C26D28" w:rsidRDefault="00B21374" w:rsidP="00500F01">
            <w:pPr>
              <w:keepNext/>
              <w:spacing w:line="300" w:lineRule="auto"/>
              <w:jc w:val="center"/>
              <w:rPr>
                <w:rFonts w:ascii="Arial" w:hAnsi="Arial" w:cs="Arial"/>
                <w:color w:val="000000"/>
                <w:sz w:val="20"/>
                <w:szCs w:val="20"/>
              </w:rPr>
            </w:pPr>
            <w:r w:rsidRPr="00C26D28">
              <w:rPr>
                <w:rFonts w:ascii="Arial" w:hAnsi="Arial" w:cs="Arial"/>
                <w:color w:val="000000"/>
                <w:sz w:val="20"/>
                <w:szCs w:val="20"/>
              </w:rPr>
              <w:t>11.7</w:t>
            </w:r>
            <w:r>
              <w:rPr>
                <w:rFonts w:ascii="Arial" w:hAnsi="Arial" w:cs="Arial"/>
                <w:color w:val="000000"/>
                <w:sz w:val="20"/>
                <w:szCs w:val="20"/>
              </w:rPr>
              <w:t>%</w:t>
            </w:r>
          </w:p>
        </w:tc>
      </w:tr>
      <w:tr w:rsidR="00B21374" w:rsidRPr="00C26D28" w14:paraId="6E935943" w14:textId="77777777" w:rsidTr="00172F56">
        <w:trPr>
          <w:jc w:val="center"/>
        </w:trPr>
        <w:tc>
          <w:tcPr>
            <w:tcW w:w="2733" w:type="dxa"/>
            <w:noWrap/>
            <w:hideMark/>
          </w:tcPr>
          <w:p w14:paraId="1A3EF127" w14:textId="77777777" w:rsidR="00B21374" w:rsidRPr="00C26D28" w:rsidRDefault="00B21374" w:rsidP="00500F01">
            <w:pPr>
              <w:keepNext/>
              <w:spacing w:line="300" w:lineRule="auto"/>
              <w:rPr>
                <w:rFonts w:ascii="Arial" w:hAnsi="Arial" w:cs="Arial"/>
                <w:color w:val="000000"/>
                <w:sz w:val="20"/>
                <w:szCs w:val="20"/>
              </w:rPr>
            </w:pPr>
            <w:r w:rsidRPr="00C26D28">
              <w:rPr>
                <w:rFonts w:ascii="Arial" w:hAnsi="Arial" w:cs="Arial"/>
                <w:color w:val="000000"/>
                <w:sz w:val="20"/>
                <w:szCs w:val="20"/>
              </w:rPr>
              <w:t>NOT afford suitable housing</w:t>
            </w:r>
          </w:p>
        </w:tc>
        <w:tc>
          <w:tcPr>
            <w:tcW w:w="2733" w:type="dxa"/>
            <w:noWrap/>
            <w:hideMark/>
          </w:tcPr>
          <w:p w14:paraId="7BB61352" w14:textId="77777777" w:rsidR="00B21374" w:rsidRPr="00C26D28" w:rsidRDefault="00B21374" w:rsidP="00500F01">
            <w:pPr>
              <w:keepNext/>
              <w:spacing w:line="300" w:lineRule="auto"/>
              <w:jc w:val="center"/>
              <w:rPr>
                <w:rFonts w:ascii="Arial" w:hAnsi="Arial" w:cs="Arial"/>
                <w:color w:val="000000"/>
                <w:sz w:val="20"/>
                <w:szCs w:val="20"/>
              </w:rPr>
            </w:pPr>
            <w:r w:rsidRPr="00C26D28">
              <w:rPr>
                <w:rFonts w:ascii="Arial" w:hAnsi="Arial" w:cs="Arial"/>
                <w:color w:val="000000"/>
                <w:sz w:val="20"/>
                <w:szCs w:val="20"/>
              </w:rPr>
              <w:t>7,048</w:t>
            </w:r>
          </w:p>
        </w:tc>
        <w:tc>
          <w:tcPr>
            <w:tcW w:w="2733" w:type="dxa"/>
            <w:noWrap/>
            <w:hideMark/>
          </w:tcPr>
          <w:p w14:paraId="13102CCC" w14:textId="77777777" w:rsidR="00B21374" w:rsidRPr="00C26D28" w:rsidRDefault="00B21374" w:rsidP="00500F01">
            <w:pPr>
              <w:keepNext/>
              <w:spacing w:line="300" w:lineRule="auto"/>
              <w:jc w:val="center"/>
              <w:rPr>
                <w:rFonts w:ascii="Arial" w:hAnsi="Arial" w:cs="Arial"/>
                <w:color w:val="000000"/>
                <w:sz w:val="20"/>
                <w:szCs w:val="20"/>
              </w:rPr>
            </w:pPr>
            <w:r w:rsidRPr="00C26D28">
              <w:rPr>
                <w:rFonts w:ascii="Arial" w:hAnsi="Arial" w:cs="Arial"/>
                <w:color w:val="000000"/>
                <w:sz w:val="20"/>
                <w:szCs w:val="20"/>
              </w:rPr>
              <w:t>18.1</w:t>
            </w:r>
            <w:r>
              <w:rPr>
                <w:rFonts w:ascii="Arial" w:hAnsi="Arial" w:cs="Arial"/>
                <w:color w:val="000000"/>
                <w:sz w:val="20"/>
                <w:szCs w:val="20"/>
              </w:rPr>
              <w:t>%</w:t>
            </w:r>
          </w:p>
        </w:tc>
      </w:tr>
      <w:tr w:rsidR="00B21374" w:rsidRPr="00C26D28" w14:paraId="3EC6E08B" w14:textId="77777777" w:rsidTr="00172F56">
        <w:trPr>
          <w:jc w:val="center"/>
        </w:trPr>
        <w:tc>
          <w:tcPr>
            <w:tcW w:w="2733" w:type="dxa"/>
            <w:noWrap/>
            <w:hideMark/>
          </w:tcPr>
          <w:p w14:paraId="25D4404D" w14:textId="77777777" w:rsidR="00B21374" w:rsidRPr="00C26D28" w:rsidRDefault="00B21374" w:rsidP="00500F01">
            <w:pPr>
              <w:keepNext/>
              <w:spacing w:line="300" w:lineRule="auto"/>
              <w:rPr>
                <w:rFonts w:ascii="Arial" w:hAnsi="Arial" w:cs="Arial"/>
                <w:color w:val="000000"/>
                <w:sz w:val="20"/>
                <w:szCs w:val="20"/>
              </w:rPr>
            </w:pPr>
            <w:r w:rsidRPr="00C26D28">
              <w:rPr>
                <w:rFonts w:ascii="Arial" w:hAnsi="Arial" w:cs="Arial"/>
                <w:color w:val="000000"/>
                <w:sz w:val="20"/>
                <w:szCs w:val="20"/>
              </w:rPr>
              <w:t>Total</w:t>
            </w:r>
          </w:p>
        </w:tc>
        <w:tc>
          <w:tcPr>
            <w:tcW w:w="2733" w:type="dxa"/>
            <w:noWrap/>
            <w:hideMark/>
          </w:tcPr>
          <w:p w14:paraId="5AB37F3F" w14:textId="77777777" w:rsidR="00B21374" w:rsidRPr="00C26D28" w:rsidRDefault="00B21374" w:rsidP="00500F01">
            <w:pPr>
              <w:keepNext/>
              <w:spacing w:line="300" w:lineRule="auto"/>
              <w:jc w:val="center"/>
              <w:rPr>
                <w:rFonts w:ascii="Arial" w:hAnsi="Arial" w:cs="Arial"/>
                <w:color w:val="000000"/>
                <w:sz w:val="20"/>
                <w:szCs w:val="20"/>
              </w:rPr>
            </w:pPr>
            <w:r w:rsidRPr="00C26D28">
              <w:rPr>
                <w:rFonts w:ascii="Arial" w:hAnsi="Arial" w:cs="Arial"/>
                <w:color w:val="000000"/>
                <w:sz w:val="20"/>
                <w:szCs w:val="20"/>
              </w:rPr>
              <w:t>39,000</w:t>
            </w:r>
          </w:p>
        </w:tc>
        <w:tc>
          <w:tcPr>
            <w:tcW w:w="2733" w:type="dxa"/>
            <w:noWrap/>
            <w:hideMark/>
          </w:tcPr>
          <w:p w14:paraId="33257359" w14:textId="77777777" w:rsidR="00B21374" w:rsidRPr="00C26D28" w:rsidRDefault="00B21374" w:rsidP="00500F01">
            <w:pPr>
              <w:keepNext/>
              <w:spacing w:line="300" w:lineRule="auto"/>
              <w:jc w:val="center"/>
              <w:rPr>
                <w:rFonts w:ascii="Arial" w:hAnsi="Arial" w:cs="Arial"/>
                <w:color w:val="000000"/>
                <w:sz w:val="20"/>
                <w:szCs w:val="20"/>
              </w:rPr>
            </w:pPr>
            <w:r w:rsidRPr="00C26D28">
              <w:rPr>
                <w:rFonts w:ascii="Arial" w:hAnsi="Arial" w:cs="Arial"/>
                <w:color w:val="000000"/>
                <w:sz w:val="20"/>
                <w:szCs w:val="20"/>
              </w:rPr>
              <w:t>100</w:t>
            </w:r>
            <w:r>
              <w:rPr>
                <w:rFonts w:ascii="Arial" w:hAnsi="Arial" w:cs="Arial"/>
                <w:color w:val="000000"/>
                <w:sz w:val="20"/>
                <w:szCs w:val="20"/>
              </w:rPr>
              <w:t>.0%</w:t>
            </w:r>
          </w:p>
        </w:tc>
      </w:tr>
    </w:tbl>
    <w:p w14:paraId="6EA10BB6" w14:textId="4DDBA58A" w:rsidR="00B21374" w:rsidRDefault="00AB789F" w:rsidP="00500F01">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3E8BD381" w14:textId="77777777" w:rsidR="00EB1E43" w:rsidRPr="00EB1E43" w:rsidRDefault="00EB1E43" w:rsidP="00172F56">
      <w:pPr>
        <w:pStyle w:val="11Bodytext"/>
        <w:numPr>
          <w:ilvl w:val="0"/>
          <w:numId w:val="0"/>
        </w:numPr>
        <w:spacing w:before="0" w:after="0" w:line="300" w:lineRule="auto"/>
        <w:rPr>
          <w:color w:val="auto"/>
        </w:rPr>
      </w:pPr>
    </w:p>
    <w:p w14:paraId="6667D24C" w14:textId="386DA389" w:rsidR="00B21374" w:rsidRPr="00EB1E43" w:rsidRDefault="00B21374">
      <w:pPr>
        <w:pStyle w:val="11Bodytext"/>
        <w:numPr>
          <w:ilvl w:val="1"/>
          <w:numId w:val="32"/>
        </w:numPr>
        <w:spacing w:before="0" w:after="0" w:line="300" w:lineRule="auto"/>
        <w:ind w:left="720" w:hanging="720"/>
        <w:rPr>
          <w:color w:val="auto"/>
        </w:rPr>
      </w:pPr>
      <w:r w:rsidRPr="00EB1E43">
        <w:t xml:space="preserve">To demonstrate the link between current tenure and type of affordability, the table below </w:t>
      </w:r>
      <w:r w:rsidR="00C876AC">
        <w:t>compares the two</w:t>
      </w:r>
      <w:r w:rsidRPr="00EB1E43">
        <w:t xml:space="preserve">. This clearly shows the majority of those only able to afford are outright owners, whilst those only able to rent are very much focussed in the private rented sector. This is to be expected and a notable point as </w:t>
      </w:r>
      <w:r w:rsidR="00C876AC">
        <w:t>affordable home ownership and rental products are likely to be focussed on being provided to people/households seeking to move out of the private rented sector.</w:t>
      </w:r>
      <w:r w:rsidRPr="00EB1E43">
        <w:t>.</w:t>
      </w:r>
    </w:p>
    <w:p w14:paraId="37FB9C0E" w14:textId="77777777" w:rsidR="00B21374" w:rsidRDefault="00B21374"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ayout w:type="fixed"/>
        <w:tblLook w:val="04A0" w:firstRow="1" w:lastRow="0" w:firstColumn="1" w:lastColumn="0" w:noHBand="0" w:noVBand="1"/>
      </w:tblPr>
      <w:tblGrid>
        <w:gridCol w:w="2122"/>
        <w:gridCol w:w="1215"/>
        <w:gridCol w:w="1215"/>
        <w:gridCol w:w="1216"/>
        <w:gridCol w:w="1215"/>
        <w:gridCol w:w="1216"/>
      </w:tblGrid>
      <w:tr w:rsidR="00B21374" w:rsidRPr="00E11E96" w14:paraId="40C28D19" w14:textId="77777777" w:rsidTr="008469E3">
        <w:trPr>
          <w:jc w:val="center"/>
        </w:trPr>
        <w:tc>
          <w:tcPr>
            <w:tcW w:w="8199" w:type="dxa"/>
            <w:gridSpan w:val="6"/>
            <w:noWrap/>
          </w:tcPr>
          <w:p w14:paraId="4A9E94E2" w14:textId="612789FF" w:rsidR="00B21374" w:rsidRPr="00E11E96" w:rsidRDefault="00AD29A6" w:rsidP="00500F01">
            <w:pPr>
              <w:keepNext/>
              <w:spacing w:before="60" w:after="60" w:line="300" w:lineRule="auto"/>
              <w:jc w:val="center"/>
              <w:rPr>
                <w:rFonts w:ascii="Arial" w:hAnsi="Arial" w:cs="Arial"/>
                <w:b/>
                <w:bCs/>
                <w:color w:val="000000"/>
                <w:sz w:val="20"/>
                <w:szCs w:val="20"/>
              </w:rPr>
            </w:pPr>
            <w:r>
              <w:rPr>
                <w:rFonts w:ascii="Arial" w:hAnsi="Arial" w:cs="Arial"/>
                <w:b/>
                <w:bCs/>
                <w:color w:val="000000"/>
                <w:sz w:val="20"/>
                <w:szCs w:val="20"/>
              </w:rPr>
              <w:t>Figure</w:t>
            </w:r>
            <w:r w:rsidR="00B21374" w:rsidRPr="00E11E96">
              <w:rPr>
                <w:rFonts w:ascii="Arial" w:hAnsi="Arial" w:cs="Arial"/>
                <w:b/>
                <w:bCs/>
                <w:color w:val="000000"/>
                <w:sz w:val="20"/>
                <w:szCs w:val="20"/>
              </w:rPr>
              <w:t xml:space="preserve"> </w:t>
            </w:r>
            <w:r>
              <w:rPr>
                <w:rFonts w:ascii="Arial" w:hAnsi="Arial" w:cs="Arial"/>
                <w:b/>
                <w:bCs/>
                <w:color w:val="000000"/>
                <w:sz w:val="20"/>
                <w:szCs w:val="20"/>
              </w:rPr>
              <w:t>2.16</w:t>
            </w:r>
            <w:r w:rsidR="00B21374" w:rsidRPr="00E11E96">
              <w:rPr>
                <w:rFonts w:ascii="Arial" w:hAnsi="Arial" w:cs="Arial"/>
                <w:b/>
                <w:bCs/>
                <w:color w:val="000000"/>
                <w:sz w:val="20"/>
                <w:szCs w:val="20"/>
              </w:rPr>
              <w:t>: affordability</w:t>
            </w:r>
            <w:r w:rsidR="004F4ECA">
              <w:rPr>
                <w:rFonts w:ascii="Arial" w:hAnsi="Arial" w:cs="Arial"/>
                <w:b/>
                <w:bCs/>
                <w:color w:val="000000"/>
                <w:sz w:val="20"/>
                <w:szCs w:val="20"/>
              </w:rPr>
              <w:t xml:space="preserve"> of tenures by existing </w:t>
            </w:r>
            <w:r w:rsidR="00DB487E">
              <w:rPr>
                <w:rFonts w:ascii="Arial" w:hAnsi="Arial" w:cs="Arial"/>
                <w:b/>
                <w:bCs/>
                <w:color w:val="000000"/>
                <w:sz w:val="20"/>
                <w:szCs w:val="20"/>
              </w:rPr>
              <w:t xml:space="preserve">household </w:t>
            </w:r>
            <w:r w:rsidR="004F4ECA">
              <w:rPr>
                <w:rFonts w:ascii="Arial" w:hAnsi="Arial" w:cs="Arial"/>
                <w:b/>
                <w:bCs/>
                <w:color w:val="000000"/>
                <w:sz w:val="20"/>
                <w:szCs w:val="20"/>
              </w:rPr>
              <w:t>tenure</w:t>
            </w:r>
          </w:p>
        </w:tc>
      </w:tr>
      <w:tr w:rsidR="00B21374" w:rsidRPr="00E11E96" w14:paraId="4773FEB5" w14:textId="77777777" w:rsidTr="008469E3">
        <w:trPr>
          <w:jc w:val="center"/>
        </w:trPr>
        <w:tc>
          <w:tcPr>
            <w:tcW w:w="2122" w:type="dxa"/>
            <w:noWrap/>
            <w:hideMark/>
          </w:tcPr>
          <w:p w14:paraId="02ABE09C" w14:textId="77777777" w:rsidR="00B21374" w:rsidRPr="00E11E96" w:rsidRDefault="00B21374" w:rsidP="00500F01">
            <w:pPr>
              <w:keepNext/>
              <w:spacing w:line="300" w:lineRule="auto"/>
              <w:rPr>
                <w:rFonts w:ascii="Arial" w:hAnsi="Arial" w:cs="Arial"/>
                <w:sz w:val="20"/>
                <w:szCs w:val="20"/>
              </w:rPr>
            </w:pPr>
          </w:p>
        </w:tc>
        <w:tc>
          <w:tcPr>
            <w:tcW w:w="1215" w:type="dxa"/>
            <w:noWrap/>
            <w:vAlign w:val="center"/>
            <w:hideMark/>
          </w:tcPr>
          <w:p w14:paraId="16D48310"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Afford to buy or rent</w:t>
            </w:r>
          </w:p>
        </w:tc>
        <w:tc>
          <w:tcPr>
            <w:tcW w:w="1215" w:type="dxa"/>
            <w:noWrap/>
            <w:vAlign w:val="center"/>
            <w:hideMark/>
          </w:tcPr>
          <w:p w14:paraId="71B4ADBE"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Afford to rent only</w:t>
            </w:r>
          </w:p>
        </w:tc>
        <w:tc>
          <w:tcPr>
            <w:tcW w:w="1216" w:type="dxa"/>
            <w:noWrap/>
            <w:vAlign w:val="center"/>
            <w:hideMark/>
          </w:tcPr>
          <w:p w14:paraId="3B7A33F5"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Afford to buy only</w:t>
            </w:r>
          </w:p>
        </w:tc>
        <w:tc>
          <w:tcPr>
            <w:tcW w:w="1215" w:type="dxa"/>
            <w:noWrap/>
            <w:vAlign w:val="center"/>
            <w:hideMark/>
          </w:tcPr>
          <w:p w14:paraId="5A280110"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NOT afford suitable housing</w:t>
            </w:r>
          </w:p>
        </w:tc>
        <w:tc>
          <w:tcPr>
            <w:tcW w:w="1216" w:type="dxa"/>
            <w:noWrap/>
            <w:vAlign w:val="center"/>
            <w:hideMark/>
          </w:tcPr>
          <w:p w14:paraId="4BBDB275"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Total</w:t>
            </w:r>
          </w:p>
        </w:tc>
      </w:tr>
      <w:tr w:rsidR="00B21374" w:rsidRPr="00E11E96" w14:paraId="6D1F68B1" w14:textId="77777777" w:rsidTr="008469E3">
        <w:trPr>
          <w:jc w:val="center"/>
        </w:trPr>
        <w:tc>
          <w:tcPr>
            <w:tcW w:w="2122" w:type="dxa"/>
            <w:noWrap/>
            <w:hideMark/>
          </w:tcPr>
          <w:p w14:paraId="47FF352E" w14:textId="77777777" w:rsidR="00B21374" w:rsidRPr="00E11E96" w:rsidRDefault="00B21374" w:rsidP="00500F01">
            <w:pPr>
              <w:keepNext/>
              <w:spacing w:line="300" w:lineRule="auto"/>
              <w:rPr>
                <w:rFonts w:ascii="Arial" w:hAnsi="Arial" w:cs="Arial"/>
                <w:color w:val="000000"/>
                <w:sz w:val="20"/>
                <w:szCs w:val="20"/>
              </w:rPr>
            </w:pPr>
            <w:r w:rsidRPr="00E11E96">
              <w:rPr>
                <w:rFonts w:ascii="Arial" w:hAnsi="Arial" w:cs="Arial"/>
                <w:color w:val="000000"/>
                <w:sz w:val="20"/>
                <w:szCs w:val="20"/>
              </w:rPr>
              <w:t>Outright owner</w:t>
            </w:r>
          </w:p>
        </w:tc>
        <w:tc>
          <w:tcPr>
            <w:tcW w:w="1215" w:type="dxa"/>
            <w:noWrap/>
            <w:vAlign w:val="center"/>
            <w:hideMark/>
          </w:tcPr>
          <w:p w14:paraId="24A7EDDE"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12,426</w:t>
            </w:r>
          </w:p>
        </w:tc>
        <w:tc>
          <w:tcPr>
            <w:tcW w:w="1215" w:type="dxa"/>
            <w:noWrap/>
            <w:vAlign w:val="center"/>
            <w:hideMark/>
          </w:tcPr>
          <w:p w14:paraId="595D346A"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93</w:t>
            </w:r>
          </w:p>
        </w:tc>
        <w:tc>
          <w:tcPr>
            <w:tcW w:w="1216" w:type="dxa"/>
            <w:noWrap/>
            <w:vAlign w:val="center"/>
            <w:hideMark/>
          </w:tcPr>
          <w:p w14:paraId="67B0AD62"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4,193</w:t>
            </w:r>
          </w:p>
        </w:tc>
        <w:tc>
          <w:tcPr>
            <w:tcW w:w="1215" w:type="dxa"/>
            <w:noWrap/>
            <w:vAlign w:val="center"/>
            <w:hideMark/>
          </w:tcPr>
          <w:p w14:paraId="7FF8717F"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893</w:t>
            </w:r>
          </w:p>
        </w:tc>
        <w:tc>
          <w:tcPr>
            <w:tcW w:w="1216" w:type="dxa"/>
            <w:noWrap/>
            <w:vAlign w:val="center"/>
            <w:hideMark/>
          </w:tcPr>
          <w:p w14:paraId="792720BA"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17,604</w:t>
            </w:r>
          </w:p>
        </w:tc>
      </w:tr>
      <w:tr w:rsidR="00B21374" w:rsidRPr="00E11E96" w14:paraId="1392B965" w14:textId="77777777" w:rsidTr="008469E3">
        <w:trPr>
          <w:jc w:val="center"/>
        </w:trPr>
        <w:tc>
          <w:tcPr>
            <w:tcW w:w="2122" w:type="dxa"/>
            <w:noWrap/>
            <w:hideMark/>
          </w:tcPr>
          <w:p w14:paraId="69004882" w14:textId="77777777" w:rsidR="00B21374" w:rsidRPr="00E11E96" w:rsidRDefault="00B21374" w:rsidP="00500F01">
            <w:pPr>
              <w:keepNext/>
              <w:spacing w:line="300" w:lineRule="auto"/>
              <w:rPr>
                <w:rFonts w:ascii="Arial" w:hAnsi="Arial" w:cs="Arial"/>
                <w:color w:val="000000"/>
                <w:sz w:val="20"/>
                <w:szCs w:val="20"/>
              </w:rPr>
            </w:pPr>
            <w:r w:rsidRPr="00E11E96">
              <w:rPr>
                <w:rFonts w:ascii="Arial" w:hAnsi="Arial" w:cs="Arial"/>
                <w:color w:val="000000"/>
                <w:sz w:val="20"/>
                <w:szCs w:val="20"/>
              </w:rPr>
              <w:t>Owner with mortgage</w:t>
            </w:r>
          </w:p>
        </w:tc>
        <w:tc>
          <w:tcPr>
            <w:tcW w:w="1215" w:type="dxa"/>
            <w:noWrap/>
            <w:vAlign w:val="center"/>
            <w:hideMark/>
          </w:tcPr>
          <w:p w14:paraId="4AEA86F5"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8,869</w:t>
            </w:r>
          </w:p>
        </w:tc>
        <w:tc>
          <w:tcPr>
            <w:tcW w:w="1215" w:type="dxa"/>
            <w:noWrap/>
            <w:vAlign w:val="center"/>
            <w:hideMark/>
          </w:tcPr>
          <w:p w14:paraId="224835C7"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845</w:t>
            </w:r>
          </w:p>
        </w:tc>
        <w:tc>
          <w:tcPr>
            <w:tcW w:w="1216" w:type="dxa"/>
            <w:noWrap/>
            <w:vAlign w:val="center"/>
            <w:hideMark/>
          </w:tcPr>
          <w:p w14:paraId="4743E5CA"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231</w:t>
            </w:r>
          </w:p>
        </w:tc>
        <w:tc>
          <w:tcPr>
            <w:tcW w:w="1215" w:type="dxa"/>
            <w:noWrap/>
            <w:vAlign w:val="center"/>
            <w:hideMark/>
          </w:tcPr>
          <w:p w14:paraId="12D34FB3"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440</w:t>
            </w:r>
          </w:p>
        </w:tc>
        <w:tc>
          <w:tcPr>
            <w:tcW w:w="1216" w:type="dxa"/>
            <w:noWrap/>
            <w:vAlign w:val="center"/>
            <w:hideMark/>
          </w:tcPr>
          <w:p w14:paraId="4FA54D49"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10,385</w:t>
            </w:r>
          </w:p>
        </w:tc>
      </w:tr>
      <w:tr w:rsidR="00B21374" w:rsidRPr="00E11E96" w14:paraId="06AE74D6" w14:textId="77777777" w:rsidTr="008469E3">
        <w:trPr>
          <w:jc w:val="center"/>
        </w:trPr>
        <w:tc>
          <w:tcPr>
            <w:tcW w:w="2122" w:type="dxa"/>
            <w:noWrap/>
            <w:hideMark/>
          </w:tcPr>
          <w:p w14:paraId="7EDF234A" w14:textId="77777777" w:rsidR="00B21374" w:rsidRPr="00E11E96" w:rsidRDefault="00B21374" w:rsidP="00500F01">
            <w:pPr>
              <w:keepNext/>
              <w:spacing w:line="300" w:lineRule="auto"/>
              <w:rPr>
                <w:rFonts w:ascii="Arial" w:hAnsi="Arial" w:cs="Arial"/>
                <w:color w:val="000000"/>
                <w:sz w:val="20"/>
                <w:szCs w:val="20"/>
              </w:rPr>
            </w:pPr>
            <w:r w:rsidRPr="00E11E96">
              <w:rPr>
                <w:rFonts w:ascii="Arial" w:hAnsi="Arial" w:cs="Arial"/>
                <w:color w:val="000000"/>
                <w:sz w:val="20"/>
                <w:szCs w:val="20"/>
              </w:rPr>
              <w:t>Social rented</w:t>
            </w:r>
          </w:p>
        </w:tc>
        <w:tc>
          <w:tcPr>
            <w:tcW w:w="1215" w:type="dxa"/>
            <w:noWrap/>
            <w:vAlign w:val="center"/>
            <w:hideMark/>
          </w:tcPr>
          <w:p w14:paraId="5159D8A6"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341</w:t>
            </w:r>
          </w:p>
        </w:tc>
        <w:tc>
          <w:tcPr>
            <w:tcW w:w="1215" w:type="dxa"/>
            <w:noWrap/>
            <w:vAlign w:val="center"/>
            <w:hideMark/>
          </w:tcPr>
          <w:p w14:paraId="7ED9416D"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657</w:t>
            </w:r>
          </w:p>
        </w:tc>
        <w:tc>
          <w:tcPr>
            <w:tcW w:w="1216" w:type="dxa"/>
            <w:noWrap/>
            <w:vAlign w:val="center"/>
            <w:hideMark/>
          </w:tcPr>
          <w:p w14:paraId="6FAFECBA"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0</w:t>
            </w:r>
          </w:p>
        </w:tc>
        <w:tc>
          <w:tcPr>
            <w:tcW w:w="1215" w:type="dxa"/>
            <w:noWrap/>
            <w:vAlign w:val="center"/>
            <w:hideMark/>
          </w:tcPr>
          <w:p w14:paraId="4B199EC5"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2,267</w:t>
            </w:r>
          </w:p>
        </w:tc>
        <w:tc>
          <w:tcPr>
            <w:tcW w:w="1216" w:type="dxa"/>
            <w:noWrap/>
            <w:vAlign w:val="center"/>
            <w:hideMark/>
          </w:tcPr>
          <w:p w14:paraId="30ECC781"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3,264</w:t>
            </w:r>
          </w:p>
        </w:tc>
      </w:tr>
      <w:tr w:rsidR="00B21374" w:rsidRPr="00E11E96" w14:paraId="5CD3CD2B" w14:textId="77777777" w:rsidTr="008469E3">
        <w:trPr>
          <w:jc w:val="center"/>
        </w:trPr>
        <w:tc>
          <w:tcPr>
            <w:tcW w:w="2122" w:type="dxa"/>
            <w:noWrap/>
            <w:hideMark/>
          </w:tcPr>
          <w:p w14:paraId="6DC4E877" w14:textId="77777777" w:rsidR="00B21374" w:rsidRPr="00E11E96" w:rsidRDefault="00B21374" w:rsidP="00500F01">
            <w:pPr>
              <w:keepNext/>
              <w:spacing w:line="300" w:lineRule="auto"/>
              <w:rPr>
                <w:rFonts w:ascii="Arial" w:hAnsi="Arial" w:cs="Arial"/>
                <w:color w:val="000000"/>
                <w:sz w:val="20"/>
                <w:szCs w:val="20"/>
              </w:rPr>
            </w:pPr>
            <w:r w:rsidRPr="00E11E96">
              <w:rPr>
                <w:rFonts w:ascii="Arial" w:hAnsi="Arial" w:cs="Arial"/>
                <w:color w:val="000000"/>
                <w:sz w:val="20"/>
                <w:szCs w:val="20"/>
              </w:rPr>
              <w:t>Private rented</w:t>
            </w:r>
          </w:p>
        </w:tc>
        <w:tc>
          <w:tcPr>
            <w:tcW w:w="1215" w:type="dxa"/>
            <w:noWrap/>
            <w:vAlign w:val="center"/>
            <w:hideMark/>
          </w:tcPr>
          <w:p w14:paraId="36171C4F"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1,585</w:t>
            </w:r>
          </w:p>
        </w:tc>
        <w:tc>
          <w:tcPr>
            <w:tcW w:w="1215" w:type="dxa"/>
            <w:noWrap/>
            <w:vAlign w:val="center"/>
            <w:hideMark/>
          </w:tcPr>
          <w:p w14:paraId="2FA5DEF0"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2,556</w:t>
            </w:r>
          </w:p>
        </w:tc>
        <w:tc>
          <w:tcPr>
            <w:tcW w:w="1216" w:type="dxa"/>
            <w:noWrap/>
            <w:vAlign w:val="center"/>
            <w:hideMark/>
          </w:tcPr>
          <w:p w14:paraId="096667AB"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156</w:t>
            </w:r>
          </w:p>
        </w:tc>
        <w:tc>
          <w:tcPr>
            <w:tcW w:w="1215" w:type="dxa"/>
            <w:noWrap/>
            <w:vAlign w:val="center"/>
            <w:hideMark/>
          </w:tcPr>
          <w:p w14:paraId="38A3D3BA"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3,449</w:t>
            </w:r>
          </w:p>
        </w:tc>
        <w:tc>
          <w:tcPr>
            <w:tcW w:w="1216" w:type="dxa"/>
            <w:noWrap/>
            <w:vAlign w:val="center"/>
            <w:hideMark/>
          </w:tcPr>
          <w:p w14:paraId="7FFE60C8"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7,746</w:t>
            </w:r>
          </w:p>
        </w:tc>
      </w:tr>
      <w:tr w:rsidR="00B21374" w:rsidRPr="00E11E96" w14:paraId="3EC43B9A" w14:textId="77777777" w:rsidTr="008469E3">
        <w:trPr>
          <w:jc w:val="center"/>
        </w:trPr>
        <w:tc>
          <w:tcPr>
            <w:tcW w:w="2122" w:type="dxa"/>
            <w:noWrap/>
            <w:hideMark/>
          </w:tcPr>
          <w:p w14:paraId="4472D5D8" w14:textId="77777777" w:rsidR="00B21374" w:rsidRPr="00E11E96" w:rsidRDefault="00B21374" w:rsidP="00500F01">
            <w:pPr>
              <w:keepNext/>
              <w:spacing w:line="300" w:lineRule="auto"/>
              <w:rPr>
                <w:rFonts w:ascii="Arial" w:hAnsi="Arial" w:cs="Arial"/>
                <w:color w:val="000000"/>
                <w:sz w:val="20"/>
                <w:szCs w:val="20"/>
              </w:rPr>
            </w:pPr>
            <w:r w:rsidRPr="00E11E96">
              <w:rPr>
                <w:rFonts w:ascii="Arial" w:hAnsi="Arial" w:cs="Arial"/>
                <w:color w:val="000000"/>
                <w:sz w:val="20"/>
                <w:szCs w:val="20"/>
              </w:rPr>
              <w:t>Total</w:t>
            </w:r>
          </w:p>
        </w:tc>
        <w:tc>
          <w:tcPr>
            <w:tcW w:w="1215" w:type="dxa"/>
            <w:noWrap/>
            <w:vAlign w:val="center"/>
            <w:hideMark/>
          </w:tcPr>
          <w:p w14:paraId="0482968A"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23,221</w:t>
            </w:r>
          </w:p>
        </w:tc>
        <w:tc>
          <w:tcPr>
            <w:tcW w:w="1215" w:type="dxa"/>
            <w:noWrap/>
            <w:vAlign w:val="center"/>
            <w:hideMark/>
          </w:tcPr>
          <w:p w14:paraId="20D5E229"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4,151</w:t>
            </w:r>
          </w:p>
        </w:tc>
        <w:tc>
          <w:tcPr>
            <w:tcW w:w="1216" w:type="dxa"/>
            <w:noWrap/>
            <w:vAlign w:val="center"/>
            <w:hideMark/>
          </w:tcPr>
          <w:p w14:paraId="4851F0F2"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4,580</w:t>
            </w:r>
          </w:p>
        </w:tc>
        <w:tc>
          <w:tcPr>
            <w:tcW w:w="1215" w:type="dxa"/>
            <w:noWrap/>
            <w:vAlign w:val="center"/>
            <w:hideMark/>
          </w:tcPr>
          <w:p w14:paraId="0A955AA5"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7,048</w:t>
            </w:r>
          </w:p>
        </w:tc>
        <w:tc>
          <w:tcPr>
            <w:tcW w:w="1216" w:type="dxa"/>
            <w:noWrap/>
            <w:vAlign w:val="center"/>
            <w:hideMark/>
          </w:tcPr>
          <w:p w14:paraId="1EC3208B" w14:textId="77777777" w:rsidR="00B21374" w:rsidRPr="00E11E96" w:rsidRDefault="00B21374" w:rsidP="00500F01">
            <w:pPr>
              <w:keepNext/>
              <w:spacing w:line="300" w:lineRule="auto"/>
              <w:jc w:val="center"/>
              <w:rPr>
                <w:rFonts w:ascii="Arial" w:hAnsi="Arial" w:cs="Arial"/>
                <w:color w:val="000000"/>
                <w:sz w:val="20"/>
                <w:szCs w:val="20"/>
              </w:rPr>
            </w:pPr>
            <w:r w:rsidRPr="00E11E96">
              <w:rPr>
                <w:rFonts w:ascii="Arial" w:hAnsi="Arial" w:cs="Arial"/>
                <w:color w:val="000000"/>
                <w:sz w:val="20"/>
                <w:szCs w:val="20"/>
              </w:rPr>
              <w:t>39,000</w:t>
            </w:r>
          </w:p>
        </w:tc>
      </w:tr>
    </w:tbl>
    <w:p w14:paraId="092F6B40" w14:textId="553CBF4D" w:rsidR="00B21374" w:rsidRDefault="00AB789F" w:rsidP="00500F01">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5EC64039" w14:textId="77777777" w:rsidR="00EB1E43" w:rsidRPr="00EB1E43" w:rsidRDefault="00EB1E43" w:rsidP="00172F56">
      <w:pPr>
        <w:pStyle w:val="11Bodytext"/>
        <w:numPr>
          <w:ilvl w:val="0"/>
          <w:numId w:val="0"/>
        </w:numPr>
        <w:spacing w:before="0" w:after="0" w:line="300" w:lineRule="auto"/>
        <w:rPr>
          <w:color w:val="auto"/>
        </w:rPr>
      </w:pPr>
    </w:p>
    <w:p w14:paraId="4D91A096" w14:textId="4257E2AE" w:rsidR="00B21374" w:rsidRPr="00EB1E43" w:rsidRDefault="00B21374">
      <w:pPr>
        <w:pStyle w:val="11Bodytext"/>
        <w:numPr>
          <w:ilvl w:val="1"/>
          <w:numId w:val="32"/>
        </w:numPr>
        <w:spacing w:before="0" w:after="0" w:line="300" w:lineRule="auto"/>
        <w:ind w:left="720" w:hanging="720"/>
        <w:rPr>
          <w:color w:val="auto"/>
        </w:rPr>
      </w:pPr>
      <w:r w:rsidRPr="00EB1E43">
        <w:t>The figure below shows the above information by sub-area. This clearly shows the highest proportion of households able to rent but not bu</w:t>
      </w:r>
      <w:r>
        <w:t>y</w:t>
      </w:r>
      <w:r w:rsidRPr="00EB1E43">
        <w:t xml:space="preserve"> are found in </w:t>
      </w:r>
      <w:r w:rsidR="00432414" w:rsidRPr="00EB1E43">
        <w:t>St. Annes</w:t>
      </w:r>
      <w:r w:rsidRPr="00EB1E43">
        <w:t xml:space="preserve"> – this is to be expected given the size of the </w:t>
      </w:r>
      <w:r w:rsidR="00E46FAC">
        <w:t>private rented sector</w:t>
      </w:r>
      <w:r w:rsidR="00E46FAC" w:rsidRPr="00EB1E43">
        <w:t xml:space="preserve"> </w:t>
      </w:r>
      <w:r w:rsidRPr="00EB1E43">
        <w:t>in this area. Conversely, rural locations tend to see a much lower proportion.</w:t>
      </w:r>
    </w:p>
    <w:p w14:paraId="66CA8ACF" w14:textId="77777777" w:rsidR="00B21374" w:rsidRPr="00BC2367" w:rsidRDefault="00B21374" w:rsidP="00172F56">
      <w:pPr>
        <w:pStyle w:val="NormalWeb"/>
        <w:widowControl w:val="0"/>
        <w:spacing w:before="0" w:after="0"/>
        <w:jc w:val="both"/>
        <w:rPr>
          <w:rFonts w:ascii="Arial" w:hAnsi="Arial" w:cs="Arial"/>
          <w:sz w:val="20"/>
          <w:szCs w:val="20"/>
        </w:rPr>
      </w:pPr>
    </w:p>
    <w:tbl>
      <w:tblPr>
        <w:tblStyle w:val="TableTheme"/>
        <w:tblW w:w="8199" w:type="dxa"/>
        <w:jc w:val="center"/>
        <w:tblLook w:val="04A0" w:firstRow="1" w:lastRow="0" w:firstColumn="1" w:lastColumn="0" w:noHBand="0" w:noVBand="1"/>
      </w:tblPr>
      <w:tblGrid>
        <w:gridCol w:w="8199"/>
      </w:tblGrid>
      <w:tr w:rsidR="00B21374" w:rsidRPr="00E508F1" w14:paraId="319BBBD0" w14:textId="77777777" w:rsidTr="00EB1E43">
        <w:trPr>
          <w:jc w:val="center"/>
        </w:trPr>
        <w:tc>
          <w:tcPr>
            <w:tcW w:w="9628" w:type="dxa"/>
          </w:tcPr>
          <w:p w14:paraId="033C0BC2" w14:textId="33F1AB73" w:rsidR="00B21374" w:rsidRPr="00E508F1" w:rsidRDefault="00B21374" w:rsidP="00993425">
            <w:pPr>
              <w:pStyle w:val="Reporttext0"/>
              <w:keepNext/>
              <w:keepLines w:val="0"/>
              <w:widowControl w:val="0"/>
              <w:numPr>
                <w:ilvl w:val="0"/>
                <w:numId w:val="0"/>
              </w:numPr>
              <w:spacing w:line="300" w:lineRule="auto"/>
              <w:jc w:val="center"/>
              <w:rPr>
                <w:rFonts w:ascii="Arial" w:hAnsi="Arial" w:cs="Arial"/>
                <w:b/>
                <w:bCs/>
                <w:sz w:val="22"/>
                <w:szCs w:val="22"/>
              </w:rPr>
            </w:pPr>
            <w:r w:rsidRPr="00E508F1">
              <w:rPr>
                <w:rFonts w:ascii="Arial" w:hAnsi="Arial" w:cs="Arial"/>
                <w:b/>
                <w:bCs/>
                <w:sz w:val="20"/>
              </w:rPr>
              <w:t xml:space="preserve">Figure </w:t>
            </w:r>
            <w:r w:rsidR="00AD29A6">
              <w:rPr>
                <w:rFonts w:ascii="Arial" w:hAnsi="Arial" w:cs="Arial"/>
                <w:b/>
                <w:bCs/>
                <w:sz w:val="20"/>
              </w:rPr>
              <w:t>2.17</w:t>
            </w:r>
            <w:r w:rsidRPr="00E508F1">
              <w:rPr>
                <w:rFonts w:ascii="Arial" w:hAnsi="Arial" w:cs="Arial"/>
                <w:b/>
                <w:bCs/>
                <w:sz w:val="20"/>
              </w:rPr>
              <w:t xml:space="preserve">: </w:t>
            </w:r>
            <w:r w:rsidRPr="00E508F1">
              <w:rPr>
                <w:rFonts w:ascii="Arial" w:hAnsi="Arial"/>
                <w:b/>
                <w:bCs/>
                <w:sz w:val="20"/>
              </w:rPr>
              <w:t>Affordability of market housing by sub-area</w:t>
            </w:r>
            <w:r>
              <w:rPr>
                <w:rFonts w:ascii="Arial" w:hAnsi="Arial"/>
                <w:b/>
                <w:bCs/>
                <w:sz w:val="20"/>
              </w:rPr>
              <w:t xml:space="preserve"> (% of households able to rent only)</w:t>
            </w:r>
          </w:p>
        </w:tc>
      </w:tr>
      <w:tr w:rsidR="00B21374" w14:paraId="7207F4CB" w14:textId="77777777" w:rsidTr="00EB1E43">
        <w:trPr>
          <w:jc w:val="center"/>
        </w:trPr>
        <w:tc>
          <w:tcPr>
            <w:tcW w:w="9628" w:type="dxa"/>
          </w:tcPr>
          <w:p w14:paraId="3E80E618" w14:textId="77777777" w:rsidR="00B21374" w:rsidRDefault="00B21374" w:rsidP="00172F56">
            <w:pPr>
              <w:pStyle w:val="Reporttext0"/>
              <w:keepNext/>
              <w:keepLines w:val="0"/>
              <w:widowControl w:val="0"/>
              <w:numPr>
                <w:ilvl w:val="0"/>
                <w:numId w:val="0"/>
              </w:numPr>
              <w:spacing w:line="300" w:lineRule="auto"/>
              <w:jc w:val="center"/>
              <w:rPr>
                <w:rFonts w:ascii="Arial" w:hAnsi="Arial" w:cs="Arial"/>
                <w:sz w:val="20"/>
              </w:rPr>
            </w:pPr>
            <w:r>
              <w:rPr>
                <w:rFonts w:ascii="Arial" w:hAnsi="Arial" w:cs="Arial"/>
                <w:noProof/>
                <w:sz w:val="22"/>
                <w:szCs w:val="22"/>
              </w:rPr>
              <w:drawing>
                <wp:inline distT="0" distB="0" distL="0" distR="0" wp14:anchorId="7AD63A1D" wp14:editId="0780729C">
                  <wp:extent cx="5040000" cy="2880000"/>
                  <wp:effectExtent l="0" t="0" r="825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3646F3ED" w14:textId="5A185818" w:rsidR="00B21374" w:rsidRPr="00120FB5" w:rsidRDefault="00AB789F" w:rsidP="00993425">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4E03FF79" w14:textId="77777777" w:rsidR="00EB1E43" w:rsidRPr="00EB1E43" w:rsidRDefault="00EB1E43" w:rsidP="00172F56">
      <w:pPr>
        <w:pStyle w:val="11Bodytext"/>
        <w:numPr>
          <w:ilvl w:val="0"/>
          <w:numId w:val="0"/>
        </w:numPr>
        <w:spacing w:before="0" w:after="0" w:line="300" w:lineRule="auto"/>
        <w:rPr>
          <w:color w:val="auto"/>
        </w:rPr>
      </w:pPr>
    </w:p>
    <w:p w14:paraId="74D7A66D" w14:textId="409FFF1C" w:rsidR="00B21374" w:rsidRPr="00EB1E43" w:rsidRDefault="00B21374">
      <w:pPr>
        <w:pStyle w:val="11Bodytext"/>
        <w:numPr>
          <w:ilvl w:val="1"/>
          <w:numId w:val="32"/>
        </w:numPr>
        <w:spacing w:before="0" w:after="0" w:line="300" w:lineRule="auto"/>
        <w:ind w:left="720" w:hanging="720"/>
        <w:rPr>
          <w:color w:val="auto"/>
        </w:rPr>
      </w:pPr>
      <w:r w:rsidRPr="00EB1E43">
        <w:t>As with previous analysis, it is</w:t>
      </w:r>
      <w:r w:rsidR="005E6512">
        <w:t xml:space="preserve"> informative</w:t>
      </w:r>
      <w:r w:rsidRPr="00EB1E43">
        <w:t xml:space="preserve"> to focus the data just on households who are currently not owners (again as this will be the group to be targeted by affordable home ownership products). The figures </w:t>
      </w:r>
      <w:r w:rsidR="00432414" w:rsidRPr="00EB1E43">
        <w:t>below</w:t>
      </w:r>
      <w:r w:rsidRPr="00EB1E43">
        <w:t xml:space="preserve"> show firstly the income distribution of this group and then the level of savings/access to capital.</w:t>
      </w:r>
    </w:p>
    <w:p w14:paraId="309B8898" w14:textId="77777777" w:rsidR="00EB1E43" w:rsidRPr="00EB1E43" w:rsidRDefault="00EB1E43" w:rsidP="00172F56">
      <w:pPr>
        <w:pStyle w:val="11Bodytext"/>
        <w:numPr>
          <w:ilvl w:val="0"/>
          <w:numId w:val="0"/>
        </w:numPr>
        <w:spacing w:before="0" w:after="0" w:line="300" w:lineRule="auto"/>
        <w:rPr>
          <w:color w:val="auto"/>
        </w:rPr>
      </w:pPr>
    </w:p>
    <w:p w14:paraId="1BF4C55C" w14:textId="1339D6AC" w:rsidR="00B21374" w:rsidRPr="00172F56" w:rsidRDefault="00B21374">
      <w:pPr>
        <w:pStyle w:val="11Bodytext"/>
        <w:numPr>
          <w:ilvl w:val="1"/>
          <w:numId w:val="32"/>
        </w:numPr>
        <w:spacing w:before="0" w:after="0" w:line="300" w:lineRule="auto"/>
        <w:ind w:left="720" w:hanging="720"/>
        <w:rPr>
          <w:color w:val="auto"/>
        </w:rPr>
      </w:pPr>
      <w:r w:rsidRPr="00EB1E43">
        <w:t xml:space="preserve">With the income distribution, it is clear there is a </w:t>
      </w:r>
      <w:r w:rsidR="00FA78B1">
        <w:t>predominance</w:t>
      </w:r>
      <w:r w:rsidRPr="00EB1E43">
        <w:t xml:space="preserve"> households in the £20,000-£30,000 per annum bracket. The average (mean) income of households in this group is £24,300, with a median figure of £23,100. A household with an income of around £25,000 would be able to secure a mortgage for around £100,000 and with a 10% deposit would roughly be able to buy a home for £110,000. This figure is around 70% of the overall lower quartile value in the Borough (for second-hand homes).</w:t>
      </w:r>
    </w:p>
    <w:p w14:paraId="147D80C2" w14:textId="77777777" w:rsidR="00177D13" w:rsidRPr="00172F56" w:rsidRDefault="00177D13" w:rsidP="00172F56">
      <w:pPr>
        <w:pStyle w:val="11Bodytext"/>
        <w:numPr>
          <w:ilvl w:val="0"/>
          <w:numId w:val="0"/>
        </w:numPr>
        <w:spacing w:before="0" w:after="0" w:line="300" w:lineRule="auto"/>
        <w:rPr>
          <w:color w:val="auto"/>
        </w:rPr>
      </w:pPr>
    </w:p>
    <w:p w14:paraId="0191475D" w14:textId="00CD858F" w:rsidR="00C876AC" w:rsidRPr="00EB1E43" w:rsidRDefault="00C876AC">
      <w:pPr>
        <w:pStyle w:val="11Bodytext"/>
        <w:numPr>
          <w:ilvl w:val="1"/>
          <w:numId w:val="32"/>
        </w:numPr>
        <w:spacing w:before="0" w:after="0" w:line="300" w:lineRule="auto"/>
        <w:ind w:left="720" w:hanging="720"/>
        <w:rPr>
          <w:color w:val="auto"/>
        </w:rPr>
      </w:pPr>
      <w:r>
        <w:rPr>
          <w:color w:val="auto"/>
        </w:rPr>
        <w:t>This clearly demonstrates for many households there is a significant gap between what can be afforded and the cost of market housing. Where there is a large gap between the two it is likely that social (rented) tenures will be required to provide housing at an affordable price.</w:t>
      </w:r>
    </w:p>
    <w:p w14:paraId="18442534" w14:textId="77777777" w:rsidR="00B21374" w:rsidRPr="00BC2367" w:rsidRDefault="00B21374" w:rsidP="00172F56">
      <w:pPr>
        <w:pStyle w:val="NormalWeb"/>
        <w:widowControl w:val="0"/>
        <w:spacing w:before="0" w:after="0"/>
        <w:jc w:val="both"/>
        <w:rPr>
          <w:rFonts w:ascii="Arial" w:hAnsi="Arial" w:cs="Arial"/>
          <w:sz w:val="20"/>
          <w:szCs w:val="20"/>
        </w:rPr>
      </w:pPr>
    </w:p>
    <w:tbl>
      <w:tblPr>
        <w:tblStyle w:val="TableGridLight10"/>
        <w:tblW w:w="8199" w:type="dxa"/>
        <w:jc w:val="center"/>
        <w:tblLook w:val="04A0" w:firstRow="1" w:lastRow="0" w:firstColumn="1" w:lastColumn="0" w:noHBand="0" w:noVBand="1"/>
      </w:tblPr>
      <w:tblGrid>
        <w:gridCol w:w="8199"/>
      </w:tblGrid>
      <w:tr w:rsidR="00B21374" w:rsidRPr="00BD63F3" w14:paraId="75AAE874" w14:textId="77777777" w:rsidTr="00EB1E43">
        <w:trPr>
          <w:jc w:val="center"/>
        </w:trPr>
        <w:tc>
          <w:tcPr>
            <w:tcW w:w="9628" w:type="dxa"/>
          </w:tcPr>
          <w:p w14:paraId="0953FA03" w14:textId="7162ECEE" w:rsidR="00B21374" w:rsidRPr="00BD63F3" w:rsidRDefault="00B21374" w:rsidP="00993425">
            <w:pPr>
              <w:pStyle w:val="Reporttext0"/>
              <w:keepLines w:val="0"/>
              <w:widowControl w:val="0"/>
              <w:numPr>
                <w:ilvl w:val="0"/>
                <w:numId w:val="0"/>
              </w:numPr>
              <w:spacing w:line="300" w:lineRule="auto"/>
              <w:jc w:val="center"/>
              <w:rPr>
                <w:rFonts w:ascii="Arial" w:hAnsi="Arial" w:cs="Arial"/>
                <w:b/>
                <w:bCs/>
                <w:sz w:val="20"/>
              </w:rPr>
            </w:pPr>
            <w:r w:rsidRPr="00BD63F3">
              <w:rPr>
                <w:rFonts w:ascii="Arial" w:hAnsi="Arial" w:cs="Arial"/>
                <w:b/>
                <w:bCs/>
                <w:sz w:val="20"/>
              </w:rPr>
              <w:t xml:space="preserve">Figure </w:t>
            </w:r>
            <w:r w:rsidR="00AD29A6">
              <w:rPr>
                <w:rFonts w:ascii="Arial" w:hAnsi="Arial" w:cs="Arial"/>
                <w:b/>
                <w:bCs/>
                <w:sz w:val="20"/>
              </w:rPr>
              <w:t>2.18</w:t>
            </w:r>
            <w:r w:rsidRPr="00BD63F3">
              <w:rPr>
                <w:rFonts w:ascii="Arial" w:hAnsi="Arial" w:cs="Arial"/>
                <w:b/>
                <w:bCs/>
                <w:sz w:val="20"/>
              </w:rPr>
              <w:t xml:space="preserve">: </w:t>
            </w:r>
            <w:r w:rsidRPr="00BD63F3">
              <w:rPr>
                <w:rFonts w:ascii="Arial" w:hAnsi="Arial"/>
                <w:b/>
                <w:bCs/>
                <w:sz w:val="20"/>
              </w:rPr>
              <w:t>Distribution of annual gross household income</w:t>
            </w:r>
            <w:r>
              <w:rPr>
                <w:rFonts w:ascii="Arial" w:hAnsi="Arial"/>
                <w:b/>
                <w:bCs/>
                <w:sz w:val="20"/>
              </w:rPr>
              <w:t xml:space="preserve"> – non-owners able to rent but not buy</w:t>
            </w:r>
          </w:p>
        </w:tc>
      </w:tr>
      <w:tr w:rsidR="00B21374" w14:paraId="1EA0D54E" w14:textId="77777777" w:rsidTr="00EB1E43">
        <w:trPr>
          <w:jc w:val="center"/>
        </w:trPr>
        <w:tc>
          <w:tcPr>
            <w:tcW w:w="9628" w:type="dxa"/>
          </w:tcPr>
          <w:p w14:paraId="38A4A027" w14:textId="77777777" w:rsidR="00B21374" w:rsidRDefault="00B21374" w:rsidP="00172F56">
            <w:pPr>
              <w:pStyle w:val="Reporttext0"/>
              <w:keepLines w:val="0"/>
              <w:widowControl w:val="0"/>
              <w:numPr>
                <w:ilvl w:val="0"/>
                <w:numId w:val="0"/>
              </w:numPr>
              <w:spacing w:line="300" w:lineRule="auto"/>
              <w:jc w:val="center"/>
              <w:rPr>
                <w:rFonts w:ascii="Arial" w:hAnsi="Arial" w:cs="Arial"/>
                <w:sz w:val="20"/>
              </w:rPr>
            </w:pPr>
            <w:r>
              <w:rPr>
                <w:rFonts w:ascii="Arial" w:hAnsi="Arial" w:cs="Arial"/>
                <w:noProof/>
                <w:sz w:val="22"/>
                <w:szCs w:val="22"/>
              </w:rPr>
              <w:drawing>
                <wp:inline distT="0" distB="0" distL="0" distR="0" wp14:anchorId="65B978C0" wp14:editId="175A52CA">
                  <wp:extent cx="5040000" cy="2880000"/>
                  <wp:effectExtent l="0" t="0" r="825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1B23E2B6" w14:textId="3FA0FBAC" w:rsidR="00B21374" w:rsidRPr="00B22FFD" w:rsidRDefault="00AB789F" w:rsidP="00993425">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4ABD1DA2" w14:textId="24D7CFAD" w:rsidR="00B21374" w:rsidRDefault="00B21374" w:rsidP="00172F56">
      <w:pPr>
        <w:pStyle w:val="NormalWeb"/>
        <w:widowControl w:val="0"/>
        <w:spacing w:before="0" w:after="0"/>
        <w:jc w:val="both"/>
        <w:rPr>
          <w:rFonts w:ascii="Arial" w:hAnsi="Arial" w:cs="Arial"/>
          <w:sz w:val="20"/>
          <w:szCs w:val="20"/>
        </w:rPr>
      </w:pPr>
    </w:p>
    <w:p w14:paraId="5426AE8F" w14:textId="3484B89E" w:rsidR="00B21374" w:rsidRPr="00172F56" w:rsidRDefault="00B21374">
      <w:pPr>
        <w:pStyle w:val="11Bodytext"/>
        <w:numPr>
          <w:ilvl w:val="1"/>
          <w:numId w:val="32"/>
        </w:numPr>
        <w:spacing w:before="0" w:after="0" w:line="300" w:lineRule="auto"/>
        <w:ind w:left="720" w:hanging="720"/>
        <w:rPr>
          <w:color w:val="auto"/>
        </w:rPr>
      </w:pPr>
      <w:r w:rsidRPr="00EB1E43">
        <w:t xml:space="preserve">When looking at access to savings for a deposit, the analysis is noteworthy, showing that only 30% of </w:t>
      </w:r>
      <w:r w:rsidR="00432414" w:rsidRPr="00EB1E43">
        <w:t>households</w:t>
      </w:r>
      <w:r w:rsidRPr="00EB1E43">
        <w:t xml:space="preserve"> have a positive level of saving and only 8% have savings in excess of £10,000 (a level that might be required to be able to buy a home). This </w:t>
      </w:r>
      <w:r w:rsidR="00432414" w:rsidRPr="00EB1E43">
        <w:t>analysis</w:t>
      </w:r>
      <w:r w:rsidRPr="00EB1E43">
        <w:t xml:space="preserve"> suggests for many </w:t>
      </w:r>
      <w:r w:rsidR="00432414" w:rsidRPr="00EB1E43">
        <w:t>households</w:t>
      </w:r>
      <w:r w:rsidRPr="00EB1E43">
        <w:t xml:space="preserve"> that finding a deposit may be a barrier to home ownership, even if a discounted product were to be provided. This points to certain forms of affordable home ownership as being likely to be more suitable – in particular shared ownership </w:t>
      </w:r>
      <w:r w:rsidR="00C876AC">
        <w:t xml:space="preserve">or Rent to Buy housing </w:t>
      </w:r>
      <w:r w:rsidRPr="00EB1E43">
        <w:t>which would typically require smaller deposit requirements than other forms of home ownership (such as discounted sales housing and/or First Homes).</w:t>
      </w:r>
    </w:p>
    <w:p w14:paraId="6B3C21B4" w14:textId="77777777" w:rsidR="00C876AC" w:rsidRPr="00172F56" w:rsidRDefault="00C876AC" w:rsidP="00172F56">
      <w:pPr>
        <w:pStyle w:val="11Bodytext"/>
        <w:numPr>
          <w:ilvl w:val="0"/>
          <w:numId w:val="0"/>
        </w:numPr>
        <w:spacing w:before="0" w:after="0" w:line="300" w:lineRule="auto"/>
        <w:rPr>
          <w:color w:val="auto"/>
        </w:rPr>
      </w:pPr>
    </w:p>
    <w:p w14:paraId="363DF87F" w14:textId="6B90A05E" w:rsidR="00C876AC" w:rsidRPr="00EB1E43" w:rsidRDefault="00C876AC">
      <w:pPr>
        <w:pStyle w:val="11Bodytext"/>
        <w:numPr>
          <w:ilvl w:val="1"/>
          <w:numId w:val="32"/>
        </w:numPr>
        <w:spacing w:before="0" w:after="0" w:line="300" w:lineRule="auto"/>
        <w:ind w:left="720" w:hanging="720"/>
        <w:rPr>
          <w:color w:val="auto"/>
        </w:rPr>
      </w:pPr>
      <w:r>
        <w:rPr>
          <w:color w:val="auto"/>
        </w:rPr>
        <w:t xml:space="preserve">Whilst levels of debt will </w:t>
      </w:r>
      <w:r w:rsidR="0093605F">
        <w:rPr>
          <w:color w:val="auto"/>
        </w:rPr>
        <w:t>impact on households’ ability to afford market housing, it is also likely to be a barrier to accessing social rented accommodation. Discussions with the Council reveal that a households with more than £500 of housing related debt would not be eligible for a social tenancy. Whilst the survey did not differentiate between types of debt it seems likely that many households will have some level of arrears. This means they would not be able to bid for social rented homes (despite having a need for such accommodation)</w:t>
      </w:r>
      <w:r w:rsidR="00F83D99">
        <w:rPr>
          <w:color w:val="auto"/>
        </w:rPr>
        <w:t>. This would be likely to significantly under-estimate need if measured using administrative sources (such as the Housing Register).</w:t>
      </w:r>
    </w:p>
    <w:p w14:paraId="6B039490" w14:textId="77777777" w:rsidR="00B21374" w:rsidRPr="00BC2367" w:rsidRDefault="00B21374" w:rsidP="00172F56">
      <w:pPr>
        <w:pStyle w:val="NormalWeb"/>
        <w:widowControl w:val="0"/>
        <w:spacing w:before="0" w:after="0"/>
        <w:jc w:val="both"/>
        <w:rPr>
          <w:rFonts w:ascii="Arial" w:hAnsi="Arial" w:cs="Arial"/>
          <w:sz w:val="20"/>
          <w:szCs w:val="20"/>
        </w:rPr>
      </w:pPr>
    </w:p>
    <w:tbl>
      <w:tblPr>
        <w:tblStyle w:val="TableGridLight10"/>
        <w:tblW w:w="8199" w:type="dxa"/>
        <w:jc w:val="center"/>
        <w:tblLook w:val="04A0" w:firstRow="1" w:lastRow="0" w:firstColumn="1" w:lastColumn="0" w:noHBand="0" w:noVBand="1"/>
      </w:tblPr>
      <w:tblGrid>
        <w:gridCol w:w="8199"/>
      </w:tblGrid>
      <w:tr w:rsidR="00B21374" w:rsidRPr="00BD63F3" w14:paraId="2EC43163" w14:textId="77777777" w:rsidTr="00EB1E43">
        <w:trPr>
          <w:jc w:val="center"/>
        </w:trPr>
        <w:tc>
          <w:tcPr>
            <w:tcW w:w="9628" w:type="dxa"/>
            <w:vAlign w:val="center"/>
          </w:tcPr>
          <w:p w14:paraId="036758BE" w14:textId="1CFDEC97" w:rsidR="00B21374" w:rsidRPr="00BD63F3" w:rsidRDefault="00B21374" w:rsidP="00993425">
            <w:pPr>
              <w:pStyle w:val="Reporttext0"/>
              <w:keepLines w:val="0"/>
              <w:widowControl w:val="0"/>
              <w:numPr>
                <w:ilvl w:val="0"/>
                <w:numId w:val="0"/>
              </w:numPr>
              <w:spacing w:line="300" w:lineRule="auto"/>
              <w:jc w:val="center"/>
              <w:rPr>
                <w:rFonts w:ascii="Arial" w:hAnsi="Arial" w:cs="Arial"/>
                <w:b/>
                <w:bCs/>
                <w:sz w:val="20"/>
              </w:rPr>
            </w:pPr>
            <w:r w:rsidRPr="00BD63F3">
              <w:rPr>
                <w:rFonts w:ascii="Arial" w:hAnsi="Arial" w:cs="Arial"/>
                <w:b/>
                <w:bCs/>
                <w:sz w:val="20"/>
              </w:rPr>
              <w:t xml:space="preserve">Figure </w:t>
            </w:r>
            <w:r w:rsidR="00AD29A6">
              <w:rPr>
                <w:rFonts w:ascii="Arial" w:hAnsi="Arial" w:cs="Arial"/>
                <w:b/>
                <w:bCs/>
                <w:sz w:val="20"/>
              </w:rPr>
              <w:t>2.19</w:t>
            </w:r>
            <w:r w:rsidRPr="00BD63F3">
              <w:rPr>
                <w:rFonts w:ascii="Arial" w:hAnsi="Arial" w:cs="Arial"/>
                <w:b/>
                <w:bCs/>
                <w:sz w:val="20"/>
              </w:rPr>
              <w:t xml:space="preserve">: </w:t>
            </w:r>
            <w:r>
              <w:rPr>
                <w:rFonts w:ascii="Arial" w:hAnsi="Arial"/>
                <w:b/>
                <w:bCs/>
                <w:sz w:val="20"/>
              </w:rPr>
              <w:t>Household access to deposit (</w:t>
            </w:r>
            <w:r w:rsidR="00315CEB">
              <w:rPr>
                <w:rFonts w:ascii="Arial" w:hAnsi="Arial"/>
                <w:b/>
                <w:bCs/>
                <w:sz w:val="20"/>
              </w:rPr>
              <w:t xml:space="preserve">debt or savings of </w:t>
            </w:r>
            <w:r w:rsidR="00432414">
              <w:rPr>
                <w:rFonts w:ascii="Arial" w:hAnsi="Arial"/>
                <w:b/>
                <w:bCs/>
                <w:sz w:val="20"/>
              </w:rPr>
              <w:t>non-owner-occupiers</w:t>
            </w:r>
            <w:r>
              <w:rPr>
                <w:rFonts w:ascii="Arial" w:hAnsi="Arial"/>
                <w:b/>
                <w:bCs/>
                <w:sz w:val="20"/>
              </w:rPr>
              <w:t xml:space="preserve"> able to rent but not buy)</w:t>
            </w:r>
          </w:p>
        </w:tc>
      </w:tr>
      <w:tr w:rsidR="00B21374" w14:paraId="2F96DA92" w14:textId="77777777" w:rsidTr="00EB1E43">
        <w:trPr>
          <w:jc w:val="center"/>
        </w:trPr>
        <w:tc>
          <w:tcPr>
            <w:tcW w:w="9628" w:type="dxa"/>
            <w:vAlign w:val="center"/>
          </w:tcPr>
          <w:p w14:paraId="37A77DEE" w14:textId="77777777" w:rsidR="00B21374" w:rsidRDefault="00B21374" w:rsidP="00993425">
            <w:pPr>
              <w:pStyle w:val="Reporttext0"/>
              <w:keepLines w:val="0"/>
              <w:widowControl w:val="0"/>
              <w:numPr>
                <w:ilvl w:val="0"/>
                <w:numId w:val="0"/>
              </w:numPr>
              <w:spacing w:line="300" w:lineRule="auto"/>
              <w:jc w:val="center"/>
              <w:rPr>
                <w:rFonts w:ascii="Arial" w:hAnsi="Arial" w:cs="Arial"/>
                <w:sz w:val="20"/>
              </w:rPr>
            </w:pPr>
            <w:r>
              <w:rPr>
                <w:rFonts w:ascii="Arial" w:hAnsi="Arial" w:cs="Arial"/>
                <w:noProof/>
                <w:sz w:val="22"/>
                <w:szCs w:val="22"/>
              </w:rPr>
              <w:drawing>
                <wp:inline distT="0" distB="0" distL="0" distR="0" wp14:anchorId="7F26DE94" wp14:editId="7BC613BC">
                  <wp:extent cx="5040000" cy="2880000"/>
                  <wp:effectExtent l="0" t="0" r="825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494BD4FA" w14:textId="71241F15" w:rsidR="00B21374" w:rsidRDefault="00AB789F" w:rsidP="00993425">
      <w:pPr>
        <w:pStyle w:val="Reporttext0"/>
        <w:keepLines w:val="0"/>
        <w:widowControl w:val="0"/>
        <w:numPr>
          <w:ilvl w:val="0"/>
          <w:numId w:val="0"/>
        </w:numPr>
        <w:tabs>
          <w:tab w:val="left" w:pos="720"/>
        </w:tabs>
        <w:spacing w:line="300" w:lineRule="auto"/>
        <w:ind w:left="720" w:hanging="720"/>
        <w:jc w:val="center"/>
        <w:rPr>
          <w:rFonts w:ascii="Arial" w:hAnsi="Arial" w:cs="Arial"/>
          <w:sz w:val="20"/>
        </w:rPr>
      </w:pPr>
      <w:r>
        <w:rPr>
          <w:rFonts w:ascii="Arial" w:hAnsi="Arial" w:cs="Arial"/>
          <w:sz w:val="20"/>
        </w:rPr>
        <w:t>Source: Household survey</w:t>
      </w:r>
    </w:p>
    <w:p w14:paraId="11C957E7" w14:textId="77777777" w:rsidR="00177D13" w:rsidRPr="00B22FFD" w:rsidRDefault="00177D13" w:rsidP="00172F56">
      <w:pPr>
        <w:pStyle w:val="Reporttext0"/>
        <w:keepLines w:val="0"/>
        <w:widowControl w:val="0"/>
        <w:numPr>
          <w:ilvl w:val="0"/>
          <w:numId w:val="0"/>
        </w:numPr>
        <w:tabs>
          <w:tab w:val="left" w:pos="720"/>
        </w:tabs>
        <w:spacing w:line="300" w:lineRule="auto"/>
        <w:ind w:left="720" w:hanging="720"/>
        <w:rPr>
          <w:rFonts w:ascii="Arial" w:hAnsi="Arial" w:cs="Arial"/>
          <w:sz w:val="20"/>
        </w:rPr>
      </w:pPr>
    </w:p>
    <w:p w14:paraId="2738AF82" w14:textId="29294FFB" w:rsidR="00EB1E43" w:rsidRPr="007236BD" w:rsidRDefault="00EB1E43" w:rsidP="00172F56">
      <w:pPr>
        <w:spacing w:line="300" w:lineRule="auto"/>
        <w:jc w:val="both"/>
        <w:rPr>
          <w:rFonts w:ascii="Arial" w:hAnsi="Arial" w:cs="Arial"/>
          <w:b/>
          <w:lang w:eastAsia="ja-JP"/>
        </w:rPr>
      </w:pPr>
      <w:r>
        <w:rPr>
          <w:rFonts w:ascii="Arial" w:hAnsi="Arial" w:cs="Arial"/>
          <w:b/>
          <w:lang w:eastAsia="ja-JP"/>
        </w:rPr>
        <w:t>Concealed Households’ Financial Situation</w:t>
      </w:r>
    </w:p>
    <w:p w14:paraId="44B1CB98" w14:textId="77777777" w:rsidR="00EB1E43" w:rsidRPr="002143DA" w:rsidRDefault="00EB1E43" w:rsidP="00172F56">
      <w:pPr>
        <w:spacing w:line="300" w:lineRule="auto"/>
        <w:jc w:val="both"/>
        <w:rPr>
          <w:rFonts w:ascii="Arial" w:hAnsi="Arial" w:cs="Arial"/>
          <w:sz w:val="20"/>
          <w:szCs w:val="20"/>
          <w:lang w:eastAsia="ja-JP"/>
        </w:rPr>
      </w:pPr>
    </w:p>
    <w:p w14:paraId="65D89A6B" w14:textId="05C1E847" w:rsidR="00B21374" w:rsidRPr="00EB1E43" w:rsidRDefault="00B21374">
      <w:pPr>
        <w:pStyle w:val="11Bodytext"/>
        <w:numPr>
          <w:ilvl w:val="1"/>
          <w:numId w:val="32"/>
        </w:numPr>
        <w:spacing w:before="0" w:after="0" w:line="300" w:lineRule="auto"/>
        <w:ind w:left="720" w:hanging="720"/>
        <w:rPr>
          <w:color w:val="auto"/>
        </w:rPr>
      </w:pPr>
      <w:r w:rsidRPr="00EB1E43">
        <w:t xml:space="preserve">As well as existing </w:t>
      </w:r>
      <w:r w:rsidR="00432414" w:rsidRPr="00EB1E43">
        <w:t>households</w:t>
      </w:r>
      <w:r w:rsidRPr="00EB1E43">
        <w:t xml:space="preserve">, the survey asked a range of question from concealed/potential </w:t>
      </w:r>
      <w:r w:rsidR="00432414" w:rsidRPr="00EB1E43">
        <w:t>households</w:t>
      </w:r>
      <w:r w:rsidRPr="00EB1E43">
        <w:t xml:space="preserve">. These are </w:t>
      </w:r>
      <w:r w:rsidR="00432414" w:rsidRPr="00EB1E43">
        <w:t>households</w:t>
      </w:r>
      <w:r w:rsidRPr="00EB1E43">
        <w:t xml:space="preserve"> living with others but looking to set up their own independent home over the next five years – the main group will be grown-up children living with parents. In total the survey </w:t>
      </w:r>
      <w:r w:rsidR="00432414" w:rsidRPr="00EB1E43">
        <w:t>estimates</w:t>
      </w:r>
      <w:r w:rsidRPr="00EB1E43">
        <w:t xml:space="preserve"> 3,368 </w:t>
      </w:r>
      <w:r w:rsidR="00432414" w:rsidRPr="00EB1E43">
        <w:t>households</w:t>
      </w:r>
      <w:r w:rsidRPr="00EB1E43">
        <w:t xml:space="preserve"> as needing or being likely to move over the next five years (an average of 674 per annum).</w:t>
      </w:r>
    </w:p>
    <w:p w14:paraId="6781085B" w14:textId="77777777" w:rsidR="00EB1E43" w:rsidRPr="00EB1E43" w:rsidRDefault="00EB1E43" w:rsidP="00172F56">
      <w:pPr>
        <w:pStyle w:val="11Bodytext"/>
        <w:numPr>
          <w:ilvl w:val="0"/>
          <w:numId w:val="0"/>
        </w:numPr>
        <w:spacing w:before="0" w:after="0" w:line="300" w:lineRule="auto"/>
        <w:rPr>
          <w:color w:val="auto"/>
        </w:rPr>
      </w:pPr>
    </w:p>
    <w:p w14:paraId="0956295B" w14:textId="2CED515D" w:rsidR="00B21374" w:rsidRPr="00EB1E43" w:rsidRDefault="00B21374">
      <w:pPr>
        <w:pStyle w:val="11Bodytext"/>
        <w:numPr>
          <w:ilvl w:val="1"/>
          <w:numId w:val="32"/>
        </w:numPr>
        <w:spacing w:before="0" w:after="0" w:line="300" w:lineRule="auto"/>
        <w:ind w:left="720" w:hanging="720"/>
        <w:rPr>
          <w:color w:val="auto"/>
        </w:rPr>
      </w:pPr>
      <w:r w:rsidRPr="00EB1E43">
        <w:t xml:space="preserve">The survey results for household income of </w:t>
      </w:r>
      <w:r w:rsidR="00432414" w:rsidRPr="00EB1E43">
        <w:t>concealed</w:t>
      </w:r>
      <w:r w:rsidRPr="00EB1E43">
        <w:t xml:space="preserve"> households estimate the mean gross household income level to be £18,900 per annum, including households without any members in employment. The median income is lower than the mean, at £17,000 per annum.</w:t>
      </w:r>
    </w:p>
    <w:p w14:paraId="7B4E3D25" w14:textId="77777777" w:rsidR="00EB1E43" w:rsidRPr="00EB1E43" w:rsidRDefault="00EB1E43" w:rsidP="00172F56">
      <w:pPr>
        <w:pStyle w:val="11Bodytext"/>
        <w:numPr>
          <w:ilvl w:val="0"/>
          <w:numId w:val="0"/>
        </w:numPr>
        <w:spacing w:before="0" w:after="0" w:line="300" w:lineRule="auto"/>
        <w:rPr>
          <w:color w:val="auto"/>
        </w:rPr>
      </w:pPr>
    </w:p>
    <w:p w14:paraId="64EBC23B" w14:textId="3E6453FF" w:rsidR="00B21374" w:rsidRPr="00EB1E43" w:rsidRDefault="00B21374">
      <w:pPr>
        <w:pStyle w:val="11Bodytext"/>
        <w:numPr>
          <w:ilvl w:val="1"/>
          <w:numId w:val="32"/>
        </w:numPr>
        <w:spacing w:before="0" w:after="0" w:line="300" w:lineRule="auto"/>
        <w:ind w:left="720" w:hanging="720"/>
        <w:rPr>
          <w:color w:val="auto"/>
        </w:rPr>
      </w:pPr>
      <w:r w:rsidRPr="00EB1E43">
        <w:t xml:space="preserve">The figure below shows the distribution of income of </w:t>
      </w:r>
      <w:r w:rsidR="00432414" w:rsidRPr="00EB1E43">
        <w:t>concealed</w:t>
      </w:r>
      <w:r w:rsidRPr="00EB1E43">
        <w:t xml:space="preserve"> </w:t>
      </w:r>
      <w:r w:rsidR="00432414" w:rsidRPr="00EB1E43">
        <w:t>households</w:t>
      </w:r>
      <w:r w:rsidRPr="00EB1E43">
        <w:t xml:space="preserve">. This shows the majority of </w:t>
      </w:r>
      <w:r w:rsidR="00432414" w:rsidRPr="00EB1E43">
        <w:t>households</w:t>
      </w:r>
      <w:r w:rsidRPr="00EB1E43">
        <w:t xml:space="preserve"> (around 62%) have an income in the range of £10,000-£30,000 per annum, although a significant proportion have incomes lower than this. Very few households have an income in excess of £30,000.</w:t>
      </w:r>
    </w:p>
    <w:p w14:paraId="43874B31" w14:textId="77777777" w:rsidR="00B21374" w:rsidRDefault="00B21374" w:rsidP="00172F56">
      <w:pPr>
        <w:pStyle w:val="Reporttext0"/>
        <w:keepLines w:val="0"/>
        <w:widowControl w:val="0"/>
        <w:numPr>
          <w:ilvl w:val="0"/>
          <w:numId w:val="0"/>
        </w:numPr>
        <w:spacing w:line="300" w:lineRule="auto"/>
        <w:jc w:val="both"/>
        <w:rPr>
          <w:rFonts w:ascii="Arial" w:hAnsi="Arial" w:cs="Arial"/>
          <w:sz w:val="20"/>
        </w:rPr>
      </w:pPr>
    </w:p>
    <w:tbl>
      <w:tblPr>
        <w:tblStyle w:val="TableGridLight10"/>
        <w:tblW w:w="8199" w:type="dxa"/>
        <w:jc w:val="center"/>
        <w:tblLook w:val="04A0" w:firstRow="1" w:lastRow="0" w:firstColumn="1" w:lastColumn="0" w:noHBand="0" w:noVBand="1"/>
      </w:tblPr>
      <w:tblGrid>
        <w:gridCol w:w="8199"/>
      </w:tblGrid>
      <w:tr w:rsidR="00B21374" w:rsidRPr="00BD63F3" w14:paraId="4E4E6A42" w14:textId="77777777" w:rsidTr="00EB1E43">
        <w:trPr>
          <w:jc w:val="center"/>
        </w:trPr>
        <w:tc>
          <w:tcPr>
            <w:tcW w:w="9628" w:type="dxa"/>
            <w:vAlign w:val="center"/>
          </w:tcPr>
          <w:p w14:paraId="385C7702" w14:textId="13657D72" w:rsidR="00B21374" w:rsidRPr="00BD63F3" w:rsidRDefault="00B21374" w:rsidP="00993425">
            <w:pPr>
              <w:pStyle w:val="Reporttext0"/>
              <w:keepLines w:val="0"/>
              <w:widowControl w:val="0"/>
              <w:numPr>
                <w:ilvl w:val="0"/>
                <w:numId w:val="0"/>
              </w:numPr>
              <w:spacing w:line="300" w:lineRule="auto"/>
              <w:jc w:val="center"/>
              <w:rPr>
                <w:rFonts w:ascii="Arial" w:hAnsi="Arial" w:cs="Arial"/>
                <w:b/>
                <w:bCs/>
                <w:sz w:val="20"/>
              </w:rPr>
            </w:pPr>
            <w:r w:rsidRPr="00BD63F3">
              <w:rPr>
                <w:rFonts w:ascii="Arial" w:hAnsi="Arial" w:cs="Arial"/>
                <w:b/>
                <w:bCs/>
                <w:sz w:val="20"/>
              </w:rPr>
              <w:t xml:space="preserve">Figure </w:t>
            </w:r>
            <w:r w:rsidR="00AD29A6">
              <w:rPr>
                <w:rFonts w:ascii="Arial" w:hAnsi="Arial" w:cs="Arial"/>
                <w:b/>
                <w:bCs/>
                <w:sz w:val="20"/>
              </w:rPr>
              <w:t>2.20</w:t>
            </w:r>
            <w:r w:rsidRPr="00BD63F3">
              <w:rPr>
                <w:rFonts w:ascii="Arial" w:hAnsi="Arial" w:cs="Arial"/>
                <w:b/>
                <w:bCs/>
                <w:sz w:val="20"/>
              </w:rPr>
              <w:t xml:space="preserve">: </w:t>
            </w:r>
            <w:r w:rsidRPr="00BD63F3">
              <w:rPr>
                <w:rFonts w:ascii="Arial" w:hAnsi="Arial"/>
                <w:b/>
                <w:bCs/>
                <w:sz w:val="20"/>
              </w:rPr>
              <w:t>Distribution of annual gross household income</w:t>
            </w:r>
            <w:r>
              <w:rPr>
                <w:rFonts w:ascii="Arial" w:hAnsi="Arial"/>
                <w:b/>
                <w:bCs/>
                <w:sz w:val="20"/>
              </w:rPr>
              <w:t xml:space="preserve"> – concealed households</w:t>
            </w:r>
          </w:p>
        </w:tc>
      </w:tr>
      <w:tr w:rsidR="00B21374" w14:paraId="477E300A" w14:textId="77777777" w:rsidTr="00EB1E43">
        <w:trPr>
          <w:jc w:val="center"/>
        </w:trPr>
        <w:tc>
          <w:tcPr>
            <w:tcW w:w="9628" w:type="dxa"/>
            <w:vAlign w:val="center"/>
          </w:tcPr>
          <w:p w14:paraId="314F3A59" w14:textId="77777777" w:rsidR="00B21374" w:rsidRDefault="00B21374" w:rsidP="00993425">
            <w:pPr>
              <w:pStyle w:val="Reporttext0"/>
              <w:keepLines w:val="0"/>
              <w:widowControl w:val="0"/>
              <w:numPr>
                <w:ilvl w:val="0"/>
                <w:numId w:val="0"/>
              </w:numPr>
              <w:spacing w:line="300" w:lineRule="auto"/>
              <w:jc w:val="center"/>
              <w:rPr>
                <w:rFonts w:ascii="Arial" w:hAnsi="Arial" w:cs="Arial"/>
                <w:sz w:val="20"/>
              </w:rPr>
            </w:pPr>
            <w:r>
              <w:rPr>
                <w:rFonts w:ascii="Arial" w:hAnsi="Arial" w:cs="Arial"/>
                <w:noProof/>
                <w:sz w:val="22"/>
                <w:szCs w:val="22"/>
              </w:rPr>
              <w:drawing>
                <wp:inline distT="0" distB="0" distL="0" distR="0" wp14:anchorId="59090327" wp14:editId="49CAD4EC">
                  <wp:extent cx="5040000" cy="2880000"/>
                  <wp:effectExtent l="0" t="0" r="8255"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4F05C2F4" w14:textId="7A29A516" w:rsidR="00B21374" w:rsidRPr="00B22FFD" w:rsidRDefault="00AB789F" w:rsidP="00993425">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5C2BBD27" w14:textId="77777777" w:rsidR="00EB1E43" w:rsidRPr="002143DA" w:rsidRDefault="00EB1E43" w:rsidP="00172F56">
      <w:pPr>
        <w:spacing w:line="300" w:lineRule="auto"/>
        <w:jc w:val="both"/>
        <w:rPr>
          <w:rFonts w:ascii="Arial" w:hAnsi="Arial" w:cs="Arial"/>
          <w:sz w:val="20"/>
          <w:szCs w:val="20"/>
          <w:lang w:eastAsia="ja-JP"/>
        </w:rPr>
      </w:pPr>
    </w:p>
    <w:p w14:paraId="5B771564" w14:textId="542E53F5" w:rsidR="00B21374" w:rsidRPr="00EB1E43" w:rsidRDefault="00B21374">
      <w:pPr>
        <w:pStyle w:val="11Bodytext"/>
        <w:numPr>
          <w:ilvl w:val="1"/>
          <w:numId w:val="32"/>
        </w:numPr>
        <w:spacing w:before="0" w:after="0" w:line="300" w:lineRule="auto"/>
        <w:ind w:left="720" w:hanging="720"/>
        <w:rPr>
          <w:color w:val="auto"/>
        </w:rPr>
      </w:pPr>
      <w:r w:rsidRPr="00EB1E43">
        <w:t xml:space="preserve">One issue that has been </w:t>
      </w:r>
      <w:r w:rsidR="00432414" w:rsidRPr="00EB1E43">
        <w:t>highlighted</w:t>
      </w:r>
      <w:r w:rsidRPr="00EB1E43">
        <w:t xml:space="preserve"> in previous guidance about housing needs surveys (dating back to 2000) is that the incomes of concealed </w:t>
      </w:r>
      <w:r w:rsidR="00432414" w:rsidRPr="00EB1E43">
        <w:t>households</w:t>
      </w:r>
      <w:r w:rsidRPr="00EB1E43">
        <w:t xml:space="preserve"> are often much lower than the incomes seen when households actually move (as many </w:t>
      </w:r>
      <w:r w:rsidR="00432414" w:rsidRPr="00EB1E43">
        <w:t>households</w:t>
      </w:r>
      <w:r w:rsidRPr="00EB1E43">
        <w:t xml:space="preserve"> will be at the start of careers and would expect incomes to increase. Indeed</w:t>
      </w:r>
      <w:r w:rsidR="005E6512">
        <w:t>,</w:t>
      </w:r>
      <w:r w:rsidRPr="00EB1E43">
        <w:t xml:space="preserve"> previous guidance has suggested using dat</w:t>
      </w:r>
      <w:r>
        <w:t>a</w:t>
      </w:r>
      <w:r w:rsidRPr="00EB1E43">
        <w:t xml:space="preserve"> from recently moving </w:t>
      </w:r>
      <w:r w:rsidR="00432414" w:rsidRPr="00EB1E43">
        <w:t>households</w:t>
      </w:r>
      <w:r w:rsidRPr="00EB1E43">
        <w:t xml:space="preserve"> to provide an indication of likely </w:t>
      </w:r>
      <w:r w:rsidR="00432414" w:rsidRPr="00EB1E43">
        <w:t>income</w:t>
      </w:r>
      <w:r w:rsidRPr="00EB1E43">
        <w:t xml:space="preserve"> when households move</w:t>
      </w:r>
      <w:r w:rsidR="005E6512">
        <w:t xml:space="preserve"> home. That said, the Survey of English Housing shows that a high proportion of households have their first home in the private rented sector (Headline Report 2021).</w:t>
      </w:r>
    </w:p>
    <w:p w14:paraId="36D000D9" w14:textId="77777777" w:rsidR="00EB1E43" w:rsidRPr="00EB1E43" w:rsidRDefault="00EB1E43" w:rsidP="00172F56">
      <w:pPr>
        <w:pStyle w:val="11Bodytext"/>
        <w:numPr>
          <w:ilvl w:val="0"/>
          <w:numId w:val="0"/>
        </w:numPr>
        <w:spacing w:before="0" w:after="0" w:line="300" w:lineRule="auto"/>
        <w:rPr>
          <w:color w:val="auto"/>
        </w:rPr>
      </w:pPr>
    </w:p>
    <w:p w14:paraId="7B144861" w14:textId="56359B41" w:rsidR="00B21374" w:rsidRPr="00EB1E43" w:rsidRDefault="00B21374">
      <w:pPr>
        <w:pStyle w:val="11Bodytext"/>
        <w:numPr>
          <w:ilvl w:val="1"/>
          <w:numId w:val="32"/>
        </w:numPr>
        <w:spacing w:before="0" w:after="0" w:line="300" w:lineRule="auto"/>
        <w:ind w:left="720" w:hanging="720"/>
        <w:rPr>
          <w:color w:val="auto"/>
        </w:rPr>
      </w:pPr>
      <w:r w:rsidRPr="00EB1E43">
        <w:t xml:space="preserve">From the survey, it is possible to look at newly forming </w:t>
      </w:r>
      <w:r w:rsidR="00432414" w:rsidRPr="00EB1E43">
        <w:t>households</w:t>
      </w:r>
      <w:r w:rsidRPr="00EB1E43">
        <w:t xml:space="preserve"> with the table below showing the average (mean) income of </w:t>
      </w:r>
      <w:r w:rsidR="00432414" w:rsidRPr="00EB1E43">
        <w:t>households</w:t>
      </w:r>
      <w:r w:rsidRPr="00EB1E43">
        <w:t xml:space="preserve"> forming over the past 5-years as being around 76% higher than for the concealed </w:t>
      </w:r>
      <w:r w:rsidR="00432414" w:rsidRPr="00EB1E43">
        <w:t>households</w:t>
      </w:r>
      <w:r w:rsidRPr="00EB1E43">
        <w:t xml:space="preserve"> picked up by the survey.</w:t>
      </w:r>
    </w:p>
    <w:p w14:paraId="5429992A" w14:textId="77777777" w:rsidR="00B21374" w:rsidRDefault="00B21374"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ook w:val="04A0" w:firstRow="1" w:lastRow="0" w:firstColumn="1" w:lastColumn="0" w:noHBand="0" w:noVBand="1"/>
      </w:tblPr>
      <w:tblGrid>
        <w:gridCol w:w="3217"/>
        <w:gridCol w:w="2491"/>
        <w:gridCol w:w="2491"/>
      </w:tblGrid>
      <w:tr w:rsidR="00B21374" w:rsidRPr="008A7A44" w14:paraId="3D34BF52" w14:textId="77777777" w:rsidTr="008469E3">
        <w:trPr>
          <w:trHeight w:val="288"/>
          <w:jc w:val="center"/>
        </w:trPr>
        <w:tc>
          <w:tcPr>
            <w:tcW w:w="8199" w:type="dxa"/>
            <w:gridSpan w:val="3"/>
            <w:noWrap/>
          </w:tcPr>
          <w:p w14:paraId="5AE5CEA0" w14:textId="1AE0DF1F" w:rsidR="00B21374" w:rsidRPr="008A7A44" w:rsidRDefault="00AD29A6" w:rsidP="00993425">
            <w:pPr>
              <w:keepNext/>
              <w:spacing w:before="60" w:after="60" w:line="300" w:lineRule="auto"/>
              <w:jc w:val="center"/>
              <w:rPr>
                <w:rFonts w:ascii="Arial" w:hAnsi="Arial" w:cs="Arial"/>
                <w:b/>
                <w:bCs/>
                <w:color w:val="000000"/>
                <w:sz w:val="20"/>
                <w:szCs w:val="20"/>
              </w:rPr>
            </w:pPr>
            <w:r>
              <w:rPr>
                <w:rFonts w:ascii="Arial" w:hAnsi="Arial" w:cs="Arial"/>
                <w:b/>
                <w:bCs/>
                <w:color w:val="000000"/>
                <w:sz w:val="20"/>
                <w:szCs w:val="20"/>
              </w:rPr>
              <w:t>Figure 2.21</w:t>
            </w:r>
            <w:r w:rsidR="00B21374" w:rsidRPr="008A7A44">
              <w:rPr>
                <w:rFonts w:ascii="Arial" w:hAnsi="Arial" w:cs="Arial"/>
                <w:b/>
                <w:bCs/>
                <w:color w:val="000000"/>
                <w:sz w:val="20"/>
                <w:szCs w:val="20"/>
              </w:rPr>
              <w:t>: Income of recently moving households by previous tenure</w:t>
            </w:r>
          </w:p>
        </w:tc>
      </w:tr>
      <w:tr w:rsidR="00B21374" w:rsidRPr="002F093E" w14:paraId="0C253684" w14:textId="77777777" w:rsidTr="008469E3">
        <w:trPr>
          <w:trHeight w:val="288"/>
          <w:jc w:val="center"/>
        </w:trPr>
        <w:tc>
          <w:tcPr>
            <w:tcW w:w="3217" w:type="dxa"/>
            <w:noWrap/>
            <w:vAlign w:val="center"/>
          </w:tcPr>
          <w:p w14:paraId="2B9C758C" w14:textId="77777777" w:rsidR="00B21374" w:rsidRPr="002F093E" w:rsidRDefault="00B21374" w:rsidP="00993425">
            <w:pPr>
              <w:keepNext/>
              <w:spacing w:before="60" w:after="60" w:line="300" w:lineRule="auto"/>
              <w:rPr>
                <w:rFonts w:ascii="Arial" w:hAnsi="Arial" w:cs="Arial"/>
                <w:color w:val="000000"/>
                <w:sz w:val="20"/>
                <w:szCs w:val="20"/>
              </w:rPr>
            </w:pPr>
            <w:r w:rsidRPr="002F093E">
              <w:rPr>
                <w:rFonts w:ascii="Arial" w:hAnsi="Arial" w:cs="Arial"/>
                <w:color w:val="000000"/>
                <w:sz w:val="20"/>
                <w:szCs w:val="20"/>
              </w:rPr>
              <w:t>Previous tenure</w:t>
            </w:r>
          </w:p>
        </w:tc>
        <w:tc>
          <w:tcPr>
            <w:tcW w:w="2491" w:type="dxa"/>
            <w:noWrap/>
            <w:vAlign w:val="center"/>
          </w:tcPr>
          <w:p w14:paraId="2C563DA6" w14:textId="77777777" w:rsidR="00B21374" w:rsidRPr="002F093E" w:rsidRDefault="00B21374" w:rsidP="00993425">
            <w:pPr>
              <w:keepNext/>
              <w:spacing w:before="60" w:after="60" w:line="300" w:lineRule="auto"/>
              <w:jc w:val="center"/>
              <w:rPr>
                <w:rFonts w:ascii="Arial" w:hAnsi="Arial" w:cs="Arial"/>
                <w:color w:val="000000"/>
                <w:sz w:val="20"/>
                <w:szCs w:val="20"/>
              </w:rPr>
            </w:pPr>
            <w:r w:rsidRPr="002F093E">
              <w:rPr>
                <w:rFonts w:ascii="Arial" w:hAnsi="Arial" w:cs="Arial"/>
                <w:color w:val="000000"/>
                <w:sz w:val="20"/>
                <w:szCs w:val="20"/>
              </w:rPr>
              <w:t>Mean income</w:t>
            </w:r>
          </w:p>
        </w:tc>
        <w:tc>
          <w:tcPr>
            <w:tcW w:w="2491" w:type="dxa"/>
            <w:noWrap/>
            <w:vAlign w:val="center"/>
          </w:tcPr>
          <w:p w14:paraId="0387CF38" w14:textId="77777777" w:rsidR="00B21374" w:rsidRPr="002F093E" w:rsidRDefault="00B21374" w:rsidP="00993425">
            <w:pPr>
              <w:keepNext/>
              <w:spacing w:before="60" w:after="60" w:line="300" w:lineRule="auto"/>
              <w:jc w:val="center"/>
              <w:rPr>
                <w:rFonts w:ascii="Arial" w:hAnsi="Arial" w:cs="Arial"/>
                <w:color w:val="000000"/>
                <w:sz w:val="20"/>
                <w:szCs w:val="20"/>
              </w:rPr>
            </w:pPr>
            <w:r w:rsidRPr="002F093E">
              <w:rPr>
                <w:rFonts w:ascii="Arial" w:hAnsi="Arial" w:cs="Arial"/>
                <w:color w:val="000000"/>
                <w:sz w:val="20"/>
                <w:szCs w:val="20"/>
              </w:rPr>
              <w:t>Median income</w:t>
            </w:r>
          </w:p>
        </w:tc>
      </w:tr>
      <w:tr w:rsidR="00B21374" w:rsidRPr="002F093E" w14:paraId="7ADCE524" w14:textId="77777777" w:rsidTr="008469E3">
        <w:trPr>
          <w:trHeight w:val="288"/>
          <w:jc w:val="center"/>
        </w:trPr>
        <w:tc>
          <w:tcPr>
            <w:tcW w:w="3217" w:type="dxa"/>
            <w:noWrap/>
            <w:vAlign w:val="center"/>
            <w:hideMark/>
          </w:tcPr>
          <w:p w14:paraId="0AA92F03" w14:textId="77777777" w:rsidR="00B21374" w:rsidRPr="002F093E" w:rsidRDefault="00B21374" w:rsidP="00993425">
            <w:pPr>
              <w:keepNext/>
              <w:spacing w:line="300" w:lineRule="auto"/>
              <w:rPr>
                <w:rFonts w:ascii="Arial" w:hAnsi="Arial" w:cs="Arial"/>
                <w:color w:val="000000"/>
                <w:sz w:val="20"/>
                <w:szCs w:val="20"/>
              </w:rPr>
            </w:pPr>
            <w:r>
              <w:rPr>
                <w:rFonts w:ascii="Arial" w:hAnsi="Arial" w:cs="Arial"/>
                <w:color w:val="000000"/>
                <w:sz w:val="20"/>
                <w:szCs w:val="20"/>
              </w:rPr>
              <w:t>Owner-occupied</w:t>
            </w:r>
          </w:p>
        </w:tc>
        <w:tc>
          <w:tcPr>
            <w:tcW w:w="2491" w:type="dxa"/>
            <w:noWrap/>
            <w:vAlign w:val="center"/>
            <w:hideMark/>
          </w:tcPr>
          <w:p w14:paraId="177D3D64" w14:textId="77777777" w:rsidR="00B21374" w:rsidRPr="002F093E" w:rsidRDefault="00B21374" w:rsidP="00993425">
            <w:pPr>
              <w:keepNext/>
              <w:spacing w:line="300" w:lineRule="auto"/>
              <w:jc w:val="center"/>
              <w:rPr>
                <w:rFonts w:ascii="Arial" w:hAnsi="Arial" w:cs="Arial"/>
                <w:color w:val="000000"/>
                <w:sz w:val="20"/>
                <w:szCs w:val="20"/>
              </w:rPr>
            </w:pPr>
            <w:r w:rsidRPr="002F093E">
              <w:rPr>
                <w:rFonts w:ascii="Arial" w:hAnsi="Arial" w:cs="Arial"/>
                <w:color w:val="000000"/>
                <w:sz w:val="20"/>
                <w:szCs w:val="20"/>
              </w:rPr>
              <w:t>£46,274</w:t>
            </w:r>
          </w:p>
        </w:tc>
        <w:tc>
          <w:tcPr>
            <w:tcW w:w="2491" w:type="dxa"/>
            <w:noWrap/>
            <w:vAlign w:val="center"/>
            <w:hideMark/>
          </w:tcPr>
          <w:p w14:paraId="3AA8DAC1" w14:textId="77777777" w:rsidR="00B21374" w:rsidRPr="002F093E" w:rsidRDefault="00B21374" w:rsidP="00993425">
            <w:pPr>
              <w:keepNext/>
              <w:spacing w:line="300" w:lineRule="auto"/>
              <w:jc w:val="center"/>
              <w:rPr>
                <w:rFonts w:ascii="Arial" w:hAnsi="Arial" w:cs="Arial"/>
                <w:color w:val="000000"/>
                <w:sz w:val="20"/>
                <w:szCs w:val="20"/>
              </w:rPr>
            </w:pPr>
            <w:r w:rsidRPr="002F093E">
              <w:rPr>
                <w:rFonts w:ascii="Arial" w:hAnsi="Arial" w:cs="Arial"/>
                <w:color w:val="000000"/>
                <w:sz w:val="20"/>
                <w:szCs w:val="20"/>
              </w:rPr>
              <w:t>£37,295</w:t>
            </w:r>
          </w:p>
        </w:tc>
      </w:tr>
      <w:tr w:rsidR="00B21374" w:rsidRPr="002F093E" w14:paraId="1D91292D" w14:textId="77777777" w:rsidTr="008469E3">
        <w:trPr>
          <w:trHeight w:val="288"/>
          <w:jc w:val="center"/>
        </w:trPr>
        <w:tc>
          <w:tcPr>
            <w:tcW w:w="3217" w:type="dxa"/>
            <w:noWrap/>
            <w:vAlign w:val="center"/>
            <w:hideMark/>
          </w:tcPr>
          <w:p w14:paraId="074F9DC7" w14:textId="77777777" w:rsidR="00B21374" w:rsidRPr="002F093E" w:rsidRDefault="00B21374" w:rsidP="00993425">
            <w:pPr>
              <w:keepNext/>
              <w:spacing w:line="300" w:lineRule="auto"/>
              <w:rPr>
                <w:rFonts w:ascii="Arial" w:hAnsi="Arial" w:cs="Arial"/>
                <w:color w:val="000000"/>
                <w:sz w:val="20"/>
                <w:szCs w:val="20"/>
              </w:rPr>
            </w:pPr>
            <w:r>
              <w:rPr>
                <w:rFonts w:ascii="Arial" w:hAnsi="Arial" w:cs="Arial"/>
                <w:color w:val="000000"/>
                <w:sz w:val="20"/>
                <w:szCs w:val="20"/>
              </w:rPr>
              <w:t>Social rented</w:t>
            </w:r>
          </w:p>
        </w:tc>
        <w:tc>
          <w:tcPr>
            <w:tcW w:w="2491" w:type="dxa"/>
            <w:noWrap/>
            <w:vAlign w:val="center"/>
            <w:hideMark/>
          </w:tcPr>
          <w:p w14:paraId="14648CF9" w14:textId="77777777" w:rsidR="00B21374" w:rsidRPr="002F093E" w:rsidRDefault="00B21374" w:rsidP="00993425">
            <w:pPr>
              <w:keepNext/>
              <w:spacing w:line="300" w:lineRule="auto"/>
              <w:jc w:val="center"/>
              <w:rPr>
                <w:rFonts w:ascii="Arial" w:hAnsi="Arial" w:cs="Arial"/>
                <w:color w:val="000000"/>
                <w:sz w:val="20"/>
                <w:szCs w:val="20"/>
              </w:rPr>
            </w:pPr>
            <w:r w:rsidRPr="002F093E">
              <w:rPr>
                <w:rFonts w:ascii="Arial" w:hAnsi="Arial" w:cs="Arial"/>
                <w:color w:val="000000"/>
                <w:sz w:val="20"/>
                <w:szCs w:val="20"/>
              </w:rPr>
              <w:t>£24,499</w:t>
            </w:r>
          </w:p>
        </w:tc>
        <w:tc>
          <w:tcPr>
            <w:tcW w:w="2491" w:type="dxa"/>
            <w:noWrap/>
            <w:vAlign w:val="center"/>
            <w:hideMark/>
          </w:tcPr>
          <w:p w14:paraId="7080F057" w14:textId="77777777" w:rsidR="00B21374" w:rsidRPr="002F093E" w:rsidRDefault="00B21374" w:rsidP="00993425">
            <w:pPr>
              <w:keepNext/>
              <w:spacing w:line="300" w:lineRule="auto"/>
              <w:jc w:val="center"/>
              <w:rPr>
                <w:rFonts w:ascii="Arial" w:hAnsi="Arial" w:cs="Arial"/>
                <w:color w:val="000000"/>
                <w:sz w:val="20"/>
                <w:szCs w:val="20"/>
              </w:rPr>
            </w:pPr>
            <w:r w:rsidRPr="002F093E">
              <w:rPr>
                <w:rFonts w:ascii="Arial" w:hAnsi="Arial" w:cs="Arial"/>
                <w:color w:val="000000"/>
                <w:sz w:val="20"/>
                <w:szCs w:val="20"/>
              </w:rPr>
              <w:t>£16,832</w:t>
            </w:r>
          </w:p>
        </w:tc>
      </w:tr>
      <w:tr w:rsidR="00B21374" w:rsidRPr="002F093E" w14:paraId="7F5855FA" w14:textId="77777777" w:rsidTr="008469E3">
        <w:trPr>
          <w:trHeight w:val="288"/>
          <w:jc w:val="center"/>
        </w:trPr>
        <w:tc>
          <w:tcPr>
            <w:tcW w:w="3217" w:type="dxa"/>
            <w:noWrap/>
            <w:vAlign w:val="center"/>
            <w:hideMark/>
          </w:tcPr>
          <w:p w14:paraId="64E568A8" w14:textId="77777777" w:rsidR="00B21374" w:rsidRPr="002F093E" w:rsidRDefault="00B21374" w:rsidP="00993425">
            <w:pPr>
              <w:keepNext/>
              <w:spacing w:line="300" w:lineRule="auto"/>
              <w:rPr>
                <w:rFonts w:ascii="Arial" w:hAnsi="Arial" w:cs="Arial"/>
                <w:color w:val="000000"/>
                <w:sz w:val="20"/>
                <w:szCs w:val="20"/>
              </w:rPr>
            </w:pPr>
            <w:r>
              <w:rPr>
                <w:rFonts w:ascii="Arial" w:hAnsi="Arial" w:cs="Arial"/>
                <w:color w:val="000000"/>
                <w:sz w:val="20"/>
                <w:szCs w:val="20"/>
              </w:rPr>
              <w:t>Private rented</w:t>
            </w:r>
          </w:p>
        </w:tc>
        <w:tc>
          <w:tcPr>
            <w:tcW w:w="2491" w:type="dxa"/>
            <w:noWrap/>
            <w:vAlign w:val="center"/>
            <w:hideMark/>
          </w:tcPr>
          <w:p w14:paraId="4FECCF8B" w14:textId="77777777" w:rsidR="00B21374" w:rsidRPr="002F093E" w:rsidRDefault="00B21374" w:rsidP="00993425">
            <w:pPr>
              <w:keepNext/>
              <w:spacing w:line="300" w:lineRule="auto"/>
              <w:jc w:val="center"/>
              <w:rPr>
                <w:rFonts w:ascii="Arial" w:hAnsi="Arial" w:cs="Arial"/>
                <w:color w:val="000000"/>
                <w:sz w:val="20"/>
                <w:szCs w:val="20"/>
              </w:rPr>
            </w:pPr>
            <w:r w:rsidRPr="002F093E">
              <w:rPr>
                <w:rFonts w:ascii="Arial" w:hAnsi="Arial" w:cs="Arial"/>
                <w:color w:val="000000"/>
                <w:sz w:val="20"/>
                <w:szCs w:val="20"/>
              </w:rPr>
              <w:t>£30,178</w:t>
            </w:r>
          </w:p>
        </w:tc>
        <w:tc>
          <w:tcPr>
            <w:tcW w:w="2491" w:type="dxa"/>
            <w:noWrap/>
            <w:vAlign w:val="center"/>
            <w:hideMark/>
          </w:tcPr>
          <w:p w14:paraId="4AE2F185" w14:textId="77777777" w:rsidR="00B21374" w:rsidRPr="002F093E" w:rsidRDefault="00B21374" w:rsidP="00993425">
            <w:pPr>
              <w:keepNext/>
              <w:spacing w:line="300" w:lineRule="auto"/>
              <w:jc w:val="center"/>
              <w:rPr>
                <w:rFonts w:ascii="Arial" w:hAnsi="Arial" w:cs="Arial"/>
                <w:color w:val="000000"/>
                <w:sz w:val="20"/>
                <w:szCs w:val="20"/>
              </w:rPr>
            </w:pPr>
            <w:r w:rsidRPr="002F093E">
              <w:rPr>
                <w:rFonts w:ascii="Arial" w:hAnsi="Arial" w:cs="Arial"/>
                <w:color w:val="000000"/>
                <w:sz w:val="20"/>
                <w:szCs w:val="20"/>
              </w:rPr>
              <w:t>£22,092</w:t>
            </w:r>
          </w:p>
        </w:tc>
      </w:tr>
      <w:tr w:rsidR="00B21374" w:rsidRPr="002F093E" w14:paraId="51E7772C" w14:textId="77777777" w:rsidTr="008469E3">
        <w:trPr>
          <w:trHeight w:val="288"/>
          <w:jc w:val="center"/>
        </w:trPr>
        <w:tc>
          <w:tcPr>
            <w:tcW w:w="3217" w:type="dxa"/>
            <w:noWrap/>
            <w:vAlign w:val="center"/>
            <w:hideMark/>
          </w:tcPr>
          <w:p w14:paraId="7AE74FC7" w14:textId="77777777" w:rsidR="00B21374" w:rsidRPr="002F093E" w:rsidRDefault="00B21374" w:rsidP="00993425">
            <w:pPr>
              <w:keepNext/>
              <w:spacing w:line="300" w:lineRule="auto"/>
              <w:rPr>
                <w:rFonts w:ascii="Arial" w:hAnsi="Arial" w:cs="Arial"/>
                <w:color w:val="000000"/>
                <w:sz w:val="20"/>
                <w:szCs w:val="20"/>
              </w:rPr>
            </w:pPr>
            <w:r>
              <w:rPr>
                <w:rFonts w:ascii="Arial" w:hAnsi="Arial" w:cs="Arial"/>
                <w:color w:val="000000"/>
                <w:sz w:val="20"/>
                <w:szCs w:val="20"/>
              </w:rPr>
              <w:t>Newly-forming</w:t>
            </w:r>
          </w:p>
        </w:tc>
        <w:tc>
          <w:tcPr>
            <w:tcW w:w="2491" w:type="dxa"/>
            <w:noWrap/>
            <w:vAlign w:val="center"/>
            <w:hideMark/>
          </w:tcPr>
          <w:p w14:paraId="16EC7E28" w14:textId="77777777" w:rsidR="00B21374" w:rsidRPr="002F093E" w:rsidRDefault="00B21374" w:rsidP="00993425">
            <w:pPr>
              <w:keepNext/>
              <w:spacing w:line="300" w:lineRule="auto"/>
              <w:jc w:val="center"/>
              <w:rPr>
                <w:rFonts w:ascii="Arial" w:hAnsi="Arial" w:cs="Arial"/>
                <w:color w:val="000000"/>
                <w:sz w:val="20"/>
                <w:szCs w:val="20"/>
              </w:rPr>
            </w:pPr>
            <w:r w:rsidRPr="002F093E">
              <w:rPr>
                <w:rFonts w:ascii="Arial" w:hAnsi="Arial" w:cs="Arial"/>
                <w:color w:val="000000"/>
                <w:sz w:val="20"/>
                <w:szCs w:val="20"/>
              </w:rPr>
              <w:t>£33,299</w:t>
            </w:r>
          </w:p>
        </w:tc>
        <w:tc>
          <w:tcPr>
            <w:tcW w:w="2491" w:type="dxa"/>
            <w:noWrap/>
            <w:vAlign w:val="center"/>
            <w:hideMark/>
          </w:tcPr>
          <w:p w14:paraId="09B07790" w14:textId="77777777" w:rsidR="00B21374" w:rsidRPr="002F093E" w:rsidRDefault="00B21374" w:rsidP="00993425">
            <w:pPr>
              <w:keepNext/>
              <w:spacing w:line="300" w:lineRule="auto"/>
              <w:jc w:val="center"/>
              <w:rPr>
                <w:rFonts w:ascii="Arial" w:hAnsi="Arial" w:cs="Arial"/>
                <w:color w:val="000000"/>
                <w:sz w:val="20"/>
                <w:szCs w:val="20"/>
              </w:rPr>
            </w:pPr>
            <w:r w:rsidRPr="002F093E">
              <w:rPr>
                <w:rFonts w:ascii="Arial" w:hAnsi="Arial" w:cs="Arial"/>
                <w:color w:val="000000"/>
                <w:sz w:val="20"/>
                <w:szCs w:val="20"/>
              </w:rPr>
              <w:t>£26,439</w:t>
            </w:r>
          </w:p>
        </w:tc>
      </w:tr>
      <w:tr w:rsidR="00B21374" w:rsidRPr="002F093E" w14:paraId="4ED2F56B" w14:textId="77777777" w:rsidTr="008469E3">
        <w:trPr>
          <w:trHeight w:val="288"/>
          <w:jc w:val="center"/>
        </w:trPr>
        <w:tc>
          <w:tcPr>
            <w:tcW w:w="3217" w:type="dxa"/>
            <w:noWrap/>
            <w:vAlign w:val="center"/>
            <w:hideMark/>
          </w:tcPr>
          <w:p w14:paraId="37D3C51A" w14:textId="77777777" w:rsidR="00B21374" w:rsidRPr="002F093E" w:rsidRDefault="00B21374" w:rsidP="00993425">
            <w:pPr>
              <w:keepNext/>
              <w:spacing w:line="300" w:lineRule="auto"/>
              <w:rPr>
                <w:rFonts w:ascii="Arial" w:hAnsi="Arial" w:cs="Arial"/>
                <w:color w:val="000000"/>
                <w:sz w:val="20"/>
                <w:szCs w:val="20"/>
              </w:rPr>
            </w:pPr>
            <w:r w:rsidRPr="002F093E">
              <w:rPr>
                <w:rFonts w:ascii="Arial" w:hAnsi="Arial" w:cs="Arial"/>
                <w:color w:val="000000"/>
                <w:sz w:val="20"/>
                <w:szCs w:val="20"/>
              </w:rPr>
              <w:t>Total</w:t>
            </w:r>
          </w:p>
        </w:tc>
        <w:tc>
          <w:tcPr>
            <w:tcW w:w="2491" w:type="dxa"/>
            <w:noWrap/>
            <w:vAlign w:val="center"/>
            <w:hideMark/>
          </w:tcPr>
          <w:p w14:paraId="523D426C" w14:textId="77777777" w:rsidR="00B21374" w:rsidRPr="002F093E" w:rsidRDefault="00B21374" w:rsidP="00993425">
            <w:pPr>
              <w:keepNext/>
              <w:spacing w:line="300" w:lineRule="auto"/>
              <w:jc w:val="center"/>
              <w:rPr>
                <w:rFonts w:ascii="Arial" w:hAnsi="Arial" w:cs="Arial"/>
                <w:color w:val="000000"/>
                <w:sz w:val="20"/>
                <w:szCs w:val="20"/>
              </w:rPr>
            </w:pPr>
            <w:r w:rsidRPr="002F093E">
              <w:rPr>
                <w:rFonts w:ascii="Arial" w:hAnsi="Arial" w:cs="Arial"/>
                <w:color w:val="000000"/>
                <w:sz w:val="20"/>
                <w:szCs w:val="20"/>
              </w:rPr>
              <w:t>£38,227</w:t>
            </w:r>
          </w:p>
        </w:tc>
        <w:tc>
          <w:tcPr>
            <w:tcW w:w="2491" w:type="dxa"/>
            <w:noWrap/>
            <w:vAlign w:val="center"/>
            <w:hideMark/>
          </w:tcPr>
          <w:p w14:paraId="132A0A1F" w14:textId="77777777" w:rsidR="00B21374" w:rsidRPr="002F093E" w:rsidRDefault="00B21374" w:rsidP="00993425">
            <w:pPr>
              <w:keepNext/>
              <w:spacing w:line="300" w:lineRule="auto"/>
              <w:jc w:val="center"/>
              <w:rPr>
                <w:rFonts w:ascii="Arial" w:hAnsi="Arial" w:cs="Arial"/>
                <w:color w:val="000000"/>
                <w:sz w:val="20"/>
                <w:szCs w:val="20"/>
              </w:rPr>
            </w:pPr>
            <w:r w:rsidRPr="002F093E">
              <w:rPr>
                <w:rFonts w:ascii="Arial" w:hAnsi="Arial" w:cs="Arial"/>
                <w:color w:val="000000"/>
                <w:sz w:val="20"/>
                <w:szCs w:val="20"/>
              </w:rPr>
              <w:t>£29,547</w:t>
            </w:r>
          </w:p>
        </w:tc>
      </w:tr>
      <w:tr w:rsidR="00B21374" w:rsidRPr="002F093E" w14:paraId="74F952CC" w14:textId="77777777" w:rsidTr="008469E3">
        <w:trPr>
          <w:trHeight w:val="288"/>
          <w:jc w:val="center"/>
        </w:trPr>
        <w:tc>
          <w:tcPr>
            <w:tcW w:w="3217" w:type="dxa"/>
            <w:noWrap/>
            <w:vAlign w:val="center"/>
            <w:hideMark/>
          </w:tcPr>
          <w:p w14:paraId="0E1DDF84" w14:textId="77777777" w:rsidR="00B21374" w:rsidRPr="002F093E" w:rsidRDefault="00B21374" w:rsidP="00993425">
            <w:pPr>
              <w:keepNext/>
              <w:spacing w:line="300" w:lineRule="auto"/>
              <w:rPr>
                <w:rFonts w:ascii="Arial" w:hAnsi="Arial" w:cs="Arial"/>
                <w:color w:val="000000"/>
                <w:sz w:val="20"/>
                <w:szCs w:val="20"/>
              </w:rPr>
            </w:pPr>
            <w:r>
              <w:rPr>
                <w:rFonts w:ascii="Arial" w:hAnsi="Arial" w:cs="Arial"/>
                <w:color w:val="000000"/>
                <w:sz w:val="20"/>
                <w:szCs w:val="20"/>
              </w:rPr>
              <w:t>Concealed households</w:t>
            </w:r>
          </w:p>
        </w:tc>
        <w:tc>
          <w:tcPr>
            <w:tcW w:w="2491" w:type="dxa"/>
            <w:noWrap/>
            <w:vAlign w:val="center"/>
            <w:hideMark/>
          </w:tcPr>
          <w:p w14:paraId="2B149608" w14:textId="77777777" w:rsidR="00B21374" w:rsidRPr="002F093E" w:rsidRDefault="00B21374" w:rsidP="00993425">
            <w:pPr>
              <w:keepNext/>
              <w:spacing w:line="300" w:lineRule="auto"/>
              <w:jc w:val="center"/>
              <w:rPr>
                <w:rFonts w:ascii="Arial" w:hAnsi="Arial" w:cs="Arial"/>
                <w:color w:val="000000"/>
                <w:sz w:val="20"/>
                <w:szCs w:val="20"/>
              </w:rPr>
            </w:pPr>
            <w:r w:rsidRPr="002F093E">
              <w:rPr>
                <w:rFonts w:ascii="Arial" w:hAnsi="Arial" w:cs="Arial"/>
                <w:color w:val="000000"/>
                <w:sz w:val="20"/>
                <w:szCs w:val="20"/>
              </w:rPr>
              <w:t>£18,924</w:t>
            </w:r>
          </w:p>
        </w:tc>
        <w:tc>
          <w:tcPr>
            <w:tcW w:w="2491" w:type="dxa"/>
            <w:noWrap/>
            <w:vAlign w:val="center"/>
            <w:hideMark/>
          </w:tcPr>
          <w:p w14:paraId="4FCC8AE5" w14:textId="77777777" w:rsidR="00B21374" w:rsidRPr="002F093E" w:rsidRDefault="00B21374" w:rsidP="00993425">
            <w:pPr>
              <w:keepNext/>
              <w:spacing w:line="300" w:lineRule="auto"/>
              <w:jc w:val="center"/>
              <w:rPr>
                <w:rFonts w:ascii="Arial" w:hAnsi="Arial" w:cs="Arial"/>
                <w:color w:val="000000"/>
                <w:sz w:val="20"/>
                <w:szCs w:val="20"/>
              </w:rPr>
            </w:pPr>
            <w:r w:rsidRPr="002F093E">
              <w:rPr>
                <w:rFonts w:ascii="Arial" w:hAnsi="Arial" w:cs="Arial"/>
                <w:color w:val="000000"/>
                <w:sz w:val="20"/>
                <w:szCs w:val="20"/>
              </w:rPr>
              <w:t>£17,030</w:t>
            </w:r>
          </w:p>
        </w:tc>
      </w:tr>
    </w:tbl>
    <w:p w14:paraId="1BEA539F" w14:textId="1C841EAD" w:rsidR="00B21374" w:rsidRPr="00B22FFD" w:rsidRDefault="00AB789F" w:rsidP="00993425">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0796C9D1" w14:textId="5283E8E0" w:rsidR="00B21374" w:rsidRDefault="00B21374">
      <w:pPr>
        <w:pStyle w:val="Reporttext0"/>
        <w:keepLines w:val="0"/>
        <w:widowControl w:val="0"/>
        <w:numPr>
          <w:ilvl w:val="0"/>
          <w:numId w:val="0"/>
        </w:numPr>
        <w:spacing w:line="300" w:lineRule="auto"/>
        <w:jc w:val="both"/>
        <w:rPr>
          <w:rFonts w:ascii="Arial" w:hAnsi="Arial" w:cs="Arial"/>
          <w:sz w:val="20"/>
        </w:rPr>
      </w:pPr>
    </w:p>
    <w:p w14:paraId="2989B7F0" w14:textId="300FF57C" w:rsidR="00177D13" w:rsidRDefault="00177D13">
      <w:pPr>
        <w:pStyle w:val="Reporttext0"/>
        <w:keepLines w:val="0"/>
        <w:widowControl w:val="0"/>
        <w:numPr>
          <w:ilvl w:val="0"/>
          <w:numId w:val="0"/>
        </w:numPr>
        <w:spacing w:line="300" w:lineRule="auto"/>
        <w:jc w:val="both"/>
        <w:rPr>
          <w:rFonts w:ascii="Arial" w:hAnsi="Arial" w:cs="Arial"/>
          <w:sz w:val="20"/>
        </w:rPr>
      </w:pPr>
    </w:p>
    <w:p w14:paraId="6F496565" w14:textId="58AE6C2E" w:rsidR="00177D13" w:rsidRDefault="00177D13">
      <w:pPr>
        <w:pStyle w:val="Reporttext0"/>
        <w:keepLines w:val="0"/>
        <w:widowControl w:val="0"/>
        <w:numPr>
          <w:ilvl w:val="0"/>
          <w:numId w:val="0"/>
        </w:numPr>
        <w:spacing w:line="300" w:lineRule="auto"/>
        <w:jc w:val="both"/>
        <w:rPr>
          <w:rFonts w:ascii="Arial" w:hAnsi="Arial" w:cs="Arial"/>
          <w:sz w:val="20"/>
        </w:rPr>
      </w:pPr>
    </w:p>
    <w:p w14:paraId="2834B2F3" w14:textId="77777777" w:rsidR="00177D13" w:rsidRDefault="00177D13" w:rsidP="00172F56">
      <w:pPr>
        <w:pStyle w:val="Reporttext0"/>
        <w:keepLines w:val="0"/>
        <w:widowControl w:val="0"/>
        <w:numPr>
          <w:ilvl w:val="0"/>
          <w:numId w:val="0"/>
        </w:numPr>
        <w:spacing w:line="300" w:lineRule="auto"/>
        <w:jc w:val="both"/>
        <w:rPr>
          <w:rFonts w:ascii="Arial" w:hAnsi="Arial" w:cs="Arial"/>
          <w:sz w:val="20"/>
        </w:rPr>
      </w:pPr>
    </w:p>
    <w:p w14:paraId="3EC8FC3E" w14:textId="1057B825" w:rsidR="00B21374" w:rsidRPr="00D05209" w:rsidRDefault="00B21374">
      <w:pPr>
        <w:pStyle w:val="11Bodytext"/>
        <w:numPr>
          <w:ilvl w:val="1"/>
          <w:numId w:val="32"/>
        </w:numPr>
        <w:spacing w:before="0" w:after="0" w:line="300" w:lineRule="auto"/>
        <w:ind w:left="720" w:hanging="720"/>
        <w:rPr>
          <w:color w:val="auto"/>
        </w:rPr>
      </w:pPr>
      <w:r w:rsidRPr="00D05209">
        <w:t xml:space="preserve">Using </w:t>
      </w:r>
      <w:r w:rsidR="00D05209" w:rsidRPr="00D05209">
        <w:t xml:space="preserve">the </w:t>
      </w:r>
      <w:r w:rsidRPr="00D05209">
        <w:t xml:space="preserve">information </w:t>
      </w:r>
      <w:r w:rsidR="00D05209" w:rsidRPr="00D05209">
        <w:t xml:space="preserve">about the difference between concealed households income now and the incomes that might be expected when they move, </w:t>
      </w:r>
      <w:r w:rsidRPr="00D05209">
        <w:t>the survey data has been uprated by 76% to provide a better indication of potential incomes at the time of moving.</w:t>
      </w:r>
      <w:r w:rsidR="00D05209" w:rsidRPr="00D05209">
        <w:t xml:space="preserve"> </w:t>
      </w:r>
      <w:r w:rsidR="00D05209" w:rsidRPr="00D05209">
        <w:rPr>
          <w:shd w:val="clear" w:color="auto" w:fill="FFFFFF"/>
        </w:rPr>
        <w:t>This is however not without issue; for example</w:t>
      </w:r>
      <w:r w:rsidR="00D05209" w:rsidRPr="00172F56">
        <w:rPr>
          <w:rStyle w:val="cf01"/>
          <w:rFonts w:ascii="Arial" w:hAnsi="Arial" w:cs="Arial"/>
          <w:sz w:val="20"/>
          <w:szCs w:val="20"/>
        </w:rPr>
        <w:t xml:space="preserve"> concealed households do not move when they cannot afford to; they only do so when they can. Therefore, using the income level when they move could give an over-estimate of the income as a concealed household. That said, it is considered that linking to data on households who have moved is the most robust method of using the available data, and is one which is more likely to under- than over-</w:t>
      </w:r>
      <w:r w:rsidR="00931AE7" w:rsidRPr="00931AE7">
        <w:rPr>
          <w:rStyle w:val="cf01"/>
          <w:rFonts w:ascii="Arial" w:hAnsi="Arial" w:cs="Arial"/>
          <w:sz w:val="20"/>
          <w:szCs w:val="20"/>
        </w:rPr>
        <w:t>estimate</w:t>
      </w:r>
      <w:r w:rsidR="00D05209" w:rsidRPr="00172F56">
        <w:rPr>
          <w:rStyle w:val="cf01"/>
          <w:rFonts w:ascii="Arial" w:hAnsi="Arial" w:cs="Arial"/>
          <w:sz w:val="20"/>
          <w:szCs w:val="20"/>
        </w:rPr>
        <w:t xml:space="preserve"> the affordable need.</w:t>
      </w:r>
    </w:p>
    <w:p w14:paraId="1F803B1E" w14:textId="77777777" w:rsidR="00EB1E43" w:rsidRPr="00EB1E43" w:rsidRDefault="00EB1E43" w:rsidP="00172F56">
      <w:pPr>
        <w:pStyle w:val="11Bodytext"/>
        <w:numPr>
          <w:ilvl w:val="0"/>
          <w:numId w:val="0"/>
        </w:numPr>
        <w:spacing w:before="0" w:after="0" w:line="300" w:lineRule="auto"/>
        <w:rPr>
          <w:color w:val="auto"/>
        </w:rPr>
      </w:pPr>
    </w:p>
    <w:p w14:paraId="6A389568" w14:textId="08FEF4C8" w:rsidR="00B21374" w:rsidRPr="00EB1E43" w:rsidRDefault="00B21374">
      <w:pPr>
        <w:pStyle w:val="11Bodytext"/>
        <w:numPr>
          <w:ilvl w:val="1"/>
          <w:numId w:val="32"/>
        </w:numPr>
        <w:spacing w:before="0" w:after="0" w:line="300" w:lineRule="auto"/>
        <w:ind w:left="720" w:hanging="720"/>
        <w:rPr>
          <w:color w:val="auto"/>
        </w:rPr>
      </w:pPr>
      <w:r w:rsidRPr="00EB1E43">
        <w:t xml:space="preserve">Household were also asked about any financial resources for a deposit, with the figure </w:t>
      </w:r>
      <w:r w:rsidR="00432414" w:rsidRPr="00EB1E43">
        <w:t>below</w:t>
      </w:r>
      <w:r w:rsidRPr="00EB1E43">
        <w:t xml:space="preserve"> showing </w:t>
      </w:r>
      <w:r w:rsidR="00432414" w:rsidRPr="00EB1E43">
        <w:t>typically</w:t>
      </w:r>
      <w:r w:rsidRPr="00EB1E43">
        <w:t xml:space="preserve"> low levels of available finance (57% with no more than £5,000). Again it seems likely that access to deposits will be a barrier to accessing the owner-occupied sector.</w:t>
      </w:r>
    </w:p>
    <w:p w14:paraId="17C8B14B" w14:textId="77777777" w:rsidR="00B21374" w:rsidRDefault="00B21374"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ook w:val="04A0" w:firstRow="1" w:lastRow="0" w:firstColumn="1" w:lastColumn="0" w:noHBand="0" w:noVBand="1"/>
      </w:tblPr>
      <w:tblGrid>
        <w:gridCol w:w="8199"/>
      </w:tblGrid>
      <w:tr w:rsidR="00B21374" w:rsidRPr="00BD63F3" w14:paraId="66A0D50A" w14:textId="77777777" w:rsidTr="0072684E">
        <w:trPr>
          <w:jc w:val="center"/>
        </w:trPr>
        <w:tc>
          <w:tcPr>
            <w:tcW w:w="9628" w:type="dxa"/>
          </w:tcPr>
          <w:p w14:paraId="09463D0D" w14:textId="0695D6C1" w:rsidR="00B21374" w:rsidRPr="00BD63F3" w:rsidRDefault="00B21374" w:rsidP="00993425">
            <w:pPr>
              <w:pStyle w:val="Reporttext0"/>
              <w:keepNext/>
              <w:keepLines w:val="0"/>
              <w:widowControl w:val="0"/>
              <w:numPr>
                <w:ilvl w:val="0"/>
                <w:numId w:val="0"/>
              </w:numPr>
              <w:spacing w:before="60" w:after="60" w:line="300" w:lineRule="auto"/>
              <w:jc w:val="center"/>
              <w:rPr>
                <w:rFonts w:ascii="Arial" w:hAnsi="Arial" w:cs="Arial"/>
                <w:b/>
                <w:bCs/>
                <w:sz w:val="20"/>
              </w:rPr>
            </w:pPr>
            <w:r w:rsidRPr="00BD63F3">
              <w:rPr>
                <w:rFonts w:ascii="Arial" w:hAnsi="Arial" w:cs="Arial"/>
                <w:b/>
                <w:bCs/>
                <w:sz w:val="20"/>
              </w:rPr>
              <w:t xml:space="preserve">Figure </w:t>
            </w:r>
            <w:r w:rsidR="00AD29A6">
              <w:rPr>
                <w:rFonts w:ascii="Arial" w:hAnsi="Arial" w:cs="Arial"/>
                <w:b/>
                <w:bCs/>
                <w:sz w:val="20"/>
              </w:rPr>
              <w:t>2.22</w:t>
            </w:r>
            <w:r w:rsidRPr="00BD63F3">
              <w:rPr>
                <w:rFonts w:ascii="Arial" w:hAnsi="Arial" w:cs="Arial"/>
                <w:b/>
                <w:bCs/>
                <w:sz w:val="20"/>
              </w:rPr>
              <w:t xml:space="preserve">: </w:t>
            </w:r>
            <w:r>
              <w:rPr>
                <w:rFonts w:ascii="Arial" w:hAnsi="Arial" w:cs="Arial"/>
                <w:b/>
                <w:bCs/>
                <w:sz w:val="20"/>
              </w:rPr>
              <w:t>Co</w:t>
            </w:r>
            <w:r>
              <w:rPr>
                <w:rFonts w:ascii="Arial" w:hAnsi="Arial"/>
                <w:b/>
                <w:bCs/>
                <w:sz w:val="20"/>
              </w:rPr>
              <w:t>ncealed households</w:t>
            </w:r>
            <w:r w:rsidR="0072684E" w:rsidRPr="008021BC">
              <w:rPr>
                <w:rFonts w:ascii="Arial" w:hAnsi="Arial" w:cs="Arial"/>
                <w:b/>
                <w:bCs/>
                <w:sz w:val="20"/>
              </w:rPr>
              <w:t>’</w:t>
            </w:r>
            <w:r>
              <w:rPr>
                <w:rFonts w:ascii="Arial" w:hAnsi="Arial"/>
                <w:b/>
                <w:bCs/>
                <w:sz w:val="20"/>
              </w:rPr>
              <w:t xml:space="preserve"> financial resources towards a deposit</w:t>
            </w:r>
          </w:p>
        </w:tc>
      </w:tr>
      <w:tr w:rsidR="00B21374" w14:paraId="52912663" w14:textId="77777777" w:rsidTr="0072684E">
        <w:trPr>
          <w:jc w:val="center"/>
        </w:trPr>
        <w:tc>
          <w:tcPr>
            <w:tcW w:w="9628" w:type="dxa"/>
          </w:tcPr>
          <w:p w14:paraId="4319DF1D" w14:textId="77777777" w:rsidR="00B21374" w:rsidRDefault="00B21374" w:rsidP="00172F56">
            <w:pPr>
              <w:pStyle w:val="Reporttext0"/>
              <w:keepLines w:val="0"/>
              <w:widowControl w:val="0"/>
              <w:numPr>
                <w:ilvl w:val="0"/>
                <w:numId w:val="0"/>
              </w:numPr>
              <w:spacing w:line="300" w:lineRule="auto"/>
              <w:jc w:val="center"/>
              <w:rPr>
                <w:rFonts w:ascii="Arial" w:hAnsi="Arial" w:cs="Arial"/>
                <w:sz w:val="20"/>
              </w:rPr>
            </w:pPr>
            <w:r>
              <w:rPr>
                <w:rFonts w:ascii="Arial" w:hAnsi="Arial" w:cs="Arial"/>
                <w:noProof/>
                <w:sz w:val="22"/>
                <w:szCs w:val="22"/>
              </w:rPr>
              <w:drawing>
                <wp:inline distT="0" distB="0" distL="0" distR="0" wp14:anchorId="05572ED7" wp14:editId="7CAC9E0E">
                  <wp:extent cx="5040000" cy="2880000"/>
                  <wp:effectExtent l="0" t="0" r="825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257A8F6A" w14:textId="06D96C43" w:rsidR="00B21374" w:rsidRPr="00B22FFD" w:rsidRDefault="00AB789F" w:rsidP="00993425">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69DC9B1D" w14:textId="0FB9DFE8" w:rsidR="00B21374" w:rsidRDefault="00B21374" w:rsidP="00172F56">
      <w:pPr>
        <w:pStyle w:val="NormalWeb"/>
        <w:widowControl w:val="0"/>
        <w:spacing w:before="0" w:after="0"/>
        <w:jc w:val="both"/>
        <w:rPr>
          <w:rFonts w:ascii="Arial" w:hAnsi="Arial" w:cs="Arial"/>
          <w:sz w:val="20"/>
          <w:szCs w:val="20"/>
        </w:rPr>
      </w:pPr>
    </w:p>
    <w:p w14:paraId="4F379DEC" w14:textId="10402AA0" w:rsidR="00B21374" w:rsidRPr="0072684E" w:rsidRDefault="00B21374">
      <w:pPr>
        <w:pStyle w:val="11Bodytext"/>
        <w:numPr>
          <w:ilvl w:val="1"/>
          <w:numId w:val="32"/>
        </w:numPr>
        <w:spacing w:before="0" w:after="0" w:line="300" w:lineRule="auto"/>
        <w:ind w:left="720" w:hanging="720"/>
        <w:rPr>
          <w:color w:val="auto"/>
        </w:rPr>
      </w:pPr>
      <w:r w:rsidRPr="0072684E">
        <w:t xml:space="preserve">Using the same affordability test as for existing </w:t>
      </w:r>
      <w:r w:rsidR="00432414" w:rsidRPr="0072684E">
        <w:t>households</w:t>
      </w:r>
      <w:r w:rsidR="00D05209">
        <w:t xml:space="preserve"> (including price and rent data based on place of residence)</w:t>
      </w:r>
      <w:r w:rsidRPr="0072684E">
        <w:t xml:space="preserve">, the table below shows an estimated 38% of concealed </w:t>
      </w:r>
      <w:r w:rsidR="00432414" w:rsidRPr="0072684E">
        <w:t>households</w:t>
      </w:r>
      <w:r w:rsidRPr="0072684E">
        <w:t xml:space="preserve"> will not be able to buy or rent in the market. The analysis also shows no </w:t>
      </w:r>
      <w:r w:rsidR="00432414" w:rsidRPr="0072684E">
        <w:t>households</w:t>
      </w:r>
      <w:r w:rsidRPr="0072684E">
        <w:t xml:space="preserve"> as able to buy but not rent, but 27% who can afford to rent only (and who would again be potenti</w:t>
      </w:r>
      <w:r w:rsidR="0072684E">
        <w:t>a</w:t>
      </w:r>
      <w:r w:rsidRPr="0072684E">
        <w:t xml:space="preserve">l </w:t>
      </w:r>
      <w:r>
        <w:t>targets</w:t>
      </w:r>
      <w:r w:rsidRPr="0072684E">
        <w:t xml:space="preserve"> for affordable home ownership</w:t>
      </w:r>
      <w:r>
        <w:t>).</w:t>
      </w:r>
    </w:p>
    <w:p w14:paraId="23B24047" w14:textId="77777777" w:rsidR="00B21374" w:rsidRDefault="00B21374" w:rsidP="00172F56">
      <w:pPr>
        <w:pStyle w:val="Reporttext0"/>
        <w:keepLines w:val="0"/>
        <w:widowControl w:val="0"/>
        <w:numPr>
          <w:ilvl w:val="0"/>
          <w:numId w:val="0"/>
        </w:numPr>
        <w:spacing w:line="300" w:lineRule="auto"/>
        <w:jc w:val="both"/>
        <w:rPr>
          <w:rFonts w:ascii="Arial" w:hAnsi="Arial" w:cs="Arial"/>
          <w:sz w:val="20"/>
        </w:rPr>
      </w:pPr>
    </w:p>
    <w:tbl>
      <w:tblPr>
        <w:tblStyle w:val="TableTheme"/>
        <w:tblW w:w="8199" w:type="dxa"/>
        <w:jc w:val="center"/>
        <w:tblLook w:val="04A0" w:firstRow="1" w:lastRow="0" w:firstColumn="1" w:lastColumn="0" w:noHBand="0" w:noVBand="1"/>
      </w:tblPr>
      <w:tblGrid>
        <w:gridCol w:w="4442"/>
        <w:gridCol w:w="1903"/>
        <w:gridCol w:w="1854"/>
      </w:tblGrid>
      <w:tr w:rsidR="00B21374" w:rsidRPr="00E11E96" w14:paraId="4A091FBB" w14:textId="77777777" w:rsidTr="008469E3">
        <w:trPr>
          <w:jc w:val="center"/>
        </w:trPr>
        <w:tc>
          <w:tcPr>
            <w:tcW w:w="8199" w:type="dxa"/>
            <w:gridSpan w:val="3"/>
            <w:noWrap/>
          </w:tcPr>
          <w:p w14:paraId="08589998" w14:textId="63BDD3A1" w:rsidR="00B21374" w:rsidRPr="00E11E96" w:rsidRDefault="00AD29A6" w:rsidP="00993425">
            <w:pPr>
              <w:keepNext/>
              <w:spacing w:before="60" w:after="60" w:line="300" w:lineRule="auto"/>
              <w:jc w:val="center"/>
              <w:rPr>
                <w:rFonts w:ascii="Arial" w:hAnsi="Arial" w:cs="Arial"/>
                <w:b/>
                <w:bCs/>
                <w:color w:val="000000"/>
                <w:sz w:val="20"/>
                <w:szCs w:val="20"/>
              </w:rPr>
            </w:pPr>
            <w:r w:rsidRPr="19457DA8">
              <w:rPr>
                <w:rFonts w:ascii="Arial" w:hAnsi="Arial" w:cs="Arial"/>
                <w:b/>
                <w:color w:val="000000" w:themeColor="text1"/>
                <w:sz w:val="20"/>
                <w:szCs w:val="20"/>
              </w:rPr>
              <w:t>Figure 2.23</w:t>
            </w:r>
            <w:r w:rsidR="00B21374" w:rsidRPr="19457DA8">
              <w:rPr>
                <w:rFonts w:ascii="Arial" w:hAnsi="Arial" w:cs="Arial"/>
                <w:b/>
                <w:color w:val="000000" w:themeColor="text1"/>
                <w:sz w:val="20"/>
                <w:szCs w:val="20"/>
              </w:rPr>
              <w:t xml:space="preserve">: </w:t>
            </w:r>
            <w:r w:rsidR="003D6568">
              <w:rPr>
                <w:rFonts w:ascii="Arial" w:hAnsi="Arial" w:cs="Arial"/>
                <w:b/>
                <w:color w:val="000000" w:themeColor="text1"/>
                <w:sz w:val="20"/>
                <w:szCs w:val="20"/>
              </w:rPr>
              <w:t>T</w:t>
            </w:r>
            <w:r w:rsidR="003D6568" w:rsidRPr="19457DA8">
              <w:rPr>
                <w:rFonts w:ascii="Arial" w:hAnsi="Arial" w:cs="Arial"/>
                <w:b/>
                <w:color w:val="000000" w:themeColor="text1"/>
                <w:sz w:val="20"/>
                <w:szCs w:val="20"/>
              </w:rPr>
              <w:t>enure</w:t>
            </w:r>
            <w:r w:rsidR="003D6568">
              <w:rPr>
                <w:rFonts w:ascii="Arial" w:hAnsi="Arial" w:cs="Arial"/>
                <w:b/>
                <w:color w:val="000000" w:themeColor="text1"/>
                <w:sz w:val="20"/>
                <w:szCs w:val="20"/>
              </w:rPr>
              <w:t>s</w:t>
            </w:r>
            <w:r w:rsidR="003D6568" w:rsidRPr="19457DA8">
              <w:rPr>
                <w:rFonts w:ascii="Arial" w:hAnsi="Arial" w:cs="Arial"/>
                <w:b/>
                <w:color w:val="000000" w:themeColor="text1"/>
                <w:sz w:val="20"/>
                <w:szCs w:val="20"/>
              </w:rPr>
              <w:t xml:space="preserve"> </w:t>
            </w:r>
            <w:r w:rsidR="00B21374" w:rsidRPr="19457DA8">
              <w:rPr>
                <w:rFonts w:ascii="Arial" w:hAnsi="Arial" w:cs="Arial"/>
                <w:b/>
                <w:color w:val="000000" w:themeColor="text1"/>
                <w:sz w:val="20"/>
                <w:szCs w:val="20"/>
              </w:rPr>
              <w:t xml:space="preserve">of housing affordable </w:t>
            </w:r>
            <w:r w:rsidR="00B30C52">
              <w:rPr>
                <w:rFonts w:ascii="Arial" w:hAnsi="Arial" w:cs="Arial"/>
                <w:b/>
                <w:color w:val="000000" w:themeColor="text1"/>
                <w:sz w:val="20"/>
                <w:szCs w:val="20"/>
              </w:rPr>
              <w:t xml:space="preserve">to </w:t>
            </w:r>
            <w:r w:rsidR="00B21374" w:rsidRPr="19457DA8">
              <w:rPr>
                <w:rFonts w:ascii="Arial" w:hAnsi="Arial" w:cs="Arial"/>
                <w:b/>
                <w:color w:val="000000" w:themeColor="text1"/>
                <w:sz w:val="20"/>
                <w:szCs w:val="20"/>
              </w:rPr>
              <w:t>concealed households</w:t>
            </w:r>
          </w:p>
        </w:tc>
      </w:tr>
      <w:tr w:rsidR="00B21374" w:rsidRPr="00C26D28" w14:paraId="40BEC5FC" w14:textId="77777777" w:rsidTr="008469E3">
        <w:trPr>
          <w:jc w:val="center"/>
        </w:trPr>
        <w:tc>
          <w:tcPr>
            <w:tcW w:w="4442" w:type="dxa"/>
            <w:noWrap/>
          </w:tcPr>
          <w:p w14:paraId="5B1315A9" w14:textId="77777777" w:rsidR="00B21374" w:rsidRPr="00C26D28" w:rsidRDefault="00B21374" w:rsidP="00993425">
            <w:pPr>
              <w:keepNext/>
              <w:spacing w:before="60" w:after="60" w:line="300" w:lineRule="auto"/>
              <w:rPr>
                <w:rFonts w:ascii="Arial" w:hAnsi="Arial" w:cs="Arial"/>
                <w:color w:val="000000"/>
                <w:sz w:val="20"/>
                <w:szCs w:val="20"/>
              </w:rPr>
            </w:pPr>
          </w:p>
        </w:tc>
        <w:tc>
          <w:tcPr>
            <w:tcW w:w="1903" w:type="dxa"/>
            <w:noWrap/>
          </w:tcPr>
          <w:p w14:paraId="0632CE3D" w14:textId="77777777" w:rsidR="00B21374" w:rsidRPr="00C26D28" w:rsidRDefault="00B21374" w:rsidP="00993425">
            <w:pPr>
              <w:keepNext/>
              <w:spacing w:before="60" w:after="60" w:line="300" w:lineRule="auto"/>
              <w:jc w:val="center"/>
              <w:rPr>
                <w:rFonts w:ascii="Arial" w:hAnsi="Arial" w:cs="Arial"/>
                <w:color w:val="000000"/>
                <w:sz w:val="20"/>
                <w:szCs w:val="20"/>
              </w:rPr>
            </w:pPr>
            <w:r w:rsidRPr="00C26D28">
              <w:rPr>
                <w:rFonts w:ascii="Arial" w:hAnsi="Arial" w:cs="Arial"/>
                <w:color w:val="000000"/>
                <w:sz w:val="20"/>
                <w:szCs w:val="20"/>
              </w:rPr>
              <w:t>Households</w:t>
            </w:r>
          </w:p>
        </w:tc>
        <w:tc>
          <w:tcPr>
            <w:tcW w:w="1854" w:type="dxa"/>
            <w:noWrap/>
          </w:tcPr>
          <w:p w14:paraId="661EA577" w14:textId="77777777" w:rsidR="00B21374" w:rsidRPr="00C26D28" w:rsidRDefault="00B21374" w:rsidP="00993425">
            <w:pPr>
              <w:keepNext/>
              <w:spacing w:before="60" w:after="60" w:line="300" w:lineRule="auto"/>
              <w:jc w:val="center"/>
              <w:rPr>
                <w:rFonts w:ascii="Arial" w:hAnsi="Arial" w:cs="Arial"/>
                <w:color w:val="000000"/>
                <w:sz w:val="20"/>
                <w:szCs w:val="20"/>
              </w:rPr>
            </w:pPr>
            <w:r w:rsidRPr="00C26D28">
              <w:rPr>
                <w:rFonts w:ascii="Arial" w:hAnsi="Arial" w:cs="Arial"/>
                <w:color w:val="000000"/>
                <w:sz w:val="20"/>
                <w:szCs w:val="20"/>
              </w:rPr>
              <w:t>% of households</w:t>
            </w:r>
          </w:p>
        </w:tc>
      </w:tr>
      <w:tr w:rsidR="00B21374" w:rsidRPr="00C26D28" w14:paraId="0388CBFB" w14:textId="77777777" w:rsidTr="008469E3">
        <w:trPr>
          <w:jc w:val="center"/>
        </w:trPr>
        <w:tc>
          <w:tcPr>
            <w:tcW w:w="4442" w:type="dxa"/>
            <w:noWrap/>
            <w:hideMark/>
          </w:tcPr>
          <w:p w14:paraId="71BE22C5" w14:textId="3A3FB740" w:rsidR="00B21374" w:rsidRPr="00C26D28" w:rsidRDefault="00B21374" w:rsidP="00993425">
            <w:pPr>
              <w:keepNext/>
              <w:spacing w:line="300" w:lineRule="auto"/>
              <w:rPr>
                <w:rFonts w:ascii="Arial" w:hAnsi="Arial" w:cs="Arial"/>
                <w:color w:val="000000"/>
                <w:sz w:val="20"/>
                <w:szCs w:val="20"/>
              </w:rPr>
            </w:pPr>
            <w:r w:rsidRPr="191ED13C">
              <w:rPr>
                <w:rFonts w:ascii="Arial" w:hAnsi="Arial" w:cs="Arial"/>
                <w:color w:val="000000" w:themeColor="text1"/>
                <w:sz w:val="20"/>
                <w:szCs w:val="20"/>
              </w:rPr>
              <w:t>Afford to buy or rent market housing</w:t>
            </w:r>
          </w:p>
        </w:tc>
        <w:tc>
          <w:tcPr>
            <w:tcW w:w="1903" w:type="dxa"/>
            <w:noWrap/>
          </w:tcPr>
          <w:p w14:paraId="2648D1AF" w14:textId="77777777" w:rsidR="00B21374" w:rsidRPr="00C26D28" w:rsidRDefault="00B21374" w:rsidP="00993425">
            <w:pPr>
              <w:keepNext/>
              <w:spacing w:line="300" w:lineRule="auto"/>
              <w:jc w:val="center"/>
              <w:rPr>
                <w:rFonts w:ascii="Arial" w:hAnsi="Arial" w:cs="Arial"/>
                <w:color w:val="000000"/>
                <w:sz w:val="20"/>
                <w:szCs w:val="20"/>
              </w:rPr>
            </w:pPr>
            <w:r>
              <w:rPr>
                <w:rFonts w:ascii="Arial" w:hAnsi="Arial" w:cs="Arial"/>
                <w:color w:val="000000"/>
                <w:sz w:val="20"/>
                <w:szCs w:val="20"/>
              </w:rPr>
              <w:t>1,180</w:t>
            </w:r>
          </w:p>
        </w:tc>
        <w:tc>
          <w:tcPr>
            <w:tcW w:w="1854" w:type="dxa"/>
            <w:noWrap/>
          </w:tcPr>
          <w:p w14:paraId="52A0F2A0" w14:textId="77777777" w:rsidR="00B21374" w:rsidRPr="00C26D28" w:rsidRDefault="00B21374" w:rsidP="00993425">
            <w:pPr>
              <w:keepNext/>
              <w:spacing w:line="300" w:lineRule="auto"/>
              <w:jc w:val="center"/>
              <w:rPr>
                <w:rFonts w:ascii="Arial" w:hAnsi="Arial" w:cs="Arial"/>
                <w:color w:val="000000"/>
                <w:sz w:val="20"/>
                <w:szCs w:val="20"/>
              </w:rPr>
            </w:pPr>
            <w:r>
              <w:rPr>
                <w:rFonts w:ascii="Arial" w:hAnsi="Arial" w:cs="Arial"/>
                <w:color w:val="000000"/>
                <w:sz w:val="20"/>
                <w:szCs w:val="20"/>
              </w:rPr>
              <w:t>35.0%</w:t>
            </w:r>
          </w:p>
        </w:tc>
      </w:tr>
      <w:tr w:rsidR="00B21374" w:rsidRPr="00C26D28" w14:paraId="4143185A" w14:textId="77777777" w:rsidTr="008469E3">
        <w:trPr>
          <w:jc w:val="center"/>
        </w:trPr>
        <w:tc>
          <w:tcPr>
            <w:tcW w:w="4442" w:type="dxa"/>
            <w:noWrap/>
            <w:hideMark/>
          </w:tcPr>
          <w:p w14:paraId="32060638" w14:textId="2A7775AD" w:rsidR="00B21374" w:rsidRPr="00C26D28" w:rsidRDefault="00B21374" w:rsidP="00993425">
            <w:pPr>
              <w:keepNext/>
              <w:spacing w:line="300" w:lineRule="auto"/>
              <w:rPr>
                <w:rFonts w:ascii="Arial" w:hAnsi="Arial" w:cs="Arial"/>
                <w:color w:val="000000"/>
                <w:sz w:val="20"/>
                <w:szCs w:val="20"/>
              </w:rPr>
            </w:pPr>
            <w:r w:rsidRPr="191ED13C">
              <w:rPr>
                <w:rFonts w:ascii="Arial" w:hAnsi="Arial" w:cs="Arial"/>
                <w:color w:val="000000" w:themeColor="text1"/>
                <w:sz w:val="20"/>
                <w:szCs w:val="20"/>
              </w:rPr>
              <w:t>Afford to rent only market housing</w:t>
            </w:r>
          </w:p>
        </w:tc>
        <w:tc>
          <w:tcPr>
            <w:tcW w:w="1903" w:type="dxa"/>
            <w:noWrap/>
          </w:tcPr>
          <w:p w14:paraId="2C29685D" w14:textId="77777777" w:rsidR="00B21374" w:rsidRPr="00C26D28" w:rsidRDefault="00B21374" w:rsidP="00993425">
            <w:pPr>
              <w:keepNext/>
              <w:spacing w:line="300" w:lineRule="auto"/>
              <w:jc w:val="center"/>
              <w:rPr>
                <w:rFonts w:ascii="Arial" w:hAnsi="Arial" w:cs="Arial"/>
                <w:color w:val="000000"/>
                <w:sz w:val="20"/>
                <w:szCs w:val="20"/>
              </w:rPr>
            </w:pPr>
            <w:r>
              <w:rPr>
                <w:rFonts w:ascii="Arial" w:hAnsi="Arial" w:cs="Arial"/>
                <w:color w:val="000000"/>
                <w:sz w:val="20"/>
                <w:szCs w:val="20"/>
              </w:rPr>
              <w:t>909</w:t>
            </w:r>
          </w:p>
        </w:tc>
        <w:tc>
          <w:tcPr>
            <w:tcW w:w="1854" w:type="dxa"/>
            <w:noWrap/>
          </w:tcPr>
          <w:p w14:paraId="4B957F57" w14:textId="77777777" w:rsidR="00B21374" w:rsidRPr="00C26D28" w:rsidRDefault="00B21374" w:rsidP="00993425">
            <w:pPr>
              <w:keepNext/>
              <w:spacing w:line="300" w:lineRule="auto"/>
              <w:jc w:val="center"/>
              <w:rPr>
                <w:rFonts w:ascii="Arial" w:hAnsi="Arial" w:cs="Arial"/>
                <w:color w:val="000000"/>
                <w:sz w:val="20"/>
                <w:szCs w:val="20"/>
              </w:rPr>
            </w:pPr>
            <w:r>
              <w:rPr>
                <w:rFonts w:ascii="Arial" w:hAnsi="Arial" w:cs="Arial"/>
                <w:color w:val="000000"/>
                <w:sz w:val="20"/>
                <w:szCs w:val="20"/>
              </w:rPr>
              <w:t>27.0%</w:t>
            </w:r>
          </w:p>
        </w:tc>
      </w:tr>
      <w:tr w:rsidR="00B21374" w:rsidRPr="00C26D28" w14:paraId="470D80F5" w14:textId="77777777" w:rsidTr="008469E3">
        <w:trPr>
          <w:jc w:val="center"/>
        </w:trPr>
        <w:tc>
          <w:tcPr>
            <w:tcW w:w="4442" w:type="dxa"/>
            <w:noWrap/>
            <w:hideMark/>
          </w:tcPr>
          <w:p w14:paraId="460A162D" w14:textId="046CAB86" w:rsidR="00B21374" w:rsidRPr="00C26D28" w:rsidRDefault="00993425" w:rsidP="00993425">
            <w:pPr>
              <w:keepNext/>
              <w:spacing w:line="300" w:lineRule="auto"/>
              <w:rPr>
                <w:rFonts w:ascii="Arial" w:hAnsi="Arial" w:cs="Arial"/>
                <w:color w:val="000000"/>
                <w:sz w:val="20"/>
                <w:szCs w:val="20"/>
              </w:rPr>
            </w:pPr>
            <w:r>
              <w:rPr>
                <w:rFonts w:ascii="Arial" w:hAnsi="Arial" w:cs="Arial"/>
                <w:color w:val="000000" w:themeColor="text1"/>
                <w:sz w:val="20"/>
                <w:szCs w:val="20"/>
              </w:rPr>
              <w:t>Able to buy only</w:t>
            </w:r>
          </w:p>
        </w:tc>
        <w:tc>
          <w:tcPr>
            <w:tcW w:w="1903" w:type="dxa"/>
            <w:noWrap/>
          </w:tcPr>
          <w:p w14:paraId="0C01A241" w14:textId="57FCD399" w:rsidR="00B21374" w:rsidRPr="00C26D28" w:rsidRDefault="00993425" w:rsidP="00993425">
            <w:pPr>
              <w:keepNext/>
              <w:spacing w:line="300" w:lineRule="auto"/>
              <w:jc w:val="center"/>
              <w:rPr>
                <w:rFonts w:ascii="Arial" w:hAnsi="Arial" w:cs="Arial"/>
                <w:color w:val="000000"/>
                <w:sz w:val="20"/>
                <w:szCs w:val="20"/>
              </w:rPr>
            </w:pPr>
            <w:r>
              <w:rPr>
                <w:rFonts w:ascii="Arial" w:hAnsi="Arial" w:cs="Arial"/>
                <w:color w:val="000000" w:themeColor="text1"/>
                <w:sz w:val="20"/>
                <w:szCs w:val="20"/>
              </w:rPr>
              <w:t>0</w:t>
            </w:r>
          </w:p>
        </w:tc>
        <w:tc>
          <w:tcPr>
            <w:tcW w:w="1854" w:type="dxa"/>
            <w:noWrap/>
          </w:tcPr>
          <w:p w14:paraId="35BA4C4A" w14:textId="194E7CF6" w:rsidR="00B21374" w:rsidRPr="00C26D28" w:rsidRDefault="00993425" w:rsidP="00993425">
            <w:pPr>
              <w:keepNext/>
              <w:spacing w:line="300" w:lineRule="auto"/>
              <w:jc w:val="center"/>
              <w:rPr>
                <w:rFonts w:ascii="Arial" w:hAnsi="Arial" w:cs="Arial"/>
                <w:color w:val="000000"/>
                <w:sz w:val="20"/>
                <w:szCs w:val="20"/>
              </w:rPr>
            </w:pPr>
            <w:r>
              <w:rPr>
                <w:rFonts w:ascii="Arial" w:hAnsi="Arial" w:cs="Arial"/>
                <w:color w:val="000000" w:themeColor="text1"/>
                <w:sz w:val="20"/>
                <w:szCs w:val="20"/>
              </w:rPr>
              <w:t>0.0%</w:t>
            </w:r>
          </w:p>
        </w:tc>
      </w:tr>
      <w:tr w:rsidR="00B21374" w:rsidRPr="00C26D28" w14:paraId="50FE8BCD" w14:textId="77777777" w:rsidTr="008469E3">
        <w:trPr>
          <w:jc w:val="center"/>
        </w:trPr>
        <w:tc>
          <w:tcPr>
            <w:tcW w:w="4442" w:type="dxa"/>
            <w:noWrap/>
            <w:hideMark/>
          </w:tcPr>
          <w:p w14:paraId="6C191B2E" w14:textId="1EDC1EDF" w:rsidR="00B21374" w:rsidRPr="00C26D28" w:rsidRDefault="00B21374" w:rsidP="00993425">
            <w:pPr>
              <w:keepNext/>
              <w:spacing w:line="300" w:lineRule="auto"/>
              <w:rPr>
                <w:rFonts w:ascii="Arial" w:hAnsi="Arial" w:cs="Arial"/>
                <w:color w:val="000000"/>
                <w:sz w:val="20"/>
                <w:szCs w:val="20"/>
              </w:rPr>
            </w:pPr>
            <w:r w:rsidRPr="00C26D28">
              <w:rPr>
                <w:rFonts w:ascii="Arial" w:hAnsi="Arial" w:cs="Arial"/>
                <w:color w:val="000000"/>
                <w:sz w:val="20"/>
                <w:szCs w:val="20"/>
              </w:rPr>
              <w:t xml:space="preserve">NOT afford suitable </w:t>
            </w:r>
            <w:r w:rsidR="00FF7AA2">
              <w:rPr>
                <w:rFonts w:ascii="Arial" w:hAnsi="Arial" w:cs="Arial"/>
                <w:color w:val="000000"/>
                <w:sz w:val="20"/>
                <w:szCs w:val="20"/>
              </w:rPr>
              <w:t xml:space="preserve">market </w:t>
            </w:r>
            <w:r w:rsidRPr="00C26D28">
              <w:rPr>
                <w:rFonts w:ascii="Arial" w:hAnsi="Arial" w:cs="Arial"/>
                <w:color w:val="000000"/>
                <w:sz w:val="20"/>
                <w:szCs w:val="20"/>
              </w:rPr>
              <w:t>housing</w:t>
            </w:r>
          </w:p>
        </w:tc>
        <w:tc>
          <w:tcPr>
            <w:tcW w:w="1903" w:type="dxa"/>
            <w:noWrap/>
          </w:tcPr>
          <w:p w14:paraId="1A34AE4C" w14:textId="77777777" w:rsidR="00B21374" w:rsidRPr="00C26D28" w:rsidRDefault="00B21374" w:rsidP="00993425">
            <w:pPr>
              <w:keepNext/>
              <w:spacing w:line="300" w:lineRule="auto"/>
              <w:jc w:val="center"/>
              <w:rPr>
                <w:rFonts w:ascii="Arial" w:hAnsi="Arial" w:cs="Arial"/>
                <w:color w:val="000000"/>
                <w:sz w:val="20"/>
                <w:szCs w:val="20"/>
              </w:rPr>
            </w:pPr>
            <w:r>
              <w:rPr>
                <w:rFonts w:ascii="Arial" w:hAnsi="Arial" w:cs="Arial"/>
                <w:color w:val="000000"/>
                <w:sz w:val="20"/>
                <w:szCs w:val="20"/>
              </w:rPr>
              <w:t>1,279</w:t>
            </w:r>
          </w:p>
        </w:tc>
        <w:tc>
          <w:tcPr>
            <w:tcW w:w="1854" w:type="dxa"/>
            <w:noWrap/>
          </w:tcPr>
          <w:p w14:paraId="720F5360" w14:textId="77777777" w:rsidR="00B21374" w:rsidRPr="00C26D28" w:rsidRDefault="00B21374" w:rsidP="00993425">
            <w:pPr>
              <w:keepNext/>
              <w:spacing w:line="300" w:lineRule="auto"/>
              <w:jc w:val="center"/>
              <w:rPr>
                <w:rFonts w:ascii="Arial" w:hAnsi="Arial" w:cs="Arial"/>
                <w:color w:val="000000"/>
                <w:sz w:val="20"/>
                <w:szCs w:val="20"/>
              </w:rPr>
            </w:pPr>
            <w:r>
              <w:rPr>
                <w:rFonts w:ascii="Arial" w:hAnsi="Arial" w:cs="Arial"/>
                <w:color w:val="000000"/>
                <w:sz w:val="20"/>
                <w:szCs w:val="20"/>
              </w:rPr>
              <w:t>38.0%</w:t>
            </w:r>
          </w:p>
        </w:tc>
      </w:tr>
      <w:tr w:rsidR="00B21374" w:rsidRPr="00C26D28" w14:paraId="753D0EEA" w14:textId="77777777" w:rsidTr="008469E3">
        <w:trPr>
          <w:jc w:val="center"/>
        </w:trPr>
        <w:tc>
          <w:tcPr>
            <w:tcW w:w="4442" w:type="dxa"/>
            <w:noWrap/>
            <w:hideMark/>
          </w:tcPr>
          <w:p w14:paraId="5046101D" w14:textId="77777777" w:rsidR="00B21374" w:rsidRPr="00C26D28" w:rsidRDefault="00B21374" w:rsidP="00993425">
            <w:pPr>
              <w:keepNext/>
              <w:spacing w:line="300" w:lineRule="auto"/>
              <w:rPr>
                <w:rFonts w:ascii="Arial" w:hAnsi="Arial" w:cs="Arial"/>
                <w:color w:val="000000"/>
                <w:sz w:val="20"/>
                <w:szCs w:val="20"/>
              </w:rPr>
            </w:pPr>
            <w:r w:rsidRPr="00C26D28">
              <w:rPr>
                <w:rFonts w:ascii="Arial" w:hAnsi="Arial" w:cs="Arial"/>
                <w:color w:val="000000"/>
                <w:sz w:val="20"/>
                <w:szCs w:val="20"/>
              </w:rPr>
              <w:t>Total</w:t>
            </w:r>
          </w:p>
        </w:tc>
        <w:tc>
          <w:tcPr>
            <w:tcW w:w="1903" w:type="dxa"/>
            <w:noWrap/>
            <w:hideMark/>
          </w:tcPr>
          <w:p w14:paraId="2AE4FDCE" w14:textId="77777777" w:rsidR="00B21374" w:rsidRPr="00C26D28" w:rsidRDefault="00B21374" w:rsidP="00993425">
            <w:pPr>
              <w:keepNext/>
              <w:spacing w:line="300" w:lineRule="auto"/>
              <w:jc w:val="center"/>
              <w:rPr>
                <w:rFonts w:ascii="Arial" w:hAnsi="Arial" w:cs="Arial"/>
                <w:color w:val="000000"/>
                <w:sz w:val="20"/>
                <w:szCs w:val="20"/>
              </w:rPr>
            </w:pPr>
            <w:r>
              <w:rPr>
                <w:rFonts w:ascii="Arial" w:hAnsi="Arial" w:cs="Arial"/>
                <w:color w:val="000000"/>
                <w:sz w:val="20"/>
                <w:szCs w:val="20"/>
              </w:rPr>
              <w:t>3,368</w:t>
            </w:r>
          </w:p>
        </w:tc>
        <w:tc>
          <w:tcPr>
            <w:tcW w:w="1854" w:type="dxa"/>
            <w:noWrap/>
            <w:hideMark/>
          </w:tcPr>
          <w:p w14:paraId="2DE99670" w14:textId="77777777" w:rsidR="00B21374" w:rsidRPr="00C26D28" w:rsidRDefault="00B21374" w:rsidP="00993425">
            <w:pPr>
              <w:keepNext/>
              <w:spacing w:line="300" w:lineRule="auto"/>
              <w:jc w:val="center"/>
              <w:rPr>
                <w:rFonts w:ascii="Arial" w:hAnsi="Arial" w:cs="Arial"/>
                <w:color w:val="000000"/>
                <w:sz w:val="20"/>
                <w:szCs w:val="20"/>
              </w:rPr>
            </w:pPr>
            <w:r w:rsidRPr="00C26D28">
              <w:rPr>
                <w:rFonts w:ascii="Arial" w:hAnsi="Arial" w:cs="Arial"/>
                <w:color w:val="000000"/>
                <w:sz w:val="20"/>
                <w:szCs w:val="20"/>
              </w:rPr>
              <w:t>100</w:t>
            </w:r>
            <w:r>
              <w:rPr>
                <w:rFonts w:ascii="Arial" w:hAnsi="Arial" w:cs="Arial"/>
                <w:color w:val="000000"/>
                <w:sz w:val="20"/>
                <w:szCs w:val="20"/>
              </w:rPr>
              <w:t>.0%</w:t>
            </w:r>
          </w:p>
        </w:tc>
      </w:tr>
    </w:tbl>
    <w:p w14:paraId="42722B1B" w14:textId="4E80DAFB" w:rsidR="00B21374" w:rsidRDefault="00AB789F" w:rsidP="00993425">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1B327E74" w14:textId="73486C95" w:rsidR="0072684E" w:rsidRPr="007236BD" w:rsidRDefault="0072684E" w:rsidP="00172F56">
      <w:pPr>
        <w:spacing w:line="300" w:lineRule="auto"/>
        <w:jc w:val="both"/>
        <w:rPr>
          <w:rFonts w:ascii="Arial" w:hAnsi="Arial" w:cs="Arial"/>
          <w:b/>
          <w:lang w:eastAsia="ja-JP"/>
        </w:rPr>
      </w:pPr>
      <w:r>
        <w:rPr>
          <w:rFonts w:ascii="Arial" w:hAnsi="Arial" w:cs="Arial"/>
          <w:b/>
          <w:lang w:eastAsia="ja-JP"/>
        </w:rPr>
        <w:t>Summary</w:t>
      </w:r>
    </w:p>
    <w:p w14:paraId="7B29DF36" w14:textId="77777777" w:rsidR="0072684E" w:rsidRPr="002143DA" w:rsidRDefault="0072684E" w:rsidP="00172F56">
      <w:pPr>
        <w:spacing w:line="300" w:lineRule="auto"/>
        <w:jc w:val="both"/>
        <w:rPr>
          <w:rFonts w:ascii="Arial" w:hAnsi="Arial" w:cs="Arial"/>
          <w:sz w:val="20"/>
          <w:szCs w:val="20"/>
          <w:lang w:eastAsia="ja-JP"/>
        </w:rPr>
      </w:pPr>
    </w:p>
    <w:p w14:paraId="5A14E292" w14:textId="502C9AA1" w:rsidR="00700148" w:rsidRPr="00700148" w:rsidRDefault="00700148">
      <w:pPr>
        <w:pStyle w:val="11Bodytext"/>
        <w:numPr>
          <w:ilvl w:val="1"/>
          <w:numId w:val="32"/>
        </w:numPr>
        <w:spacing w:before="0" w:after="0" w:line="300" w:lineRule="auto"/>
        <w:ind w:left="720" w:hanging="720"/>
        <w:rPr>
          <w:color w:val="auto"/>
        </w:rPr>
      </w:pPr>
      <w:r w:rsidRPr="00700148">
        <w:t>Assessing the affordability of market housing in an area is crucial to understanding the sustainability of the housing market. Poor affordability can result in the loss of employees from an area, an increase in poverty and a high number of households requiring assistance with their housing either via a social rented property or through Housing Benefit (Local Housing Allowance). This can also result in a loss of mix and balance in the population within the area.</w:t>
      </w:r>
    </w:p>
    <w:p w14:paraId="5A34F086" w14:textId="77777777" w:rsidR="00700148" w:rsidRPr="00700148" w:rsidRDefault="00700148" w:rsidP="00172F56">
      <w:pPr>
        <w:pStyle w:val="11Bodytext"/>
        <w:numPr>
          <w:ilvl w:val="0"/>
          <w:numId w:val="0"/>
        </w:numPr>
        <w:spacing w:before="0" w:after="0" w:line="300" w:lineRule="auto"/>
        <w:rPr>
          <w:color w:val="auto"/>
        </w:rPr>
      </w:pPr>
    </w:p>
    <w:p w14:paraId="654DC361" w14:textId="4FE850B0" w:rsidR="00700148" w:rsidRPr="00700148" w:rsidRDefault="00700148">
      <w:pPr>
        <w:pStyle w:val="11Bodytext"/>
        <w:numPr>
          <w:ilvl w:val="1"/>
          <w:numId w:val="32"/>
        </w:numPr>
        <w:spacing w:before="0" w:after="0" w:line="300" w:lineRule="auto"/>
        <w:ind w:left="720" w:hanging="720"/>
        <w:rPr>
          <w:color w:val="auto"/>
        </w:rPr>
      </w:pPr>
      <w:r w:rsidRPr="00700148">
        <w:t>To look at the affordability of housing a market survey was undertaken to establish the entry-level costs to both buy and rent housing locally; this showed a lower quartile house price of around £155,000 (across all types and sizes of home) and lower quartile rents at £475 per month. The analysis also looked at how costs varied by size of dwelling and across the sub-areas.</w:t>
      </w:r>
    </w:p>
    <w:p w14:paraId="1E6C4BBA" w14:textId="77777777" w:rsidR="00700148" w:rsidRPr="00700148" w:rsidRDefault="00700148" w:rsidP="00172F56">
      <w:pPr>
        <w:pStyle w:val="11Bodytext"/>
        <w:numPr>
          <w:ilvl w:val="0"/>
          <w:numId w:val="0"/>
        </w:numPr>
        <w:spacing w:before="0" w:after="0" w:line="300" w:lineRule="auto"/>
        <w:rPr>
          <w:color w:val="auto"/>
        </w:rPr>
      </w:pPr>
    </w:p>
    <w:p w14:paraId="5544765A" w14:textId="731C9DD0" w:rsidR="00700148" w:rsidRDefault="00700148">
      <w:pPr>
        <w:pStyle w:val="11Bodytext"/>
        <w:numPr>
          <w:ilvl w:val="1"/>
          <w:numId w:val="32"/>
        </w:numPr>
        <w:spacing w:before="0" w:after="0" w:line="300" w:lineRule="auto"/>
        <w:ind w:left="720" w:hanging="720"/>
      </w:pPr>
      <w:r w:rsidRPr="00700148">
        <w:t xml:space="preserve">When looking at household incomes, the survey showed a median household income of around £30,400; within this there are a range of incomes, with around a third of households having an income below £20,000 and 11% above £80,000. Owner-occupiers (notably those with a mortgage) have relatively high incomes, with much lower incomes seen in the social </w:t>
      </w:r>
      <w:r w:rsidR="009F3185">
        <w:t xml:space="preserve">rented sector </w:t>
      </w:r>
      <w:r w:rsidRPr="00700148">
        <w:t xml:space="preserve">and to a lesser extent </w:t>
      </w:r>
      <w:r w:rsidR="009F3185">
        <w:t xml:space="preserve">the </w:t>
      </w:r>
      <w:r w:rsidRPr="00700148">
        <w:t>private rented sector. The analysis also showed typically higher incomes in more rural locations within the Borough.</w:t>
      </w:r>
    </w:p>
    <w:p w14:paraId="1F7FA453" w14:textId="77777777" w:rsidR="00700148" w:rsidRDefault="00700148" w:rsidP="00172F56">
      <w:pPr>
        <w:pStyle w:val="11Bodytext"/>
        <w:numPr>
          <w:ilvl w:val="0"/>
          <w:numId w:val="0"/>
        </w:numPr>
        <w:spacing w:before="0" w:after="0" w:line="300" w:lineRule="auto"/>
      </w:pPr>
    </w:p>
    <w:p w14:paraId="02B79D76" w14:textId="3CEF5F2A" w:rsidR="00700148" w:rsidRDefault="00700148">
      <w:pPr>
        <w:pStyle w:val="11Bodytext"/>
        <w:numPr>
          <w:ilvl w:val="1"/>
          <w:numId w:val="32"/>
        </w:numPr>
        <w:spacing w:before="0" w:after="0" w:line="300" w:lineRule="auto"/>
        <w:ind w:left="720" w:hanging="720"/>
      </w:pPr>
      <w:r w:rsidRPr="00700148">
        <w:t>The survey asked about savings and debt, which again showed a very wide range of different household circumstances – around a quarter of households said they were in debt, but approaching a third have savings in excess of £50,000. When focussing on non-owners, savings levels were very low (and debt relatively high); this is an important point given the need to raise a deposit to access the owner-occupied sector. With the full range of financial data considered it was estimated that the average private renting households could afford to buy for around £72,300, with a figure of £55,100 for social tenants, figures well below the lower quartile price of £155,000.</w:t>
      </w:r>
      <w:r w:rsidR="00D05209">
        <w:t xml:space="preserve"> Levels of debt will also impact on households being able to access the social rented sector as rent arrears in excess of £500 would </w:t>
      </w:r>
      <w:r w:rsidR="00931AE7">
        <w:t>typically</w:t>
      </w:r>
      <w:r w:rsidR="00D05209">
        <w:t xml:space="preserve"> mean a household is not eligible for housing (and would likely need to find a solution in the private rented sector).</w:t>
      </w:r>
    </w:p>
    <w:p w14:paraId="0BC2F68F" w14:textId="77777777" w:rsidR="00700148" w:rsidRDefault="00700148" w:rsidP="00172F56">
      <w:pPr>
        <w:pStyle w:val="11Bodytext"/>
        <w:numPr>
          <w:ilvl w:val="0"/>
          <w:numId w:val="0"/>
        </w:numPr>
        <w:spacing w:before="0" w:after="0" w:line="300" w:lineRule="auto"/>
      </w:pPr>
    </w:p>
    <w:p w14:paraId="4DEDA7AF" w14:textId="293C9CBB" w:rsidR="00700148" w:rsidRPr="00993425" w:rsidRDefault="00700148">
      <w:pPr>
        <w:pStyle w:val="11Bodytext"/>
        <w:numPr>
          <w:ilvl w:val="1"/>
          <w:numId w:val="32"/>
        </w:numPr>
        <w:spacing w:before="0" w:after="0" w:line="300" w:lineRule="auto"/>
        <w:ind w:left="720" w:hanging="720"/>
      </w:pPr>
      <w:r w:rsidRPr="00700148">
        <w:t xml:space="preserve">A series of affordability </w:t>
      </w:r>
      <w:r>
        <w:t>tests</w:t>
      </w:r>
      <w:r w:rsidRPr="00700148">
        <w:t xml:space="preserve"> were run to look at households’ ability to afford to buy or rent housing in their local area and this suggested  18% of households would be unable to access the market. </w:t>
      </w:r>
      <w:r w:rsidRPr="00993425">
        <w:t xml:space="preserve">Focussing on non-owners, an estimated 52% are unable to afford. Additionally, the analysis points to a particular difficulty in non-owners buying homes, with just 19% being able to buy a lower quartile home – this looks in part to be due to low levels of capital available to put towards a deposit and </w:t>
      </w:r>
      <w:r w:rsidR="00BD1A37" w:rsidRPr="00993425">
        <w:t xml:space="preserve">the impact of </w:t>
      </w:r>
      <w:r w:rsidRPr="00993425">
        <w:t>debt</w:t>
      </w:r>
      <w:r w:rsidR="00BD1A37" w:rsidRPr="00993425">
        <w:t>.</w:t>
      </w:r>
    </w:p>
    <w:p w14:paraId="1490A108" w14:textId="77777777" w:rsidR="00700148" w:rsidRPr="00993425" w:rsidRDefault="00700148" w:rsidP="00172F56">
      <w:pPr>
        <w:pStyle w:val="11Bodytext"/>
        <w:numPr>
          <w:ilvl w:val="0"/>
          <w:numId w:val="0"/>
        </w:numPr>
        <w:spacing w:before="0" w:after="0" w:line="300" w:lineRule="auto"/>
      </w:pPr>
    </w:p>
    <w:p w14:paraId="012F03C1" w14:textId="0BF47E39" w:rsidR="00700148" w:rsidRPr="00993425" w:rsidRDefault="00700148">
      <w:pPr>
        <w:pStyle w:val="11Bodytext"/>
        <w:numPr>
          <w:ilvl w:val="1"/>
          <w:numId w:val="32"/>
        </w:numPr>
        <w:spacing w:before="0" w:after="0" w:line="300" w:lineRule="auto"/>
        <w:ind w:left="720" w:hanging="720"/>
      </w:pPr>
      <w:r w:rsidRPr="00993425">
        <w:t xml:space="preserve">The survey also asked a series of questions about potential new households (i.e. people living with others who will form their own independent household in the future). These households typically had lower levels of income than existing households and a </w:t>
      </w:r>
      <w:r w:rsidR="001F2595" w:rsidRPr="00993425">
        <w:t>were less able to afford housing of all types</w:t>
      </w:r>
      <w:r w:rsidRPr="00993425">
        <w:t>.</w:t>
      </w:r>
    </w:p>
    <w:p w14:paraId="0C45D40A" w14:textId="77777777" w:rsidR="00BD1A37" w:rsidRPr="00993425" w:rsidRDefault="00BD1A37" w:rsidP="00172F56">
      <w:pPr>
        <w:pStyle w:val="11Bodytext"/>
        <w:numPr>
          <w:ilvl w:val="0"/>
          <w:numId w:val="0"/>
        </w:numPr>
        <w:spacing w:before="0" w:after="0" w:line="300" w:lineRule="auto"/>
      </w:pPr>
    </w:p>
    <w:p w14:paraId="06A094AC" w14:textId="531FF6A4" w:rsidR="00700148" w:rsidRPr="00993425" w:rsidRDefault="00700148">
      <w:pPr>
        <w:pStyle w:val="11Bodytext"/>
        <w:numPr>
          <w:ilvl w:val="1"/>
          <w:numId w:val="32"/>
        </w:numPr>
        <w:spacing w:before="0" w:after="0" w:line="300" w:lineRule="auto"/>
        <w:ind w:left="720" w:hanging="720"/>
      </w:pPr>
      <w:r w:rsidRPr="00993425">
        <w:t>The information about affordability amongst different groups of the population has been taken forward into an assessment of the need for affordable housing.</w:t>
      </w:r>
    </w:p>
    <w:p w14:paraId="7E029674" w14:textId="77777777" w:rsidR="00B21374" w:rsidRPr="00993425" w:rsidRDefault="00B21374" w:rsidP="00172F56">
      <w:pPr>
        <w:pStyle w:val="Reporttext0"/>
        <w:keepLines w:val="0"/>
        <w:widowControl w:val="0"/>
        <w:numPr>
          <w:ilvl w:val="0"/>
          <w:numId w:val="0"/>
        </w:numPr>
        <w:spacing w:line="300" w:lineRule="auto"/>
        <w:jc w:val="both"/>
        <w:rPr>
          <w:rFonts w:ascii="Arial" w:hAnsi="Arial" w:cs="Arial"/>
          <w:sz w:val="20"/>
        </w:rPr>
      </w:pPr>
    </w:p>
    <w:p w14:paraId="2B87E804" w14:textId="77777777" w:rsidR="00177D13" w:rsidRDefault="00177D13">
      <w:r>
        <w:br w:type="page"/>
      </w:r>
    </w:p>
    <w:p w14:paraId="12903057" w14:textId="3AD8D59E" w:rsidR="0007167E" w:rsidRDefault="0007167E" w:rsidP="00172F56">
      <w:pPr>
        <w:jc w:val="both"/>
        <w:rPr>
          <w:rFonts w:ascii="Arial" w:eastAsia="MS PGothic" w:hAnsi="Arial" w:cs="Arial"/>
          <w:bCs/>
          <w:color w:val="000000"/>
          <w:sz w:val="20"/>
          <w:szCs w:val="20"/>
          <w:lang w:eastAsia="ja-JP"/>
        </w:rPr>
      </w:pPr>
      <w:r>
        <w:br w:type="page"/>
      </w:r>
    </w:p>
    <w:p w14:paraId="6A39095B" w14:textId="3D0B9127" w:rsidR="0007167E" w:rsidRPr="007236BD" w:rsidRDefault="0007167E" w:rsidP="00172F56">
      <w:pPr>
        <w:pStyle w:val="ReportHeading1"/>
        <w:pageBreakBefore w:val="0"/>
        <w:widowControl w:val="0"/>
        <w:spacing w:before="0" w:after="0"/>
        <w:jc w:val="both"/>
        <w:rPr>
          <w:rFonts w:ascii="Arial Bold" w:hAnsi="Arial Bold" w:cs="Arial"/>
          <w:color w:val="0093D5"/>
          <w:sz w:val="32"/>
          <w:szCs w:val="32"/>
        </w:rPr>
      </w:pPr>
      <w:bookmarkStart w:id="37" w:name="_Toc112937732"/>
      <w:r>
        <w:rPr>
          <w:rFonts w:ascii="Arial Bold" w:hAnsi="Arial Bold" w:cs="Arial"/>
          <w:color w:val="0093D5"/>
          <w:sz w:val="32"/>
          <w:szCs w:val="32"/>
        </w:rPr>
        <w:t>3</w:t>
      </w:r>
      <w:r w:rsidRPr="007236BD">
        <w:rPr>
          <w:rFonts w:ascii="Arial Bold" w:hAnsi="Arial Bold" w:cs="Arial"/>
          <w:color w:val="0093D5"/>
          <w:sz w:val="32"/>
          <w:szCs w:val="32"/>
        </w:rPr>
        <w:t>.</w:t>
      </w:r>
      <w:r w:rsidRPr="007236BD">
        <w:rPr>
          <w:rFonts w:ascii="Arial Bold" w:hAnsi="Arial Bold" w:cs="Arial"/>
          <w:color w:val="0093D5"/>
          <w:sz w:val="32"/>
          <w:szCs w:val="32"/>
        </w:rPr>
        <w:tab/>
      </w:r>
      <w:r>
        <w:rPr>
          <w:rFonts w:ascii="Arial Bold" w:hAnsi="Arial Bold" w:cs="Arial"/>
          <w:color w:val="0093D5"/>
          <w:sz w:val="32"/>
          <w:szCs w:val="32"/>
        </w:rPr>
        <w:t>Affordable Housing Need</w:t>
      </w:r>
      <w:bookmarkEnd w:id="37"/>
    </w:p>
    <w:tbl>
      <w:tblPr>
        <w:tblW w:w="9639" w:type="dxa"/>
        <w:jc w:val="center"/>
        <w:tblBorders>
          <w:bottom w:val="single" w:sz="12" w:space="0" w:color="0093D5"/>
        </w:tblBorders>
        <w:tblLook w:val="01E0" w:firstRow="1" w:lastRow="1" w:firstColumn="1" w:lastColumn="1" w:noHBand="0" w:noVBand="0"/>
      </w:tblPr>
      <w:tblGrid>
        <w:gridCol w:w="9639"/>
      </w:tblGrid>
      <w:tr w:rsidR="0007167E" w:rsidRPr="007236BD" w14:paraId="2196E1B0" w14:textId="77777777" w:rsidTr="008469E3">
        <w:trPr>
          <w:jc w:val="center"/>
        </w:trPr>
        <w:tc>
          <w:tcPr>
            <w:tcW w:w="9639" w:type="dxa"/>
            <w:shd w:val="clear" w:color="auto" w:fill="auto"/>
            <w:vAlign w:val="center"/>
          </w:tcPr>
          <w:p w14:paraId="2928E99C" w14:textId="77777777" w:rsidR="0007167E" w:rsidRPr="007236BD" w:rsidRDefault="0007167E" w:rsidP="00172F56">
            <w:pPr>
              <w:keepNext/>
              <w:keepLines/>
              <w:jc w:val="both"/>
              <w:rPr>
                <w:rFonts w:ascii="Arial" w:hAnsi="Arial"/>
                <w:sz w:val="2"/>
                <w:szCs w:val="2"/>
              </w:rPr>
            </w:pPr>
          </w:p>
        </w:tc>
      </w:tr>
    </w:tbl>
    <w:p w14:paraId="345CD283" w14:textId="77777777" w:rsidR="0007167E" w:rsidRPr="007236BD" w:rsidRDefault="0007167E" w:rsidP="00172F56">
      <w:pPr>
        <w:widowControl w:val="0"/>
        <w:spacing w:line="300" w:lineRule="auto"/>
        <w:jc w:val="both"/>
        <w:rPr>
          <w:rFonts w:ascii="Arial" w:hAnsi="Arial" w:cs="Arial"/>
          <w:sz w:val="20"/>
          <w:szCs w:val="20"/>
        </w:rPr>
      </w:pPr>
    </w:p>
    <w:p w14:paraId="6804C08E" w14:textId="77777777" w:rsidR="0007167E" w:rsidRPr="007236BD" w:rsidRDefault="0007167E" w:rsidP="00172F56">
      <w:pPr>
        <w:spacing w:line="300" w:lineRule="auto"/>
        <w:jc w:val="both"/>
        <w:rPr>
          <w:rFonts w:ascii="Arial" w:hAnsi="Arial" w:cs="Arial"/>
          <w:b/>
          <w:lang w:eastAsia="ja-JP"/>
        </w:rPr>
      </w:pPr>
      <w:r w:rsidRPr="007236BD">
        <w:rPr>
          <w:rFonts w:ascii="Arial" w:hAnsi="Arial" w:cs="Arial"/>
          <w:b/>
          <w:lang w:eastAsia="ja-JP"/>
        </w:rPr>
        <w:t>Introduction</w:t>
      </w:r>
    </w:p>
    <w:p w14:paraId="195C070B" w14:textId="77777777" w:rsidR="0007167E" w:rsidRPr="002143DA" w:rsidRDefault="0007167E" w:rsidP="00172F56">
      <w:pPr>
        <w:spacing w:line="300" w:lineRule="auto"/>
        <w:jc w:val="both"/>
        <w:rPr>
          <w:rFonts w:ascii="Arial" w:hAnsi="Arial" w:cs="Arial"/>
          <w:sz w:val="20"/>
          <w:szCs w:val="20"/>
          <w:lang w:eastAsia="ja-JP"/>
        </w:rPr>
      </w:pPr>
    </w:p>
    <w:p w14:paraId="6F0E7AC4" w14:textId="642E187A" w:rsidR="00DF313A" w:rsidRDefault="00DF313A">
      <w:pPr>
        <w:pStyle w:val="11Bodytext"/>
        <w:numPr>
          <w:ilvl w:val="1"/>
          <w:numId w:val="76"/>
        </w:numPr>
        <w:spacing w:before="0" w:after="0" w:line="300" w:lineRule="auto"/>
        <w:ind w:left="720" w:hanging="720"/>
      </w:pPr>
      <w:r>
        <w:t xml:space="preserve">Using the </w:t>
      </w:r>
      <w:r w:rsidR="00BD1A37">
        <w:t xml:space="preserve">household </w:t>
      </w:r>
      <w:r>
        <w:t>survey data, t</w:t>
      </w:r>
      <w:r w:rsidRPr="009D3B67">
        <w:t xml:space="preserve">his section provides an assessment of the need for affordable housing in </w:t>
      </w:r>
      <w:r>
        <w:t>Fylde</w:t>
      </w:r>
      <w:r w:rsidRPr="009D3B67">
        <w:t xml:space="preserve"> and </w:t>
      </w:r>
      <w:r>
        <w:t>the ten sub-areas</w:t>
      </w:r>
      <w:r w:rsidRPr="009D3B67">
        <w:t>. The analysis specifically considers general needs housing, with further analysis of specialist housing (e.g. for older people) being discussed later in the report.</w:t>
      </w:r>
    </w:p>
    <w:p w14:paraId="55CCAE87" w14:textId="77777777" w:rsidR="00DF313A" w:rsidRPr="00172F56" w:rsidRDefault="00DF313A" w:rsidP="00172F56">
      <w:pPr>
        <w:pStyle w:val="11Bodytext"/>
        <w:numPr>
          <w:ilvl w:val="0"/>
          <w:numId w:val="0"/>
        </w:numPr>
        <w:spacing w:before="0" w:after="0" w:line="300" w:lineRule="auto"/>
        <w:ind w:left="794" w:hanging="794"/>
        <w:rPr>
          <w:color w:val="auto"/>
        </w:rPr>
      </w:pPr>
    </w:p>
    <w:p w14:paraId="31E39CBC" w14:textId="31FA6C03" w:rsidR="0007167E" w:rsidRPr="0007167E" w:rsidRDefault="0007167E">
      <w:pPr>
        <w:pStyle w:val="11Bodytext"/>
        <w:numPr>
          <w:ilvl w:val="1"/>
          <w:numId w:val="76"/>
        </w:numPr>
        <w:spacing w:before="0" w:after="0" w:line="300" w:lineRule="auto"/>
        <w:ind w:left="720" w:hanging="720"/>
        <w:rPr>
          <w:color w:val="auto"/>
        </w:rPr>
      </w:pPr>
      <w:r w:rsidRPr="0067074D">
        <w:t>The analysis follows the PPG (Sections 2a-018 to 2a-024) and provides two main outputs, linked to Annex 2 of the NPPF – this is firstly an assessment of the need for social/affordable rented housing and secondly to consider the need for affordable home ownership products.</w:t>
      </w:r>
    </w:p>
    <w:p w14:paraId="11A3909C" w14:textId="2F104FF8" w:rsidR="0007167E" w:rsidRDefault="0007167E" w:rsidP="00172F56">
      <w:pPr>
        <w:pStyle w:val="11Bodytext"/>
        <w:numPr>
          <w:ilvl w:val="0"/>
          <w:numId w:val="0"/>
        </w:numPr>
        <w:spacing w:before="0" w:after="0" w:line="300" w:lineRule="auto"/>
        <w:rPr>
          <w:color w:val="auto"/>
        </w:rPr>
      </w:pPr>
    </w:p>
    <w:p w14:paraId="050C2B2C" w14:textId="0FAF969A" w:rsidR="0007167E" w:rsidRPr="007236BD" w:rsidRDefault="0007167E" w:rsidP="00172F56">
      <w:pPr>
        <w:spacing w:line="300" w:lineRule="auto"/>
        <w:jc w:val="both"/>
        <w:rPr>
          <w:rFonts w:ascii="Arial" w:hAnsi="Arial" w:cs="Arial"/>
          <w:b/>
          <w:lang w:eastAsia="ja-JP"/>
        </w:rPr>
      </w:pPr>
      <w:r>
        <w:rPr>
          <w:rFonts w:ascii="Arial" w:hAnsi="Arial" w:cs="Arial"/>
          <w:b/>
          <w:lang w:eastAsia="ja-JP"/>
        </w:rPr>
        <w:t>Methodology Overview</w:t>
      </w:r>
    </w:p>
    <w:p w14:paraId="3EE0F493" w14:textId="77777777" w:rsidR="0007167E" w:rsidRPr="002143DA" w:rsidRDefault="0007167E" w:rsidP="00172F56">
      <w:pPr>
        <w:spacing w:line="300" w:lineRule="auto"/>
        <w:jc w:val="both"/>
        <w:rPr>
          <w:rFonts w:ascii="Arial" w:hAnsi="Arial" w:cs="Arial"/>
          <w:sz w:val="20"/>
          <w:szCs w:val="20"/>
          <w:lang w:eastAsia="ja-JP"/>
        </w:rPr>
      </w:pPr>
    </w:p>
    <w:p w14:paraId="27ED0F57" w14:textId="5D883824" w:rsidR="0007167E" w:rsidRPr="0007167E" w:rsidRDefault="0007167E">
      <w:pPr>
        <w:pStyle w:val="11Bodytext"/>
        <w:numPr>
          <w:ilvl w:val="1"/>
          <w:numId w:val="76"/>
        </w:numPr>
        <w:spacing w:before="0" w:after="0" w:line="300" w:lineRule="auto"/>
        <w:ind w:left="720" w:hanging="720"/>
        <w:rPr>
          <w:color w:val="auto"/>
        </w:rPr>
      </w:pPr>
      <w:r w:rsidRPr="0067074D">
        <w:t xml:space="preserve">The method for studying the need for affordable housing has been enshrined in Government practice guidance for many years, with an established approach to look at the number of households who are unable to afford market housing (to either rent or buy) – it is considered that this group will mainly be a target for rented affordable homes (social/affordable rented) and therefore the analysis looks </w:t>
      </w:r>
      <w:r>
        <w:t xml:space="preserve">at </w:t>
      </w:r>
      <w:r w:rsidRPr="0067074D">
        <w:t xml:space="preserve">a need for </w:t>
      </w:r>
      <w:r w:rsidRPr="0007167E">
        <w:rPr>
          <w:i/>
          <w:iCs/>
        </w:rPr>
        <w:t>‘affordable housing for rent’</w:t>
      </w:r>
      <w:r w:rsidRPr="0067074D">
        <w:t xml:space="preserve"> as set out in Annex 2 of the NPPF. The methodology for looking at the need for rented (social/affordable) housing considers the following:</w:t>
      </w:r>
    </w:p>
    <w:p w14:paraId="1C678D58" w14:textId="77777777" w:rsidR="0007167E" w:rsidRPr="0007167E" w:rsidRDefault="0007167E" w:rsidP="00172F56">
      <w:pPr>
        <w:pStyle w:val="11Bodytext"/>
        <w:numPr>
          <w:ilvl w:val="0"/>
          <w:numId w:val="0"/>
        </w:numPr>
        <w:spacing w:before="0" w:after="0" w:line="300" w:lineRule="auto"/>
        <w:rPr>
          <w:color w:val="auto"/>
        </w:rPr>
      </w:pPr>
    </w:p>
    <w:p w14:paraId="4C723F11" w14:textId="77777777" w:rsidR="0007167E" w:rsidRPr="009D3B67" w:rsidRDefault="0007167E">
      <w:pPr>
        <w:pStyle w:val="ListBullet2"/>
        <w:numPr>
          <w:ilvl w:val="0"/>
          <w:numId w:val="35"/>
        </w:numPr>
        <w:spacing w:after="0" w:line="300" w:lineRule="auto"/>
        <w:rPr>
          <w:rFonts w:ascii="Arial" w:hAnsi="Arial" w:cs="Arial"/>
        </w:rPr>
      </w:pPr>
      <w:r w:rsidRPr="009D3B67">
        <w:rPr>
          <w:rFonts w:ascii="Arial" w:hAnsi="Arial" w:cs="Arial"/>
          <w:b/>
          <w:bCs/>
        </w:rPr>
        <w:t>Current affordable housing need</w:t>
      </w:r>
      <w:r w:rsidRPr="009D3B67">
        <w:rPr>
          <w:rFonts w:ascii="Arial" w:hAnsi="Arial" w:cs="Arial"/>
        </w:rPr>
        <w:t xml:space="preserve">: an estimate of the number of households who have a need now, at the point of the assessment, based on </w:t>
      </w:r>
      <w:r>
        <w:rPr>
          <w:rFonts w:ascii="Arial" w:hAnsi="Arial" w:cs="Arial"/>
        </w:rPr>
        <w:t>data from the household survey</w:t>
      </w:r>
      <w:r w:rsidRPr="009D3B67">
        <w:rPr>
          <w:rFonts w:ascii="Arial" w:hAnsi="Arial" w:cs="Arial"/>
        </w:rPr>
        <w:t xml:space="preserve"> – this figure is then annualised so as to meet the current need over a period of time;</w:t>
      </w:r>
    </w:p>
    <w:p w14:paraId="55EA4D6F" w14:textId="77777777" w:rsidR="0007167E" w:rsidRPr="009D3B67" w:rsidRDefault="0007167E">
      <w:pPr>
        <w:pStyle w:val="ListBullet2"/>
        <w:numPr>
          <w:ilvl w:val="0"/>
          <w:numId w:val="35"/>
        </w:numPr>
        <w:spacing w:after="0" w:line="300" w:lineRule="auto"/>
        <w:rPr>
          <w:rFonts w:ascii="Arial" w:hAnsi="Arial" w:cs="Arial"/>
        </w:rPr>
      </w:pPr>
      <w:r w:rsidRPr="009D3B67">
        <w:rPr>
          <w:rFonts w:ascii="Arial" w:hAnsi="Arial" w:cs="Arial"/>
          <w:b/>
          <w:bCs/>
        </w:rPr>
        <w:t>Projected newly forming households in need</w:t>
      </w:r>
      <w:r w:rsidRPr="009D3B67">
        <w:rPr>
          <w:rFonts w:ascii="Arial" w:hAnsi="Arial" w:cs="Arial"/>
        </w:rPr>
        <w:t>: using demographic projections to establish gross household formation, and then applying an affordability test to estimate numbers of such households unable to afford market housing;</w:t>
      </w:r>
    </w:p>
    <w:p w14:paraId="18A9887F" w14:textId="77777777" w:rsidR="0007167E" w:rsidRPr="009D3B67" w:rsidRDefault="0007167E">
      <w:pPr>
        <w:pStyle w:val="ListBullet2"/>
        <w:numPr>
          <w:ilvl w:val="0"/>
          <w:numId w:val="35"/>
        </w:numPr>
        <w:spacing w:after="0" w:line="300" w:lineRule="auto"/>
        <w:rPr>
          <w:rFonts w:ascii="Arial" w:hAnsi="Arial" w:cs="Arial"/>
        </w:rPr>
      </w:pPr>
      <w:r w:rsidRPr="009D3B67">
        <w:rPr>
          <w:rFonts w:ascii="Arial" w:hAnsi="Arial" w:cs="Arial"/>
          <w:b/>
          <w:bCs/>
        </w:rPr>
        <w:t>Existing households falling into need</w:t>
      </w:r>
      <w:r w:rsidRPr="009D3B67">
        <w:rPr>
          <w:rFonts w:ascii="Arial" w:hAnsi="Arial" w:cs="Arial"/>
        </w:rPr>
        <w:t>: based on studying past trends in the types of households who have accessed social/affordable rented housing; and</w:t>
      </w:r>
    </w:p>
    <w:p w14:paraId="3AE63C90" w14:textId="77777777" w:rsidR="0007167E" w:rsidRPr="009D3B67" w:rsidRDefault="0007167E">
      <w:pPr>
        <w:pStyle w:val="ListBullet2"/>
        <w:numPr>
          <w:ilvl w:val="0"/>
          <w:numId w:val="35"/>
        </w:numPr>
        <w:spacing w:after="0" w:line="300" w:lineRule="auto"/>
        <w:rPr>
          <w:rFonts w:ascii="Arial" w:hAnsi="Arial" w:cs="Arial"/>
        </w:rPr>
      </w:pPr>
      <w:r w:rsidRPr="009D3B67">
        <w:rPr>
          <w:rFonts w:ascii="Arial" w:hAnsi="Arial" w:cs="Arial"/>
          <w:b/>
          <w:bCs/>
        </w:rPr>
        <w:t>Supply of affordable housing</w:t>
      </w:r>
      <w:r w:rsidRPr="009D3B67">
        <w:rPr>
          <w:rFonts w:ascii="Arial" w:hAnsi="Arial" w:cs="Arial"/>
        </w:rPr>
        <w:t>: an estimate of the likely number of lettings that will become available from the existing social/affordable housing stock.</w:t>
      </w:r>
    </w:p>
    <w:p w14:paraId="4E6584DE" w14:textId="77777777" w:rsidR="0007167E" w:rsidRPr="002143DA" w:rsidRDefault="0007167E" w:rsidP="00172F56">
      <w:pPr>
        <w:spacing w:line="300" w:lineRule="auto"/>
        <w:jc w:val="both"/>
        <w:rPr>
          <w:rFonts w:ascii="Arial" w:hAnsi="Arial" w:cs="Arial"/>
          <w:sz w:val="20"/>
          <w:szCs w:val="20"/>
          <w:lang w:eastAsia="ja-JP"/>
        </w:rPr>
      </w:pPr>
    </w:p>
    <w:p w14:paraId="2DAE44A5" w14:textId="7EF28AB8" w:rsidR="0007167E" w:rsidRPr="0007167E" w:rsidRDefault="0007167E">
      <w:pPr>
        <w:pStyle w:val="11Bodytext"/>
        <w:numPr>
          <w:ilvl w:val="1"/>
          <w:numId w:val="76"/>
        </w:numPr>
        <w:spacing w:before="0" w:after="0" w:line="300" w:lineRule="auto"/>
        <w:ind w:left="720" w:hanging="720"/>
        <w:rPr>
          <w:color w:val="auto"/>
        </w:rPr>
      </w:pPr>
      <w:r w:rsidRPr="0067074D">
        <w:t>The first three bullet points above are added together to identify a gross need, from which the supply of relets of existing properties is subtracted to identify a net annual need for additional affordable housing. For the purposes of this assessment, this analysis is used to identify the overall (net) need for social/affordable rented housing.</w:t>
      </w:r>
    </w:p>
    <w:p w14:paraId="39C0A46A" w14:textId="77777777" w:rsidR="0007167E" w:rsidRPr="0007167E" w:rsidRDefault="0007167E" w:rsidP="00172F56">
      <w:pPr>
        <w:pStyle w:val="11Bodytext"/>
        <w:numPr>
          <w:ilvl w:val="0"/>
          <w:numId w:val="0"/>
        </w:numPr>
        <w:spacing w:before="0" w:after="0" w:line="300" w:lineRule="auto"/>
        <w:rPr>
          <w:color w:val="auto"/>
        </w:rPr>
      </w:pPr>
    </w:p>
    <w:p w14:paraId="118C29BD" w14:textId="26A4FB25" w:rsidR="0007167E" w:rsidRPr="00054588" w:rsidRDefault="0007167E">
      <w:pPr>
        <w:pStyle w:val="11Bodytext"/>
        <w:numPr>
          <w:ilvl w:val="1"/>
          <w:numId w:val="76"/>
        </w:numPr>
        <w:spacing w:before="0" w:after="0" w:line="300" w:lineRule="auto"/>
        <w:ind w:left="720" w:hanging="720"/>
        <w:rPr>
          <w:color w:val="auto"/>
        </w:rPr>
      </w:pPr>
      <w:r w:rsidRPr="0067074D">
        <w:t xml:space="preserve">This approach has traditionally been used to consider the needs of households who </w:t>
      </w:r>
      <w:r w:rsidR="00BD1A37">
        <w:t xml:space="preserve">are in housing need and </w:t>
      </w:r>
      <w:r w:rsidRPr="0067074D">
        <w:t>have not been able to afford market housing (either to buy or to rent). As the income necessary to afford to rent homes without financial support is typically lower than that needed to buy, the ability of households to afford private rents has influenced whether or not they are in need of affordable housing.</w:t>
      </w:r>
    </w:p>
    <w:p w14:paraId="6C44022D" w14:textId="30352B0F" w:rsidR="00054588" w:rsidRDefault="00054588">
      <w:pPr>
        <w:pStyle w:val="11Bodytext"/>
        <w:numPr>
          <w:ilvl w:val="1"/>
          <w:numId w:val="0"/>
        </w:numPr>
        <w:spacing w:before="0" w:after="0" w:line="300" w:lineRule="auto"/>
        <w:rPr>
          <w:color w:val="auto"/>
        </w:rPr>
      </w:pPr>
    </w:p>
    <w:p w14:paraId="02C1B6F2" w14:textId="0CFF1571" w:rsidR="00177D13" w:rsidRDefault="00177D13">
      <w:pPr>
        <w:pStyle w:val="11Bodytext"/>
        <w:numPr>
          <w:ilvl w:val="1"/>
          <w:numId w:val="0"/>
        </w:numPr>
        <w:spacing w:before="0" w:after="0" w:line="300" w:lineRule="auto"/>
        <w:rPr>
          <w:color w:val="auto"/>
        </w:rPr>
      </w:pPr>
    </w:p>
    <w:p w14:paraId="30E65A3B" w14:textId="77777777" w:rsidR="00177D13" w:rsidRPr="00054588" w:rsidRDefault="00177D13" w:rsidP="00172F56">
      <w:pPr>
        <w:pStyle w:val="11Bodytext"/>
        <w:numPr>
          <w:ilvl w:val="1"/>
          <w:numId w:val="0"/>
        </w:numPr>
        <w:spacing w:before="0" w:after="0" w:line="300" w:lineRule="auto"/>
        <w:rPr>
          <w:color w:val="auto"/>
        </w:rPr>
      </w:pPr>
    </w:p>
    <w:p w14:paraId="4929E930" w14:textId="5E94967E" w:rsidR="0007167E" w:rsidRPr="00054588" w:rsidRDefault="0007167E">
      <w:pPr>
        <w:pStyle w:val="11Bodytext"/>
        <w:numPr>
          <w:ilvl w:val="1"/>
          <w:numId w:val="76"/>
        </w:numPr>
        <w:spacing w:before="0" w:after="0" w:line="300" w:lineRule="auto"/>
        <w:ind w:left="720" w:hanging="720"/>
        <w:rPr>
          <w:color w:val="auto"/>
        </w:rPr>
      </w:pPr>
      <w:r w:rsidRPr="0067074D">
        <w:t>The NPPF and associated guidance has expanded the definition of those in affordable housing need to include households who might be able to rent without financial support but who aspire to own a home, and require support to do so. The PPG includes households that “</w:t>
      </w:r>
      <w:r w:rsidRPr="00054588">
        <w:rPr>
          <w:i/>
          <w:iCs/>
        </w:rPr>
        <w:t>cannot afford their own homes, either to rent, or to own, where that is their aspiration</w:t>
      </w:r>
      <w:r w:rsidRPr="0067074D">
        <w:t>” as having an affordable housing need.</w:t>
      </w:r>
    </w:p>
    <w:p w14:paraId="3F3FD3F8" w14:textId="77777777" w:rsidR="00BD1A37" w:rsidRPr="00172F56" w:rsidRDefault="00BD1A37" w:rsidP="00172F56">
      <w:pPr>
        <w:pStyle w:val="11Bodytext"/>
        <w:numPr>
          <w:ilvl w:val="0"/>
          <w:numId w:val="0"/>
        </w:numPr>
        <w:spacing w:before="0" w:after="0" w:line="300" w:lineRule="auto"/>
        <w:rPr>
          <w:color w:val="auto"/>
        </w:rPr>
      </w:pPr>
    </w:p>
    <w:p w14:paraId="67E3B2BF" w14:textId="2173E041" w:rsidR="0007167E" w:rsidRPr="00054588" w:rsidRDefault="0007167E">
      <w:pPr>
        <w:pStyle w:val="11Bodytext"/>
        <w:numPr>
          <w:ilvl w:val="1"/>
          <w:numId w:val="76"/>
        </w:numPr>
        <w:spacing w:before="0" w:after="0" w:line="300" w:lineRule="auto"/>
        <w:ind w:left="720" w:hanging="720"/>
        <w:rPr>
          <w:color w:val="auto"/>
        </w:rPr>
      </w:pPr>
      <w:r w:rsidRPr="0067074D">
        <w:t>This widened definition has been introduced by</w:t>
      </w:r>
      <w:r w:rsidR="00BD1A37">
        <w:t xml:space="preserve"> the</w:t>
      </w:r>
      <w:r w:rsidRPr="0067074D">
        <w:t xml:space="preserve"> Government to support increased access to home ownership, given evidence of declining home ownership and growth in private renting over the last 20 years</w:t>
      </w:r>
      <w:r>
        <w:t xml:space="preserve"> or so</w:t>
      </w:r>
      <w:r w:rsidRPr="0067074D">
        <w:t xml:space="preserve">. </w:t>
      </w:r>
      <w:r>
        <w:t xml:space="preserve">The </w:t>
      </w:r>
      <w:r w:rsidRPr="0067074D">
        <w:t xml:space="preserve">PPG does not however provide specific guidance on how the needs of such households should be assessed and so this study adopts a broadly consistent methodology to that identified in the PPG, and </w:t>
      </w:r>
      <w:r>
        <w:t>considers</w:t>
      </w:r>
      <w:r w:rsidRPr="0067074D">
        <w:t xml:space="preserve"> a current need; a newly-arising need on an annual basis; existing households falling into need; and an annual estimate of supply.</w:t>
      </w:r>
    </w:p>
    <w:p w14:paraId="3D734568" w14:textId="38E8FE8C" w:rsidR="00054588" w:rsidRDefault="00054588" w:rsidP="00172F56">
      <w:pPr>
        <w:pStyle w:val="11Bodytext"/>
        <w:numPr>
          <w:ilvl w:val="0"/>
          <w:numId w:val="0"/>
        </w:numPr>
        <w:spacing w:before="0" w:after="0" w:line="300" w:lineRule="auto"/>
        <w:rPr>
          <w:color w:val="auto"/>
        </w:rPr>
      </w:pPr>
    </w:p>
    <w:p w14:paraId="661EA62C" w14:textId="7FB1A3D5" w:rsidR="00054588" w:rsidRPr="007236BD" w:rsidRDefault="00054588" w:rsidP="00172F56">
      <w:pPr>
        <w:spacing w:line="300" w:lineRule="auto"/>
        <w:jc w:val="both"/>
        <w:rPr>
          <w:rFonts w:ascii="Arial" w:hAnsi="Arial" w:cs="Arial"/>
          <w:b/>
          <w:lang w:eastAsia="ja-JP"/>
        </w:rPr>
      </w:pPr>
      <w:r>
        <w:rPr>
          <w:rFonts w:ascii="Arial" w:hAnsi="Arial" w:cs="Arial"/>
          <w:b/>
          <w:lang w:eastAsia="ja-JP"/>
        </w:rPr>
        <w:t>Need for Affordable Housing</w:t>
      </w:r>
    </w:p>
    <w:p w14:paraId="40D9C37F" w14:textId="77777777" w:rsidR="00054588" w:rsidRPr="002143DA" w:rsidRDefault="00054588" w:rsidP="00172F56">
      <w:pPr>
        <w:spacing w:line="300" w:lineRule="auto"/>
        <w:jc w:val="both"/>
        <w:rPr>
          <w:rFonts w:ascii="Arial" w:hAnsi="Arial" w:cs="Arial"/>
          <w:sz w:val="20"/>
          <w:szCs w:val="20"/>
          <w:lang w:eastAsia="ja-JP"/>
        </w:rPr>
      </w:pPr>
    </w:p>
    <w:p w14:paraId="1FCB0604" w14:textId="10A8400F" w:rsidR="0007167E" w:rsidRPr="00657095" w:rsidRDefault="0007167E">
      <w:pPr>
        <w:pStyle w:val="11Bodytext"/>
        <w:numPr>
          <w:ilvl w:val="1"/>
          <w:numId w:val="76"/>
        </w:numPr>
        <w:spacing w:before="0" w:after="0" w:line="300" w:lineRule="auto"/>
        <w:ind w:left="720" w:hanging="720"/>
        <w:rPr>
          <w:color w:val="auto"/>
        </w:rPr>
      </w:pPr>
      <w:r w:rsidRPr="00054588">
        <w:t>The sections below work through the various stages of analysis to estimate the need for social/affordable housing in the Borough and sub-areas. Final figures are provided as an annual need (including an allowance to deal with current need). As per 2a-024 of the PPG, this figure can then be compared with likely delivery of affordable housing.</w:t>
      </w:r>
    </w:p>
    <w:p w14:paraId="21AE3F24" w14:textId="04DFC826" w:rsidR="00657095" w:rsidRDefault="00657095" w:rsidP="00172F56">
      <w:pPr>
        <w:pStyle w:val="11Bodytext"/>
        <w:numPr>
          <w:ilvl w:val="0"/>
          <w:numId w:val="0"/>
        </w:numPr>
        <w:spacing w:before="0" w:after="0" w:line="300" w:lineRule="auto"/>
      </w:pPr>
    </w:p>
    <w:p w14:paraId="180DFC33" w14:textId="38D58439" w:rsidR="00657095" w:rsidRPr="00657095" w:rsidRDefault="00657095" w:rsidP="00172F56">
      <w:pPr>
        <w:pStyle w:val="11Bodytext"/>
        <w:numPr>
          <w:ilvl w:val="1"/>
          <w:numId w:val="0"/>
        </w:numPr>
        <w:spacing w:before="0" w:after="0" w:line="300" w:lineRule="auto"/>
        <w:rPr>
          <w:b/>
        </w:rPr>
      </w:pPr>
      <w:r w:rsidRPr="2804310E">
        <w:rPr>
          <w:b/>
        </w:rPr>
        <w:t>Current Need for Affordable Housing to Rent</w:t>
      </w:r>
    </w:p>
    <w:p w14:paraId="4D1693E5" w14:textId="77777777" w:rsidR="00657095" w:rsidRPr="00657095" w:rsidRDefault="00657095" w:rsidP="00172F56">
      <w:pPr>
        <w:pStyle w:val="11Bodytext"/>
        <w:numPr>
          <w:ilvl w:val="0"/>
          <w:numId w:val="0"/>
        </w:numPr>
        <w:spacing w:before="0" w:after="0" w:line="300" w:lineRule="auto"/>
        <w:rPr>
          <w:color w:val="auto"/>
        </w:rPr>
      </w:pPr>
    </w:p>
    <w:p w14:paraId="3C3F8CD7" w14:textId="7825DF4C" w:rsidR="0007167E" w:rsidRPr="00657095" w:rsidRDefault="0007167E">
      <w:pPr>
        <w:pStyle w:val="11Bodytext"/>
        <w:numPr>
          <w:ilvl w:val="1"/>
          <w:numId w:val="76"/>
        </w:numPr>
        <w:spacing w:before="0" w:after="0" w:line="300" w:lineRule="auto"/>
        <w:ind w:left="720" w:hanging="720"/>
        <w:rPr>
          <w:color w:val="auto"/>
        </w:rPr>
      </w:pPr>
      <w:r w:rsidRPr="00657095">
        <w:t>The first stage of the model assesses current need (sometimes termed the ‘backlog’ of housing need). This begins with an assessment of housing suitability and affordability and also considers homeless households before arriving at a total current need estimate (gross).</w:t>
      </w:r>
    </w:p>
    <w:p w14:paraId="5FF46A08" w14:textId="77777777" w:rsidR="00657095" w:rsidRPr="00657095" w:rsidRDefault="00657095" w:rsidP="00172F56">
      <w:pPr>
        <w:pStyle w:val="11Bodytext"/>
        <w:numPr>
          <w:ilvl w:val="0"/>
          <w:numId w:val="0"/>
        </w:numPr>
        <w:spacing w:before="0" w:after="0" w:line="300" w:lineRule="auto"/>
        <w:rPr>
          <w:color w:val="auto"/>
        </w:rPr>
      </w:pPr>
    </w:p>
    <w:p w14:paraId="6D0AEAA5" w14:textId="6303989E" w:rsidR="0007167E" w:rsidRPr="00657095" w:rsidRDefault="0007167E">
      <w:pPr>
        <w:pStyle w:val="11Bodytext"/>
        <w:numPr>
          <w:ilvl w:val="1"/>
          <w:numId w:val="76"/>
        </w:numPr>
        <w:spacing w:before="0" w:after="0" w:line="300" w:lineRule="auto"/>
        <w:ind w:left="720" w:hanging="720"/>
        <w:rPr>
          <w:color w:val="auto"/>
        </w:rPr>
      </w:pPr>
      <w:r w:rsidRPr="00657095">
        <w:t>A key element of housing need is an assessment of the suitability of a household’s current housing with this study using a range of criteria as set out in the figure below. In the Borough it is estimated that a total of 3,900 households are living in unsuitable housing (this represents 10% of all households in the Borough).</w:t>
      </w:r>
    </w:p>
    <w:p w14:paraId="1C02DEB6" w14:textId="77777777" w:rsidR="00657095" w:rsidRPr="00657095" w:rsidRDefault="00657095" w:rsidP="00172F56">
      <w:pPr>
        <w:pStyle w:val="11Bodytext"/>
        <w:numPr>
          <w:ilvl w:val="0"/>
          <w:numId w:val="0"/>
        </w:numPr>
        <w:spacing w:before="0" w:after="0" w:line="300" w:lineRule="auto"/>
        <w:rPr>
          <w:color w:val="auto"/>
        </w:rPr>
      </w:pPr>
    </w:p>
    <w:p w14:paraId="51002F9F" w14:textId="77777777" w:rsidR="00DF313A" w:rsidRPr="00172F56" w:rsidRDefault="0007167E">
      <w:pPr>
        <w:pStyle w:val="11Bodytext"/>
        <w:numPr>
          <w:ilvl w:val="1"/>
          <w:numId w:val="76"/>
        </w:numPr>
        <w:spacing w:before="0" w:after="0" w:line="300" w:lineRule="auto"/>
        <w:ind w:left="720" w:hanging="720"/>
        <w:rPr>
          <w:color w:val="auto"/>
        </w:rPr>
      </w:pPr>
      <w:r w:rsidRPr="00657095">
        <w:t xml:space="preserve">The figure below indicates the number of households living in unsuitable housing (ordered by the number of households in each category). It should be noted that the overall total of reasons for </w:t>
      </w:r>
      <w:r w:rsidRPr="006957BC">
        <w:t>unsuitable housing shown in the figure will usually be greater than the total number of households with unsuitability, as some households have more than one reason for unsuitability. The main reason for unsuitable housing is in relation to accommodation costs, specifically in relation to the heating of the home.</w:t>
      </w:r>
      <w:r w:rsidR="00DF313A" w:rsidRPr="006957BC">
        <w:t xml:space="preserve"> </w:t>
      </w:r>
    </w:p>
    <w:p w14:paraId="32C38ABA" w14:textId="77777777" w:rsidR="00DF313A" w:rsidRPr="00172F56" w:rsidRDefault="00DF313A" w:rsidP="00172F56">
      <w:pPr>
        <w:spacing w:line="300" w:lineRule="auto"/>
        <w:rPr>
          <w:rFonts w:ascii="Arial" w:hAnsi="Arial" w:cs="Arial"/>
          <w:sz w:val="20"/>
          <w:szCs w:val="20"/>
        </w:rPr>
      </w:pPr>
    </w:p>
    <w:p w14:paraId="56D8B446" w14:textId="398A306F" w:rsidR="0007167E" w:rsidRPr="00657095" w:rsidRDefault="00DF313A">
      <w:pPr>
        <w:pStyle w:val="11Bodytext"/>
        <w:numPr>
          <w:ilvl w:val="1"/>
          <w:numId w:val="76"/>
        </w:numPr>
        <w:spacing w:before="0" w:after="0" w:line="300" w:lineRule="auto"/>
        <w:ind w:left="720" w:hanging="720"/>
        <w:rPr>
          <w:color w:val="auto"/>
        </w:rPr>
      </w:pPr>
      <w:r w:rsidRPr="006957BC">
        <w:t xml:space="preserve">For most of the categories below the figures are based on households’ perceptions of their circumstances, the exception to this is for overcrowding which has been based on calculations set </w:t>
      </w:r>
      <w:r w:rsidR="00931AE7" w:rsidRPr="006957BC">
        <w:t>against</w:t>
      </w:r>
      <w:r>
        <w:t xml:space="preserve"> the bedroom </w:t>
      </w:r>
      <w:r w:rsidR="00931AE7">
        <w:t>standards</w:t>
      </w:r>
      <w:r>
        <w:t xml:space="preserve"> (which was discussed in the previous section).</w:t>
      </w:r>
    </w:p>
    <w:p w14:paraId="5C565852" w14:textId="13DDB11B" w:rsidR="00657095" w:rsidRDefault="00657095" w:rsidP="00172F56">
      <w:pPr>
        <w:pStyle w:val="11Bodytext"/>
        <w:numPr>
          <w:ilvl w:val="0"/>
          <w:numId w:val="0"/>
        </w:numPr>
        <w:spacing w:before="0" w:after="0" w:line="300" w:lineRule="auto"/>
        <w:rPr>
          <w:color w:val="auto"/>
        </w:rPr>
      </w:pPr>
    </w:p>
    <w:tbl>
      <w:tblPr>
        <w:tblStyle w:val="TableTheme"/>
        <w:tblW w:w="8199" w:type="dxa"/>
        <w:jc w:val="center"/>
        <w:tblLook w:val="04A0" w:firstRow="1" w:lastRow="0" w:firstColumn="1" w:lastColumn="0" w:noHBand="0" w:noVBand="1"/>
      </w:tblPr>
      <w:tblGrid>
        <w:gridCol w:w="8199"/>
      </w:tblGrid>
      <w:tr w:rsidR="008D4A27" w14:paraId="2EBAF773" w14:textId="77777777" w:rsidTr="008D4A27">
        <w:trPr>
          <w:jc w:val="center"/>
        </w:trPr>
        <w:tc>
          <w:tcPr>
            <w:tcW w:w="9628" w:type="dxa"/>
          </w:tcPr>
          <w:p w14:paraId="5B5388FB" w14:textId="7E541AD4" w:rsidR="008D4A27" w:rsidRDefault="008D4A27" w:rsidP="006957BC">
            <w:pPr>
              <w:pStyle w:val="11Bodytext"/>
              <w:keepNext/>
              <w:numPr>
                <w:ilvl w:val="0"/>
                <w:numId w:val="0"/>
              </w:numPr>
              <w:spacing w:before="60" w:after="60" w:line="300" w:lineRule="auto"/>
              <w:jc w:val="center"/>
              <w:rPr>
                <w:color w:val="auto"/>
              </w:rPr>
            </w:pPr>
            <w:r>
              <w:rPr>
                <w:b/>
              </w:rPr>
              <w:t xml:space="preserve">Figure 3.1: </w:t>
            </w:r>
            <w:r w:rsidRPr="004F7FC6">
              <w:rPr>
                <w:b/>
              </w:rPr>
              <w:t>Reasons for unsuitable housing in Fylde</w:t>
            </w:r>
          </w:p>
        </w:tc>
      </w:tr>
      <w:tr w:rsidR="008D4A27" w14:paraId="6E59EEF0" w14:textId="77777777" w:rsidTr="008D4A27">
        <w:trPr>
          <w:jc w:val="center"/>
        </w:trPr>
        <w:tc>
          <w:tcPr>
            <w:tcW w:w="9628" w:type="dxa"/>
          </w:tcPr>
          <w:p w14:paraId="55B3D0B1" w14:textId="3C300472" w:rsidR="008D4A27" w:rsidRDefault="008D4A27" w:rsidP="00172F56">
            <w:pPr>
              <w:pStyle w:val="11Bodytext"/>
              <w:keepNext/>
              <w:numPr>
                <w:ilvl w:val="0"/>
                <w:numId w:val="0"/>
              </w:numPr>
              <w:spacing w:before="0" w:after="0" w:line="300" w:lineRule="auto"/>
              <w:jc w:val="center"/>
              <w:rPr>
                <w:color w:val="auto"/>
              </w:rPr>
            </w:pPr>
            <w:r>
              <w:rPr>
                <w:noProof/>
                <w:sz w:val="22"/>
                <w:szCs w:val="22"/>
              </w:rPr>
              <w:drawing>
                <wp:inline distT="0" distB="0" distL="0" distR="0" wp14:anchorId="1927608F" wp14:editId="35D7EFA9">
                  <wp:extent cx="5040000" cy="2880000"/>
                  <wp:effectExtent l="0" t="0" r="8255" b="1587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2C24BED1" w14:textId="6666231D" w:rsidR="0007167E" w:rsidRDefault="00AB789F" w:rsidP="006957BC">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784CB3A2" w14:textId="77777777" w:rsidR="008D4A27" w:rsidRPr="00657095" w:rsidRDefault="008D4A27" w:rsidP="00172F56">
      <w:pPr>
        <w:pStyle w:val="11Bodytext"/>
        <w:numPr>
          <w:ilvl w:val="0"/>
          <w:numId w:val="0"/>
        </w:numPr>
        <w:spacing w:before="0" w:after="0" w:line="300" w:lineRule="auto"/>
        <w:rPr>
          <w:color w:val="auto"/>
        </w:rPr>
      </w:pPr>
    </w:p>
    <w:p w14:paraId="18B91692" w14:textId="09A73D62" w:rsidR="0007167E" w:rsidRPr="008D4A27" w:rsidRDefault="0007167E">
      <w:pPr>
        <w:pStyle w:val="11Bodytext"/>
        <w:numPr>
          <w:ilvl w:val="1"/>
          <w:numId w:val="76"/>
        </w:numPr>
        <w:spacing w:before="0" w:after="0" w:line="300" w:lineRule="auto"/>
        <w:ind w:left="720" w:hanging="720"/>
        <w:rPr>
          <w:color w:val="auto"/>
        </w:rPr>
      </w:pPr>
      <w:r w:rsidRPr="008D4A27">
        <w:t>The table below show</w:t>
      </w:r>
      <w:r w:rsidR="00DF313A">
        <w:t>s</w:t>
      </w:r>
      <w:r w:rsidRPr="008D4A27">
        <w:t xml:space="preserve"> unsuitable housing by tenure </w:t>
      </w:r>
      <w:r w:rsidR="00DF313A">
        <w:t>With t</w:t>
      </w:r>
      <w:r w:rsidRPr="008D4A27">
        <w:t>he patterns emerging suggest</w:t>
      </w:r>
      <w:r w:rsidR="00DF313A">
        <w:t>ing</w:t>
      </w:r>
      <w:r w:rsidRPr="008D4A27">
        <w:t xml:space="preserve"> that households living in social and private rented accommodation are the most likely to live in unsuitable housing.</w:t>
      </w:r>
    </w:p>
    <w:p w14:paraId="2309DB0E" w14:textId="77777777" w:rsidR="008D4A27" w:rsidRPr="008D4A27" w:rsidRDefault="008D4A27" w:rsidP="00172F56">
      <w:pPr>
        <w:pStyle w:val="11Bodytext"/>
        <w:numPr>
          <w:ilvl w:val="0"/>
          <w:numId w:val="0"/>
        </w:numPr>
        <w:spacing w:before="0" w:after="0" w:line="300" w:lineRule="auto"/>
        <w:rPr>
          <w:color w:val="auto"/>
        </w:rPr>
      </w:pPr>
    </w:p>
    <w:tbl>
      <w:tblPr>
        <w:tblStyle w:val="TableGrid1"/>
        <w:tblW w:w="8199" w:type="dxa"/>
        <w:jc w:val="center"/>
        <w:tblLayout w:type="fixed"/>
        <w:tblLook w:val="0000" w:firstRow="0" w:lastRow="0" w:firstColumn="0" w:lastColumn="0" w:noHBand="0" w:noVBand="0"/>
      </w:tblPr>
      <w:tblGrid>
        <w:gridCol w:w="3219"/>
        <w:gridCol w:w="1660"/>
        <w:gridCol w:w="1660"/>
        <w:gridCol w:w="1660"/>
      </w:tblGrid>
      <w:tr w:rsidR="008D4A27" w:rsidRPr="008D4A27" w14:paraId="1B7F71B0" w14:textId="77777777" w:rsidTr="008D4A27">
        <w:trPr>
          <w:jc w:val="center"/>
        </w:trPr>
        <w:tc>
          <w:tcPr>
            <w:tcW w:w="9628" w:type="dxa"/>
            <w:gridSpan w:val="4"/>
          </w:tcPr>
          <w:p w14:paraId="370D7CF4" w14:textId="29D259CA" w:rsidR="008D4A27" w:rsidRPr="008D4A27" w:rsidRDefault="008D4A27" w:rsidP="006957BC">
            <w:pPr>
              <w:keepNext/>
              <w:widowControl w:val="0"/>
              <w:spacing w:before="60" w:after="60" w:line="300" w:lineRule="auto"/>
              <w:jc w:val="center"/>
              <w:rPr>
                <w:rFonts w:ascii="Arial" w:hAnsi="Arial" w:cs="Arial"/>
                <w:b/>
                <w:sz w:val="20"/>
                <w:szCs w:val="20"/>
              </w:rPr>
            </w:pPr>
            <w:r w:rsidRPr="008D4A27">
              <w:rPr>
                <w:rFonts w:ascii="Arial" w:hAnsi="Arial" w:cs="Arial"/>
                <w:b/>
                <w:sz w:val="20"/>
                <w:szCs w:val="20"/>
              </w:rPr>
              <w:t>Figure 3.2: Unsuitable housing and tenure</w:t>
            </w:r>
          </w:p>
        </w:tc>
      </w:tr>
      <w:tr w:rsidR="0007167E" w:rsidRPr="008D4A27" w14:paraId="66FA68C4" w14:textId="77777777" w:rsidTr="008D4A27">
        <w:trPr>
          <w:jc w:val="center"/>
        </w:trPr>
        <w:tc>
          <w:tcPr>
            <w:tcW w:w="3806" w:type="dxa"/>
            <w:vMerge w:val="restart"/>
          </w:tcPr>
          <w:p w14:paraId="105E2D75" w14:textId="77777777" w:rsidR="0007167E" w:rsidRPr="008D4A27" w:rsidRDefault="0007167E" w:rsidP="006957BC">
            <w:pPr>
              <w:keepNext/>
              <w:widowControl w:val="0"/>
              <w:spacing w:line="300" w:lineRule="auto"/>
              <w:rPr>
                <w:rFonts w:ascii="Arial" w:hAnsi="Arial" w:cs="Arial"/>
                <w:bCs/>
                <w:sz w:val="20"/>
                <w:szCs w:val="20"/>
              </w:rPr>
            </w:pPr>
            <w:r w:rsidRPr="008D4A27">
              <w:rPr>
                <w:rFonts w:ascii="Arial" w:hAnsi="Arial" w:cs="Arial"/>
                <w:bCs/>
                <w:sz w:val="20"/>
                <w:szCs w:val="20"/>
              </w:rPr>
              <w:t>Tenure</w:t>
            </w:r>
          </w:p>
        </w:tc>
        <w:tc>
          <w:tcPr>
            <w:tcW w:w="5822" w:type="dxa"/>
            <w:gridSpan w:val="3"/>
          </w:tcPr>
          <w:p w14:paraId="08029AD4" w14:textId="77777777" w:rsidR="0007167E" w:rsidRPr="008D4A27" w:rsidRDefault="0007167E" w:rsidP="006957BC">
            <w:pPr>
              <w:keepNext/>
              <w:widowControl w:val="0"/>
              <w:spacing w:line="300" w:lineRule="auto"/>
              <w:jc w:val="center"/>
              <w:rPr>
                <w:rFonts w:ascii="Arial" w:hAnsi="Arial" w:cs="Arial"/>
                <w:sz w:val="20"/>
                <w:szCs w:val="20"/>
              </w:rPr>
            </w:pPr>
            <w:r w:rsidRPr="008D4A27">
              <w:rPr>
                <w:rFonts w:ascii="Arial" w:hAnsi="Arial" w:cs="Arial"/>
                <w:bCs/>
                <w:sz w:val="20"/>
                <w:szCs w:val="20"/>
              </w:rPr>
              <w:t>Unsuitable housing</w:t>
            </w:r>
          </w:p>
        </w:tc>
      </w:tr>
      <w:tr w:rsidR="0007167E" w:rsidRPr="008D4A27" w14:paraId="77D910CD" w14:textId="77777777" w:rsidTr="008D4A27">
        <w:trPr>
          <w:jc w:val="center"/>
        </w:trPr>
        <w:tc>
          <w:tcPr>
            <w:tcW w:w="3806" w:type="dxa"/>
            <w:vMerge/>
          </w:tcPr>
          <w:p w14:paraId="2F92186C" w14:textId="77777777" w:rsidR="0007167E" w:rsidRPr="008D4A27" w:rsidRDefault="0007167E" w:rsidP="006957BC">
            <w:pPr>
              <w:keepNext/>
              <w:widowControl w:val="0"/>
              <w:spacing w:line="300" w:lineRule="auto"/>
              <w:rPr>
                <w:rFonts w:ascii="Arial" w:hAnsi="Arial" w:cs="Arial"/>
                <w:bCs/>
                <w:sz w:val="20"/>
                <w:szCs w:val="20"/>
              </w:rPr>
            </w:pPr>
          </w:p>
        </w:tc>
        <w:tc>
          <w:tcPr>
            <w:tcW w:w="1940" w:type="dxa"/>
          </w:tcPr>
          <w:p w14:paraId="12BFAC52" w14:textId="77777777" w:rsidR="0007167E" w:rsidRPr="008D4A27" w:rsidRDefault="0007167E" w:rsidP="006957BC">
            <w:pPr>
              <w:keepNext/>
              <w:widowControl w:val="0"/>
              <w:spacing w:line="300" w:lineRule="auto"/>
              <w:jc w:val="center"/>
              <w:rPr>
                <w:rFonts w:ascii="Arial" w:hAnsi="Arial" w:cs="Arial"/>
                <w:bCs/>
                <w:sz w:val="20"/>
                <w:szCs w:val="20"/>
              </w:rPr>
            </w:pPr>
            <w:r w:rsidRPr="008D4A27">
              <w:rPr>
                <w:rFonts w:ascii="Arial" w:hAnsi="Arial" w:cs="Arial"/>
                <w:bCs/>
                <w:sz w:val="20"/>
                <w:szCs w:val="20"/>
              </w:rPr>
              <w:t>In unsuitable housing</w:t>
            </w:r>
          </w:p>
        </w:tc>
        <w:tc>
          <w:tcPr>
            <w:tcW w:w="1941" w:type="dxa"/>
          </w:tcPr>
          <w:p w14:paraId="5E428B65" w14:textId="77777777" w:rsidR="0007167E" w:rsidRPr="008D4A27" w:rsidRDefault="0007167E" w:rsidP="006957BC">
            <w:pPr>
              <w:keepNext/>
              <w:widowControl w:val="0"/>
              <w:spacing w:line="300" w:lineRule="auto"/>
              <w:jc w:val="center"/>
              <w:rPr>
                <w:rFonts w:ascii="Arial" w:hAnsi="Arial" w:cs="Arial"/>
                <w:bCs/>
                <w:sz w:val="20"/>
                <w:szCs w:val="20"/>
              </w:rPr>
            </w:pPr>
            <w:r w:rsidRPr="008D4A27">
              <w:rPr>
                <w:rFonts w:ascii="Arial" w:hAnsi="Arial" w:cs="Arial"/>
                <w:bCs/>
                <w:sz w:val="20"/>
                <w:szCs w:val="20"/>
              </w:rPr>
              <w:t>Total households</w:t>
            </w:r>
          </w:p>
        </w:tc>
        <w:tc>
          <w:tcPr>
            <w:tcW w:w="1941" w:type="dxa"/>
          </w:tcPr>
          <w:p w14:paraId="39EA9814" w14:textId="77777777" w:rsidR="0007167E" w:rsidRPr="008D4A27" w:rsidRDefault="0007167E" w:rsidP="006957BC">
            <w:pPr>
              <w:keepNext/>
              <w:widowControl w:val="0"/>
              <w:spacing w:line="300" w:lineRule="auto"/>
              <w:jc w:val="center"/>
              <w:rPr>
                <w:rFonts w:ascii="Arial" w:hAnsi="Arial" w:cs="Arial"/>
                <w:bCs/>
                <w:sz w:val="20"/>
                <w:szCs w:val="20"/>
              </w:rPr>
            </w:pPr>
            <w:r w:rsidRPr="008D4A27">
              <w:rPr>
                <w:rFonts w:ascii="Arial" w:hAnsi="Arial" w:cs="Arial"/>
                <w:bCs/>
                <w:sz w:val="20"/>
                <w:szCs w:val="20"/>
              </w:rPr>
              <w:t>% in unsuitable housing</w:t>
            </w:r>
          </w:p>
        </w:tc>
      </w:tr>
      <w:tr w:rsidR="0007167E" w:rsidRPr="008D4A27" w14:paraId="1A3A33C8" w14:textId="77777777" w:rsidTr="008D4A27">
        <w:trPr>
          <w:jc w:val="center"/>
        </w:trPr>
        <w:tc>
          <w:tcPr>
            <w:tcW w:w="3806" w:type="dxa"/>
          </w:tcPr>
          <w:p w14:paraId="5D668AFF" w14:textId="77777777" w:rsidR="0007167E" w:rsidRPr="008D4A27" w:rsidRDefault="0007167E" w:rsidP="006957BC">
            <w:pPr>
              <w:keepNext/>
              <w:widowControl w:val="0"/>
              <w:spacing w:line="300" w:lineRule="auto"/>
              <w:rPr>
                <w:rFonts w:ascii="Arial" w:hAnsi="Arial" w:cs="Arial"/>
                <w:bCs/>
                <w:sz w:val="20"/>
                <w:szCs w:val="20"/>
              </w:rPr>
            </w:pPr>
            <w:r w:rsidRPr="008D4A27">
              <w:rPr>
                <w:rFonts w:ascii="Arial" w:hAnsi="Arial" w:cs="Arial"/>
                <w:bCs/>
                <w:sz w:val="20"/>
                <w:szCs w:val="20"/>
              </w:rPr>
              <w:t>Owner-occupied (no mortgage)</w:t>
            </w:r>
          </w:p>
        </w:tc>
        <w:tc>
          <w:tcPr>
            <w:tcW w:w="1940" w:type="dxa"/>
          </w:tcPr>
          <w:p w14:paraId="41EF42A9" w14:textId="77777777" w:rsidR="0007167E" w:rsidRPr="008D4A27" w:rsidRDefault="0007167E" w:rsidP="006957BC">
            <w:pPr>
              <w:keepNext/>
              <w:spacing w:line="300" w:lineRule="auto"/>
              <w:jc w:val="center"/>
              <w:rPr>
                <w:rFonts w:ascii="Arial" w:hAnsi="Arial" w:cs="Arial"/>
                <w:color w:val="000000"/>
                <w:sz w:val="20"/>
                <w:szCs w:val="20"/>
              </w:rPr>
            </w:pPr>
            <w:r w:rsidRPr="008D4A27">
              <w:rPr>
                <w:rFonts w:ascii="Arial" w:hAnsi="Arial" w:cs="Arial"/>
                <w:color w:val="000000"/>
                <w:sz w:val="20"/>
                <w:szCs w:val="20"/>
              </w:rPr>
              <w:t>544</w:t>
            </w:r>
          </w:p>
        </w:tc>
        <w:tc>
          <w:tcPr>
            <w:tcW w:w="1941" w:type="dxa"/>
          </w:tcPr>
          <w:p w14:paraId="12DD2810" w14:textId="77777777" w:rsidR="0007167E" w:rsidRPr="008D4A27" w:rsidRDefault="0007167E" w:rsidP="006957BC">
            <w:pPr>
              <w:keepNext/>
              <w:spacing w:line="300" w:lineRule="auto"/>
              <w:jc w:val="center"/>
              <w:rPr>
                <w:rFonts w:ascii="Arial" w:hAnsi="Arial" w:cs="Arial"/>
                <w:color w:val="000000"/>
                <w:sz w:val="20"/>
                <w:szCs w:val="20"/>
              </w:rPr>
            </w:pPr>
            <w:r w:rsidRPr="008D4A27">
              <w:rPr>
                <w:rFonts w:ascii="Arial" w:hAnsi="Arial" w:cs="Arial"/>
                <w:color w:val="000000"/>
                <w:sz w:val="20"/>
                <w:szCs w:val="20"/>
              </w:rPr>
              <w:t>17,604</w:t>
            </w:r>
          </w:p>
        </w:tc>
        <w:tc>
          <w:tcPr>
            <w:tcW w:w="1941" w:type="dxa"/>
          </w:tcPr>
          <w:p w14:paraId="4956990C" w14:textId="77777777" w:rsidR="0007167E" w:rsidRPr="008D4A27" w:rsidRDefault="0007167E" w:rsidP="006957BC">
            <w:pPr>
              <w:keepNext/>
              <w:spacing w:line="300" w:lineRule="auto"/>
              <w:jc w:val="center"/>
              <w:rPr>
                <w:rFonts w:ascii="Arial" w:hAnsi="Arial" w:cs="Arial"/>
                <w:sz w:val="20"/>
                <w:szCs w:val="20"/>
              </w:rPr>
            </w:pPr>
            <w:r w:rsidRPr="008D4A27">
              <w:rPr>
                <w:rFonts w:ascii="Arial" w:hAnsi="Arial" w:cs="Arial"/>
                <w:color w:val="000000"/>
                <w:sz w:val="20"/>
                <w:szCs w:val="20"/>
              </w:rPr>
              <w:t>3.1%</w:t>
            </w:r>
          </w:p>
        </w:tc>
      </w:tr>
      <w:tr w:rsidR="0007167E" w:rsidRPr="008D4A27" w14:paraId="18DF375B" w14:textId="77777777" w:rsidTr="008D4A27">
        <w:trPr>
          <w:jc w:val="center"/>
        </w:trPr>
        <w:tc>
          <w:tcPr>
            <w:tcW w:w="3806" w:type="dxa"/>
          </w:tcPr>
          <w:p w14:paraId="45E15201" w14:textId="77777777" w:rsidR="0007167E" w:rsidRPr="008D4A27" w:rsidRDefault="0007167E" w:rsidP="006957BC">
            <w:pPr>
              <w:keepNext/>
              <w:widowControl w:val="0"/>
              <w:spacing w:line="300" w:lineRule="auto"/>
              <w:rPr>
                <w:rFonts w:ascii="Arial" w:hAnsi="Arial" w:cs="Arial"/>
                <w:bCs/>
                <w:sz w:val="20"/>
                <w:szCs w:val="20"/>
              </w:rPr>
            </w:pPr>
            <w:r w:rsidRPr="008D4A27">
              <w:rPr>
                <w:rFonts w:ascii="Arial" w:hAnsi="Arial" w:cs="Arial"/>
                <w:bCs/>
                <w:sz w:val="20"/>
                <w:szCs w:val="20"/>
              </w:rPr>
              <w:t>Owner-occupied (with mortgage)</w:t>
            </w:r>
          </w:p>
        </w:tc>
        <w:tc>
          <w:tcPr>
            <w:tcW w:w="1940" w:type="dxa"/>
          </w:tcPr>
          <w:p w14:paraId="7013BBBD" w14:textId="77777777" w:rsidR="0007167E" w:rsidRPr="008D4A27" w:rsidRDefault="0007167E" w:rsidP="006957BC">
            <w:pPr>
              <w:keepNext/>
              <w:spacing w:line="300" w:lineRule="auto"/>
              <w:jc w:val="center"/>
              <w:rPr>
                <w:rFonts w:ascii="Arial" w:hAnsi="Arial" w:cs="Arial"/>
                <w:color w:val="000000"/>
                <w:sz w:val="20"/>
                <w:szCs w:val="20"/>
              </w:rPr>
            </w:pPr>
            <w:r w:rsidRPr="008D4A27">
              <w:rPr>
                <w:rFonts w:ascii="Arial" w:hAnsi="Arial" w:cs="Arial"/>
                <w:color w:val="000000"/>
                <w:sz w:val="20"/>
                <w:szCs w:val="20"/>
              </w:rPr>
              <w:t>366</w:t>
            </w:r>
          </w:p>
        </w:tc>
        <w:tc>
          <w:tcPr>
            <w:tcW w:w="1941" w:type="dxa"/>
          </w:tcPr>
          <w:p w14:paraId="40163786" w14:textId="77777777" w:rsidR="0007167E" w:rsidRPr="008D4A27" w:rsidRDefault="0007167E" w:rsidP="006957BC">
            <w:pPr>
              <w:keepNext/>
              <w:spacing w:line="300" w:lineRule="auto"/>
              <w:jc w:val="center"/>
              <w:rPr>
                <w:rFonts w:ascii="Arial" w:hAnsi="Arial" w:cs="Arial"/>
                <w:color w:val="000000"/>
                <w:sz w:val="20"/>
                <w:szCs w:val="20"/>
              </w:rPr>
            </w:pPr>
            <w:r w:rsidRPr="008D4A27">
              <w:rPr>
                <w:rFonts w:ascii="Arial" w:hAnsi="Arial" w:cs="Arial"/>
                <w:color w:val="000000"/>
                <w:sz w:val="20"/>
                <w:szCs w:val="20"/>
              </w:rPr>
              <w:t>10,385</w:t>
            </w:r>
          </w:p>
        </w:tc>
        <w:tc>
          <w:tcPr>
            <w:tcW w:w="1941" w:type="dxa"/>
          </w:tcPr>
          <w:p w14:paraId="2F5CDEE1" w14:textId="77777777" w:rsidR="0007167E" w:rsidRPr="008D4A27" w:rsidRDefault="0007167E" w:rsidP="006957BC">
            <w:pPr>
              <w:keepNext/>
              <w:spacing w:line="300" w:lineRule="auto"/>
              <w:jc w:val="center"/>
              <w:rPr>
                <w:rFonts w:ascii="Arial" w:hAnsi="Arial" w:cs="Arial"/>
                <w:sz w:val="20"/>
                <w:szCs w:val="20"/>
              </w:rPr>
            </w:pPr>
            <w:r w:rsidRPr="008D4A27">
              <w:rPr>
                <w:rFonts w:ascii="Arial" w:hAnsi="Arial" w:cs="Arial"/>
                <w:color w:val="000000"/>
                <w:sz w:val="20"/>
                <w:szCs w:val="20"/>
              </w:rPr>
              <w:t>3.5%</w:t>
            </w:r>
          </w:p>
        </w:tc>
      </w:tr>
      <w:tr w:rsidR="0007167E" w:rsidRPr="008D4A27" w14:paraId="5238504D" w14:textId="77777777" w:rsidTr="008D4A27">
        <w:trPr>
          <w:jc w:val="center"/>
        </w:trPr>
        <w:tc>
          <w:tcPr>
            <w:tcW w:w="3806" w:type="dxa"/>
          </w:tcPr>
          <w:p w14:paraId="465B5AD3" w14:textId="77777777" w:rsidR="0007167E" w:rsidRPr="008D4A27" w:rsidRDefault="0007167E" w:rsidP="006957BC">
            <w:pPr>
              <w:keepNext/>
              <w:widowControl w:val="0"/>
              <w:spacing w:line="300" w:lineRule="auto"/>
              <w:rPr>
                <w:rFonts w:ascii="Arial" w:hAnsi="Arial" w:cs="Arial"/>
                <w:bCs/>
                <w:sz w:val="20"/>
                <w:szCs w:val="20"/>
              </w:rPr>
            </w:pPr>
            <w:r w:rsidRPr="008D4A27">
              <w:rPr>
                <w:rFonts w:ascii="Arial" w:hAnsi="Arial" w:cs="Arial"/>
                <w:bCs/>
                <w:sz w:val="20"/>
                <w:szCs w:val="20"/>
              </w:rPr>
              <w:t>Social rented</w:t>
            </w:r>
          </w:p>
        </w:tc>
        <w:tc>
          <w:tcPr>
            <w:tcW w:w="1940" w:type="dxa"/>
          </w:tcPr>
          <w:p w14:paraId="39B83668" w14:textId="77777777" w:rsidR="0007167E" w:rsidRPr="008D4A27" w:rsidRDefault="0007167E" w:rsidP="006957BC">
            <w:pPr>
              <w:keepNext/>
              <w:spacing w:line="300" w:lineRule="auto"/>
              <w:jc w:val="center"/>
              <w:rPr>
                <w:rFonts w:ascii="Arial" w:hAnsi="Arial" w:cs="Arial"/>
                <w:color w:val="000000"/>
                <w:sz w:val="20"/>
                <w:szCs w:val="20"/>
              </w:rPr>
            </w:pPr>
            <w:r w:rsidRPr="008D4A27">
              <w:rPr>
                <w:rFonts w:ascii="Arial" w:hAnsi="Arial" w:cs="Arial"/>
                <w:color w:val="000000"/>
                <w:sz w:val="20"/>
                <w:szCs w:val="20"/>
              </w:rPr>
              <w:t>732</w:t>
            </w:r>
          </w:p>
        </w:tc>
        <w:tc>
          <w:tcPr>
            <w:tcW w:w="1941" w:type="dxa"/>
          </w:tcPr>
          <w:p w14:paraId="6B0C00E1" w14:textId="77777777" w:rsidR="0007167E" w:rsidRPr="008D4A27" w:rsidRDefault="0007167E" w:rsidP="006957BC">
            <w:pPr>
              <w:keepNext/>
              <w:spacing w:line="300" w:lineRule="auto"/>
              <w:jc w:val="center"/>
              <w:rPr>
                <w:rFonts w:ascii="Arial" w:hAnsi="Arial" w:cs="Arial"/>
                <w:color w:val="000000"/>
                <w:sz w:val="20"/>
                <w:szCs w:val="20"/>
              </w:rPr>
            </w:pPr>
            <w:r w:rsidRPr="008D4A27">
              <w:rPr>
                <w:rFonts w:ascii="Arial" w:hAnsi="Arial" w:cs="Arial"/>
                <w:color w:val="000000"/>
                <w:sz w:val="20"/>
                <w:szCs w:val="20"/>
              </w:rPr>
              <w:t>3,264</w:t>
            </w:r>
          </w:p>
        </w:tc>
        <w:tc>
          <w:tcPr>
            <w:tcW w:w="1941" w:type="dxa"/>
          </w:tcPr>
          <w:p w14:paraId="468AB46B" w14:textId="77777777" w:rsidR="0007167E" w:rsidRPr="008D4A27" w:rsidRDefault="0007167E" w:rsidP="006957BC">
            <w:pPr>
              <w:keepNext/>
              <w:spacing w:line="300" w:lineRule="auto"/>
              <w:jc w:val="center"/>
              <w:rPr>
                <w:rFonts w:ascii="Arial" w:hAnsi="Arial" w:cs="Arial"/>
                <w:sz w:val="20"/>
                <w:szCs w:val="20"/>
              </w:rPr>
            </w:pPr>
            <w:r w:rsidRPr="008D4A27">
              <w:rPr>
                <w:rFonts w:ascii="Arial" w:hAnsi="Arial" w:cs="Arial"/>
                <w:color w:val="000000"/>
                <w:sz w:val="20"/>
                <w:szCs w:val="20"/>
              </w:rPr>
              <w:t>22.4%</w:t>
            </w:r>
          </w:p>
        </w:tc>
      </w:tr>
      <w:tr w:rsidR="0007167E" w:rsidRPr="008D4A27" w14:paraId="48388785" w14:textId="77777777" w:rsidTr="008D4A27">
        <w:trPr>
          <w:jc w:val="center"/>
        </w:trPr>
        <w:tc>
          <w:tcPr>
            <w:tcW w:w="3806" w:type="dxa"/>
          </w:tcPr>
          <w:p w14:paraId="556D753C" w14:textId="77777777" w:rsidR="0007167E" w:rsidRPr="008D4A27" w:rsidRDefault="0007167E" w:rsidP="006957BC">
            <w:pPr>
              <w:keepNext/>
              <w:widowControl w:val="0"/>
              <w:spacing w:line="300" w:lineRule="auto"/>
              <w:rPr>
                <w:rFonts w:ascii="Arial" w:hAnsi="Arial" w:cs="Arial"/>
                <w:bCs/>
                <w:sz w:val="20"/>
                <w:szCs w:val="20"/>
              </w:rPr>
            </w:pPr>
            <w:r w:rsidRPr="008D4A27">
              <w:rPr>
                <w:rFonts w:ascii="Arial" w:hAnsi="Arial" w:cs="Arial"/>
                <w:bCs/>
                <w:sz w:val="20"/>
                <w:szCs w:val="20"/>
              </w:rPr>
              <w:t>Private rented</w:t>
            </w:r>
          </w:p>
        </w:tc>
        <w:tc>
          <w:tcPr>
            <w:tcW w:w="1940" w:type="dxa"/>
          </w:tcPr>
          <w:p w14:paraId="633761C6" w14:textId="77777777" w:rsidR="0007167E" w:rsidRPr="008D4A27" w:rsidRDefault="0007167E" w:rsidP="006957BC">
            <w:pPr>
              <w:keepNext/>
              <w:spacing w:line="300" w:lineRule="auto"/>
              <w:jc w:val="center"/>
              <w:rPr>
                <w:rFonts w:ascii="Arial" w:hAnsi="Arial" w:cs="Arial"/>
                <w:color w:val="000000"/>
                <w:sz w:val="20"/>
                <w:szCs w:val="20"/>
              </w:rPr>
            </w:pPr>
            <w:r w:rsidRPr="008D4A27">
              <w:rPr>
                <w:rFonts w:ascii="Arial" w:hAnsi="Arial" w:cs="Arial"/>
                <w:color w:val="000000"/>
                <w:sz w:val="20"/>
                <w:szCs w:val="20"/>
              </w:rPr>
              <w:t>2,257</w:t>
            </w:r>
          </w:p>
        </w:tc>
        <w:tc>
          <w:tcPr>
            <w:tcW w:w="1941" w:type="dxa"/>
          </w:tcPr>
          <w:p w14:paraId="5EAEE71B" w14:textId="77777777" w:rsidR="0007167E" w:rsidRPr="008D4A27" w:rsidRDefault="0007167E" w:rsidP="006957BC">
            <w:pPr>
              <w:keepNext/>
              <w:spacing w:line="300" w:lineRule="auto"/>
              <w:jc w:val="center"/>
              <w:rPr>
                <w:rFonts w:ascii="Arial" w:hAnsi="Arial" w:cs="Arial"/>
                <w:color w:val="000000"/>
                <w:sz w:val="20"/>
                <w:szCs w:val="20"/>
              </w:rPr>
            </w:pPr>
            <w:r w:rsidRPr="008D4A27">
              <w:rPr>
                <w:rFonts w:ascii="Arial" w:hAnsi="Arial" w:cs="Arial"/>
                <w:color w:val="000000"/>
                <w:sz w:val="20"/>
                <w:szCs w:val="20"/>
              </w:rPr>
              <w:t>7,746</w:t>
            </w:r>
          </w:p>
        </w:tc>
        <w:tc>
          <w:tcPr>
            <w:tcW w:w="1941" w:type="dxa"/>
          </w:tcPr>
          <w:p w14:paraId="76E4F283" w14:textId="77777777" w:rsidR="0007167E" w:rsidRPr="008D4A27" w:rsidRDefault="0007167E" w:rsidP="006957BC">
            <w:pPr>
              <w:keepNext/>
              <w:spacing w:line="300" w:lineRule="auto"/>
              <w:jc w:val="center"/>
              <w:rPr>
                <w:rFonts w:ascii="Arial" w:hAnsi="Arial" w:cs="Arial"/>
                <w:sz w:val="20"/>
                <w:szCs w:val="20"/>
              </w:rPr>
            </w:pPr>
            <w:r w:rsidRPr="008D4A27">
              <w:rPr>
                <w:rFonts w:ascii="Arial" w:hAnsi="Arial" w:cs="Arial"/>
                <w:color w:val="000000"/>
                <w:sz w:val="20"/>
                <w:szCs w:val="20"/>
              </w:rPr>
              <w:t>29.1%</w:t>
            </w:r>
          </w:p>
        </w:tc>
      </w:tr>
      <w:tr w:rsidR="0007167E" w:rsidRPr="008D4A27" w14:paraId="3DD81CE1" w14:textId="77777777" w:rsidTr="008D4A27">
        <w:trPr>
          <w:jc w:val="center"/>
        </w:trPr>
        <w:tc>
          <w:tcPr>
            <w:tcW w:w="3806" w:type="dxa"/>
          </w:tcPr>
          <w:p w14:paraId="3BB3E3F1" w14:textId="77777777" w:rsidR="0007167E" w:rsidRPr="008D4A27" w:rsidRDefault="0007167E" w:rsidP="006957BC">
            <w:pPr>
              <w:keepNext/>
              <w:widowControl w:val="0"/>
              <w:spacing w:line="300" w:lineRule="auto"/>
              <w:rPr>
                <w:rFonts w:ascii="Arial" w:hAnsi="Arial" w:cs="Arial"/>
                <w:bCs/>
                <w:sz w:val="20"/>
                <w:szCs w:val="20"/>
              </w:rPr>
            </w:pPr>
            <w:r w:rsidRPr="008D4A27">
              <w:rPr>
                <w:rFonts w:ascii="Arial" w:hAnsi="Arial" w:cs="Arial"/>
                <w:bCs/>
                <w:sz w:val="20"/>
                <w:szCs w:val="20"/>
              </w:rPr>
              <w:t>Total</w:t>
            </w:r>
          </w:p>
        </w:tc>
        <w:tc>
          <w:tcPr>
            <w:tcW w:w="1940" w:type="dxa"/>
          </w:tcPr>
          <w:p w14:paraId="7F3C5A3B" w14:textId="77777777" w:rsidR="0007167E" w:rsidRPr="008D4A27" w:rsidRDefault="0007167E" w:rsidP="006957BC">
            <w:pPr>
              <w:keepNext/>
              <w:spacing w:line="300" w:lineRule="auto"/>
              <w:jc w:val="center"/>
              <w:rPr>
                <w:rFonts w:ascii="Arial" w:hAnsi="Arial" w:cs="Arial"/>
                <w:color w:val="000000"/>
                <w:sz w:val="20"/>
                <w:szCs w:val="20"/>
              </w:rPr>
            </w:pPr>
            <w:r w:rsidRPr="008D4A27">
              <w:rPr>
                <w:rFonts w:ascii="Arial" w:hAnsi="Arial" w:cs="Arial"/>
                <w:color w:val="000000"/>
                <w:sz w:val="20"/>
                <w:szCs w:val="20"/>
              </w:rPr>
              <w:t>3,900</w:t>
            </w:r>
          </w:p>
        </w:tc>
        <w:tc>
          <w:tcPr>
            <w:tcW w:w="1941" w:type="dxa"/>
          </w:tcPr>
          <w:p w14:paraId="495E86CA" w14:textId="77777777" w:rsidR="0007167E" w:rsidRPr="008D4A27" w:rsidRDefault="0007167E" w:rsidP="006957BC">
            <w:pPr>
              <w:keepNext/>
              <w:spacing w:line="300" w:lineRule="auto"/>
              <w:jc w:val="center"/>
              <w:rPr>
                <w:rFonts w:ascii="Arial" w:hAnsi="Arial" w:cs="Arial"/>
                <w:color w:val="000000"/>
                <w:sz w:val="20"/>
                <w:szCs w:val="20"/>
              </w:rPr>
            </w:pPr>
            <w:r w:rsidRPr="008D4A27">
              <w:rPr>
                <w:rFonts w:ascii="Arial" w:hAnsi="Arial" w:cs="Arial"/>
                <w:color w:val="000000"/>
                <w:sz w:val="20"/>
                <w:szCs w:val="20"/>
              </w:rPr>
              <w:t>39,000</w:t>
            </w:r>
          </w:p>
        </w:tc>
        <w:tc>
          <w:tcPr>
            <w:tcW w:w="1941" w:type="dxa"/>
          </w:tcPr>
          <w:p w14:paraId="4A65C8E0" w14:textId="77777777" w:rsidR="0007167E" w:rsidRPr="008D4A27" w:rsidRDefault="0007167E" w:rsidP="006957BC">
            <w:pPr>
              <w:keepNext/>
              <w:spacing w:line="300" w:lineRule="auto"/>
              <w:jc w:val="center"/>
              <w:rPr>
                <w:rFonts w:ascii="Arial" w:hAnsi="Arial" w:cs="Arial"/>
                <w:sz w:val="20"/>
                <w:szCs w:val="20"/>
              </w:rPr>
            </w:pPr>
            <w:r w:rsidRPr="008D4A27">
              <w:rPr>
                <w:rFonts w:ascii="Arial" w:hAnsi="Arial" w:cs="Arial"/>
                <w:color w:val="000000"/>
                <w:sz w:val="20"/>
                <w:szCs w:val="20"/>
              </w:rPr>
              <w:t>10.0%</w:t>
            </w:r>
          </w:p>
        </w:tc>
      </w:tr>
    </w:tbl>
    <w:p w14:paraId="26D8C5F9" w14:textId="6C529111" w:rsidR="0007167E" w:rsidRDefault="00AB789F" w:rsidP="006957BC">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7BC146A8" w14:textId="77777777" w:rsidR="008D4A27" w:rsidRPr="008D4A27" w:rsidRDefault="008D4A27" w:rsidP="00172F56">
      <w:pPr>
        <w:pStyle w:val="Reporttext0"/>
        <w:keepLines w:val="0"/>
        <w:widowControl w:val="0"/>
        <w:numPr>
          <w:ilvl w:val="0"/>
          <w:numId w:val="0"/>
        </w:numPr>
        <w:spacing w:line="300" w:lineRule="auto"/>
        <w:jc w:val="both"/>
        <w:rPr>
          <w:rFonts w:ascii="Arial" w:hAnsi="Arial" w:cs="Arial"/>
          <w:sz w:val="20"/>
        </w:rPr>
      </w:pPr>
    </w:p>
    <w:p w14:paraId="6A0F5F41" w14:textId="77777777" w:rsidR="008D4A27" w:rsidRPr="00657095" w:rsidRDefault="008D4A27" w:rsidP="00172F56">
      <w:pPr>
        <w:pStyle w:val="11Bodytext"/>
        <w:numPr>
          <w:ilvl w:val="0"/>
          <w:numId w:val="0"/>
        </w:numPr>
        <w:spacing w:before="0" w:after="0" w:line="300" w:lineRule="auto"/>
        <w:rPr>
          <w:color w:val="auto"/>
        </w:rPr>
      </w:pPr>
    </w:p>
    <w:p w14:paraId="436E30CB" w14:textId="0C17DB78" w:rsidR="0007167E" w:rsidRPr="008D4A27" w:rsidRDefault="0007167E">
      <w:pPr>
        <w:pStyle w:val="11Bodytext"/>
        <w:numPr>
          <w:ilvl w:val="1"/>
          <w:numId w:val="76"/>
        </w:numPr>
        <w:spacing w:before="0" w:after="0" w:line="300" w:lineRule="auto"/>
        <w:ind w:left="720" w:hanging="720"/>
        <w:rPr>
          <w:color w:val="auto"/>
        </w:rPr>
      </w:pPr>
      <w:r w:rsidRPr="008D4A27">
        <w:t>Although the survey has highlighted a number of households as living in unsuitable housing it is most probable that some of these problems can be resolved without the need to move to alternative accommodation. For the purposes of this assessment it is assumed that households in the following categories DO NOT have an in-situ solution to their housing problems:</w:t>
      </w:r>
    </w:p>
    <w:p w14:paraId="0A4B42CB" w14:textId="77777777" w:rsidR="008D4A27" w:rsidRPr="008D4A27" w:rsidRDefault="008D4A27" w:rsidP="00172F56">
      <w:pPr>
        <w:pStyle w:val="11Bodytext"/>
        <w:numPr>
          <w:ilvl w:val="0"/>
          <w:numId w:val="0"/>
        </w:numPr>
        <w:spacing w:before="0" w:after="0" w:line="300" w:lineRule="auto"/>
        <w:rPr>
          <w:color w:val="auto"/>
        </w:rPr>
      </w:pPr>
    </w:p>
    <w:p w14:paraId="7552BD73" w14:textId="0E1F5B86" w:rsidR="0007167E" w:rsidRPr="008D4A27" w:rsidRDefault="0007167E">
      <w:pPr>
        <w:pStyle w:val="PlainText"/>
        <w:numPr>
          <w:ilvl w:val="0"/>
          <w:numId w:val="36"/>
        </w:numPr>
        <w:spacing w:line="300" w:lineRule="auto"/>
        <w:jc w:val="both"/>
        <w:rPr>
          <w:rFonts w:ascii="Arial" w:hAnsi="Arial" w:cs="Arial"/>
          <w:sz w:val="20"/>
          <w:szCs w:val="20"/>
        </w:rPr>
      </w:pPr>
      <w:r w:rsidRPr="008D4A27">
        <w:rPr>
          <w:rFonts w:ascii="Arial" w:hAnsi="Arial" w:cs="Arial"/>
          <w:sz w:val="20"/>
          <w:szCs w:val="20"/>
        </w:rPr>
        <w:t>End of tenancy</w:t>
      </w:r>
      <w:r w:rsidR="00BD1A37">
        <w:rPr>
          <w:rFonts w:ascii="Arial" w:hAnsi="Arial" w:cs="Arial"/>
          <w:sz w:val="20"/>
          <w:szCs w:val="20"/>
        </w:rPr>
        <w:t>;</w:t>
      </w:r>
    </w:p>
    <w:p w14:paraId="023ADF97" w14:textId="0367C05E" w:rsidR="0007167E" w:rsidRPr="008D4A27" w:rsidRDefault="0007167E">
      <w:pPr>
        <w:pStyle w:val="PlainText"/>
        <w:numPr>
          <w:ilvl w:val="0"/>
          <w:numId w:val="36"/>
        </w:numPr>
        <w:spacing w:line="300" w:lineRule="auto"/>
        <w:jc w:val="both"/>
        <w:rPr>
          <w:rFonts w:ascii="Arial" w:hAnsi="Arial" w:cs="Arial"/>
          <w:sz w:val="20"/>
          <w:szCs w:val="20"/>
        </w:rPr>
      </w:pPr>
      <w:r w:rsidRPr="2804310E">
        <w:rPr>
          <w:rFonts w:ascii="Arial" w:hAnsi="Arial" w:cs="Arial"/>
          <w:sz w:val="20"/>
          <w:szCs w:val="20"/>
        </w:rPr>
        <w:t>Overcrowding</w:t>
      </w:r>
      <w:r w:rsidR="00BD1A37">
        <w:rPr>
          <w:rFonts w:ascii="Arial" w:hAnsi="Arial" w:cs="Arial"/>
          <w:sz w:val="20"/>
          <w:szCs w:val="20"/>
        </w:rPr>
        <w:t>;</w:t>
      </w:r>
    </w:p>
    <w:p w14:paraId="27A04C3E" w14:textId="17D7A4B2" w:rsidR="0007167E" w:rsidRPr="008D4A27" w:rsidRDefault="0007167E">
      <w:pPr>
        <w:pStyle w:val="PlainText"/>
        <w:numPr>
          <w:ilvl w:val="0"/>
          <w:numId w:val="36"/>
        </w:numPr>
        <w:spacing w:line="300" w:lineRule="auto"/>
        <w:jc w:val="both"/>
        <w:rPr>
          <w:rFonts w:ascii="Arial" w:hAnsi="Arial" w:cs="Arial"/>
          <w:sz w:val="20"/>
          <w:szCs w:val="20"/>
        </w:rPr>
      </w:pPr>
      <w:r w:rsidRPr="008D4A27">
        <w:rPr>
          <w:rFonts w:ascii="Arial" w:hAnsi="Arial" w:cs="Arial"/>
          <w:sz w:val="20"/>
          <w:szCs w:val="20"/>
        </w:rPr>
        <w:t>Sharing facilities</w:t>
      </w:r>
      <w:r w:rsidR="00BD1A37">
        <w:rPr>
          <w:rFonts w:ascii="Arial" w:hAnsi="Arial" w:cs="Arial"/>
          <w:sz w:val="20"/>
          <w:szCs w:val="20"/>
        </w:rPr>
        <w:t>; and</w:t>
      </w:r>
    </w:p>
    <w:p w14:paraId="4B99BCB1" w14:textId="36B63A98" w:rsidR="0007167E" w:rsidRPr="008D4A27" w:rsidRDefault="0007167E">
      <w:pPr>
        <w:pStyle w:val="PlainText"/>
        <w:numPr>
          <w:ilvl w:val="0"/>
          <w:numId w:val="36"/>
        </w:numPr>
        <w:spacing w:line="300" w:lineRule="auto"/>
        <w:jc w:val="both"/>
        <w:rPr>
          <w:rFonts w:ascii="Arial" w:hAnsi="Arial" w:cs="Arial"/>
          <w:sz w:val="20"/>
          <w:szCs w:val="20"/>
        </w:rPr>
      </w:pPr>
      <w:r w:rsidRPr="008D4A27">
        <w:rPr>
          <w:rFonts w:ascii="Arial" w:hAnsi="Arial" w:cs="Arial"/>
          <w:sz w:val="20"/>
          <w:szCs w:val="20"/>
        </w:rPr>
        <w:t>Harassment</w:t>
      </w:r>
      <w:r w:rsidR="00BD1A37">
        <w:rPr>
          <w:rFonts w:ascii="Arial" w:hAnsi="Arial" w:cs="Arial"/>
          <w:sz w:val="20"/>
          <w:szCs w:val="20"/>
        </w:rPr>
        <w:t>.</w:t>
      </w:r>
    </w:p>
    <w:p w14:paraId="7A210D26" w14:textId="77777777" w:rsidR="000C66F8" w:rsidRPr="00657095" w:rsidRDefault="000C66F8" w:rsidP="00172F56">
      <w:pPr>
        <w:pStyle w:val="11Bodytext"/>
        <w:numPr>
          <w:ilvl w:val="0"/>
          <w:numId w:val="0"/>
        </w:numPr>
        <w:spacing w:before="0" w:after="0" w:line="300" w:lineRule="auto"/>
        <w:rPr>
          <w:color w:val="auto"/>
        </w:rPr>
      </w:pPr>
    </w:p>
    <w:p w14:paraId="72EC728C" w14:textId="035D9C61" w:rsidR="0007167E" w:rsidRPr="000C66F8" w:rsidRDefault="0007167E">
      <w:pPr>
        <w:pStyle w:val="11Bodytext"/>
        <w:numPr>
          <w:ilvl w:val="1"/>
          <w:numId w:val="76"/>
        </w:numPr>
        <w:spacing w:before="0" w:after="0" w:line="300" w:lineRule="auto"/>
        <w:ind w:left="720" w:hanging="720"/>
        <w:rPr>
          <w:color w:val="auto"/>
        </w:rPr>
      </w:pPr>
      <w:r w:rsidRPr="000C66F8">
        <w:t>Looking at the reasons for unsuitability it is estimated that around a third of those unsuitably housed do not have an in-situ solution to their problems – this represents 1,282 households.</w:t>
      </w:r>
    </w:p>
    <w:p w14:paraId="3944F24F" w14:textId="77777777" w:rsidR="000C66F8" w:rsidRPr="000C66F8" w:rsidRDefault="000C66F8" w:rsidP="00172F56">
      <w:pPr>
        <w:pStyle w:val="11Bodytext"/>
        <w:numPr>
          <w:ilvl w:val="0"/>
          <w:numId w:val="0"/>
        </w:numPr>
        <w:spacing w:before="0" w:after="0" w:line="300" w:lineRule="auto"/>
        <w:rPr>
          <w:color w:val="auto"/>
        </w:rPr>
      </w:pPr>
    </w:p>
    <w:p w14:paraId="73F347E9" w14:textId="161970BB" w:rsidR="0007167E" w:rsidRPr="000C66F8" w:rsidRDefault="0007167E">
      <w:pPr>
        <w:pStyle w:val="11Bodytext"/>
        <w:numPr>
          <w:ilvl w:val="1"/>
          <w:numId w:val="76"/>
        </w:numPr>
        <w:spacing w:before="0" w:after="0" w:line="300" w:lineRule="auto"/>
        <w:ind w:left="720" w:hanging="720"/>
        <w:rPr>
          <w:color w:val="auto"/>
        </w:rPr>
      </w:pPr>
      <w:r w:rsidRPr="000C66F8">
        <w:t xml:space="preserve">The ability of these households to afford entry-level market housing of a suitable size was then tested using the affordability criteria set out previously. The data suggests that there are 692 households that are living in unsuitable housing, need to move and cannot afford </w:t>
      </w:r>
      <w:r w:rsidR="00D83CF5">
        <w:t>market housing</w:t>
      </w:r>
      <w:r w:rsidRPr="000C66F8">
        <w:t>.</w:t>
      </w:r>
    </w:p>
    <w:p w14:paraId="372FC046" w14:textId="77777777" w:rsidR="000C66F8" w:rsidRPr="000C66F8" w:rsidRDefault="000C66F8" w:rsidP="00172F56">
      <w:pPr>
        <w:pStyle w:val="11Bodytext"/>
        <w:numPr>
          <w:ilvl w:val="0"/>
          <w:numId w:val="0"/>
        </w:numPr>
        <w:spacing w:before="0" w:after="0" w:line="300" w:lineRule="auto"/>
        <w:rPr>
          <w:color w:val="auto"/>
        </w:rPr>
      </w:pPr>
    </w:p>
    <w:p w14:paraId="571ABAF1" w14:textId="5BD4C937" w:rsidR="0007167E" w:rsidRPr="000C66F8" w:rsidRDefault="0007167E">
      <w:pPr>
        <w:pStyle w:val="11Bodytext"/>
        <w:numPr>
          <w:ilvl w:val="1"/>
          <w:numId w:val="76"/>
        </w:numPr>
        <w:spacing w:before="0" w:after="0" w:line="300" w:lineRule="auto"/>
        <w:ind w:left="720" w:hanging="720"/>
        <w:rPr>
          <w:color w:val="auto"/>
        </w:rPr>
      </w:pPr>
      <w:r w:rsidRPr="000C66F8">
        <w:t>The table below shows the tenure of these households. The results show that households in the social rented sector are most likely to be in need, followed by households living in private rented housing.</w:t>
      </w:r>
      <w:r w:rsidR="00D83CF5">
        <w:t xml:space="preserve"> Given the relative size of the private rented sector it is notable that some 63% of needs are estimated to be from </w:t>
      </w:r>
      <w:r w:rsidR="00931AE7">
        <w:t>households</w:t>
      </w:r>
      <w:r w:rsidR="00D83CF5">
        <w:t xml:space="preserve"> in this tenure.</w:t>
      </w:r>
    </w:p>
    <w:p w14:paraId="39FA6A70" w14:textId="77777777" w:rsidR="000C66F8" w:rsidRPr="000C66F8" w:rsidRDefault="000C66F8" w:rsidP="00172F56">
      <w:pPr>
        <w:pStyle w:val="11Bodytext"/>
        <w:numPr>
          <w:ilvl w:val="0"/>
          <w:numId w:val="0"/>
        </w:numPr>
        <w:spacing w:before="0" w:after="0" w:line="300" w:lineRule="auto"/>
        <w:rPr>
          <w:color w:val="auto"/>
        </w:rPr>
      </w:pPr>
    </w:p>
    <w:tbl>
      <w:tblPr>
        <w:tblStyle w:val="TableTheme"/>
        <w:tblW w:w="8199" w:type="dxa"/>
        <w:jc w:val="center"/>
        <w:tblLayout w:type="fixed"/>
        <w:tblLook w:val="0000" w:firstRow="0" w:lastRow="0" w:firstColumn="0" w:lastColumn="0" w:noHBand="0" w:noVBand="0"/>
      </w:tblPr>
      <w:tblGrid>
        <w:gridCol w:w="3256"/>
        <w:gridCol w:w="1647"/>
        <w:gridCol w:w="1648"/>
        <w:gridCol w:w="1648"/>
      </w:tblGrid>
      <w:tr w:rsidR="000C66F8" w:rsidRPr="008D4A27" w14:paraId="0B43852E" w14:textId="77777777" w:rsidTr="000C66F8">
        <w:trPr>
          <w:jc w:val="center"/>
        </w:trPr>
        <w:tc>
          <w:tcPr>
            <w:tcW w:w="8199" w:type="dxa"/>
            <w:gridSpan w:val="4"/>
          </w:tcPr>
          <w:p w14:paraId="78666527" w14:textId="25ABAC81" w:rsidR="000C66F8" w:rsidRPr="000C66F8" w:rsidRDefault="000C66F8" w:rsidP="00826AF2">
            <w:pPr>
              <w:keepNext/>
              <w:widowControl w:val="0"/>
              <w:spacing w:line="300" w:lineRule="auto"/>
              <w:jc w:val="center"/>
              <w:rPr>
                <w:rFonts w:ascii="Arial" w:hAnsi="Arial" w:cs="Arial"/>
                <w:b/>
                <w:sz w:val="20"/>
                <w:szCs w:val="20"/>
              </w:rPr>
            </w:pPr>
            <w:r w:rsidRPr="000C66F8">
              <w:rPr>
                <w:rFonts w:ascii="Arial" w:hAnsi="Arial" w:cs="Arial"/>
                <w:b/>
                <w:sz w:val="20"/>
                <w:szCs w:val="20"/>
              </w:rPr>
              <w:t>Figure 3.</w:t>
            </w:r>
            <w:r w:rsidR="00405237">
              <w:rPr>
                <w:rFonts w:ascii="Arial" w:hAnsi="Arial" w:cs="Arial"/>
                <w:b/>
                <w:sz w:val="20"/>
                <w:szCs w:val="20"/>
              </w:rPr>
              <w:t>3</w:t>
            </w:r>
            <w:r w:rsidRPr="000C66F8">
              <w:rPr>
                <w:rFonts w:ascii="Arial" w:hAnsi="Arial" w:cs="Arial"/>
                <w:b/>
                <w:sz w:val="20"/>
                <w:szCs w:val="20"/>
              </w:rPr>
              <w:t xml:space="preserve">: </w:t>
            </w:r>
            <w:r w:rsidR="00BB1FB0">
              <w:rPr>
                <w:rFonts w:ascii="Arial" w:hAnsi="Arial" w:cs="Arial"/>
                <w:b/>
                <w:sz w:val="20"/>
                <w:szCs w:val="20"/>
              </w:rPr>
              <w:t xml:space="preserve">Current </w:t>
            </w:r>
            <w:r w:rsidR="00931AE7">
              <w:rPr>
                <w:rFonts w:ascii="Arial" w:hAnsi="Arial" w:cs="Arial"/>
                <w:b/>
                <w:sz w:val="20"/>
                <w:szCs w:val="20"/>
              </w:rPr>
              <w:t>a</w:t>
            </w:r>
            <w:r w:rsidR="00931AE7" w:rsidRPr="000C66F8">
              <w:rPr>
                <w:rFonts w:ascii="Arial" w:hAnsi="Arial" w:cs="Arial"/>
                <w:b/>
                <w:sz w:val="20"/>
                <w:szCs w:val="20"/>
              </w:rPr>
              <w:t>ffordable</w:t>
            </w:r>
            <w:r w:rsidRPr="000C66F8">
              <w:rPr>
                <w:rFonts w:ascii="Arial" w:hAnsi="Arial" w:cs="Arial"/>
                <w:b/>
                <w:sz w:val="20"/>
                <w:szCs w:val="20"/>
              </w:rPr>
              <w:t xml:space="preserve"> housing need and tenure – households unable to buy OR rent</w:t>
            </w:r>
          </w:p>
        </w:tc>
      </w:tr>
      <w:tr w:rsidR="0007167E" w:rsidRPr="008D4A27" w14:paraId="41F29927" w14:textId="77777777" w:rsidTr="000C66F8">
        <w:trPr>
          <w:jc w:val="center"/>
        </w:trPr>
        <w:tc>
          <w:tcPr>
            <w:tcW w:w="3256" w:type="dxa"/>
            <w:vMerge w:val="restart"/>
          </w:tcPr>
          <w:p w14:paraId="26AC89B1" w14:textId="77777777" w:rsidR="0007167E" w:rsidRPr="008D4A27" w:rsidRDefault="0007167E" w:rsidP="00826AF2">
            <w:pPr>
              <w:keepNext/>
              <w:widowControl w:val="0"/>
              <w:spacing w:line="300" w:lineRule="auto"/>
              <w:rPr>
                <w:rFonts w:ascii="Arial" w:hAnsi="Arial" w:cs="Arial"/>
                <w:bCs/>
                <w:sz w:val="20"/>
                <w:szCs w:val="20"/>
              </w:rPr>
            </w:pPr>
            <w:r w:rsidRPr="008D4A27">
              <w:rPr>
                <w:rFonts w:ascii="Arial" w:hAnsi="Arial" w:cs="Arial"/>
                <w:bCs/>
                <w:sz w:val="20"/>
                <w:szCs w:val="20"/>
              </w:rPr>
              <w:t>Tenure</w:t>
            </w:r>
          </w:p>
        </w:tc>
        <w:tc>
          <w:tcPr>
            <w:tcW w:w="4943" w:type="dxa"/>
            <w:gridSpan w:val="3"/>
          </w:tcPr>
          <w:p w14:paraId="442B0884" w14:textId="77777777" w:rsidR="0007167E" w:rsidRPr="008D4A27" w:rsidRDefault="0007167E" w:rsidP="00826AF2">
            <w:pPr>
              <w:keepNext/>
              <w:widowControl w:val="0"/>
              <w:spacing w:line="300" w:lineRule="auto"/>
              <w:jc w:val="center"/>
              <w:rPr>
                <w:rFonts w:ascii="Arial" w:hAnsi="Arial" w:cs="Arial"/>
                <w:sz w:val="20"/>
                <w:szCs w:val="20"/>
              </w:rPr>
            </w:pPr>
            <w:r w:rsidRPr="008D4A27">
              <w:rPr>
                <w:rFonts w:ascii="Arial" w:hAnsi="Arial" w:cs="Arial"/>
                <w:bCs/>
                <w:sz w:val="20"/>
                <w:szCs w:val="20"/>
              </w:rPr>
              <w:t>Housing Need</w:t>
            </w:r>
          </w:p>
        </w:tc>
      </w:tr>
      <w:tr w:rsidR="000C66F8" w:rsidRPr="008D4A27" w14:paraId="34F42DC2" w14:textId="77777777" w:rsidTr="000C66F8">
        <w:trPr>
          <w:jc w:val="center"/>
        </w:trPr>
        <w:tc>
          <w:tcPr>
            <w:tcW w:w="3256" w:type="dxa"/>
            <w:vMerge/>
          </w:tcPr>
          <w:p w14:paraId="12EA47E9" w14:textId="77777777" w:rsidR="0007167E" w:rsidRPr="008D4A27" w:rsidRDefault="0007167E" w:rsidP="00826AF2">
            <w:pPr>
              <w:keepNext/>
              <w:widowControl w:val="0"/>
              <w:spacing w:line="300" w:lineRule="auto"/>
              <w:rPr>
                <w:rFonts w:ascii="Arial" w:hAnsi="Arial" w:cs="Arial"/>
                <w:bCs/>
                <w:sz w:val="20"/>
                <w:szCs w:val="20"/>
              </w:rPr>
            </w:pPr>
          </w:p>
        </w:tc>
        <w:tc>
          <w:tcPr>
            <w:tcW w:w="1647" w:type="dxa"/>
          </w:tcPr>
          <w:p w14:paraId="40D567D9" w14:textId="77777777" w:rsidR="0007167E" w:rsidRPr="008D4A27" w:rsidRDefault="0007167E" w:rsidP="00826AF2">
            <w:pPr>
              <w:keepNext/>
              <w:widowControl w:val="0"/>
              <w:spacing w:line="300" w:lineRule="auto"/>
              <w:jc w:val="center"/>
              <w:rPr>
                <w:rFonts w:ascii="Arial" w:hAnsi="Arial" w:cs="Arial"/>
                <w:bCs/>
                <w:sz w:val="20"/>
                <w:szCs w:val="20"/>
              </w:rPr>
            </w:pPr>
            <w:r w:rsidRPr="008D4A27">
              <w:rPr>
                <w:rFonts w:ascii="Arial" w:hAnsi="Arial" w:cs="Arial"/>
                <w:bCs/>
                <w:sz w:val="20"/>
                <w:szCs w:val="20"/>
              </w:rPr>
              <w:t>In housing need</w:t>
            </w:r>
          </w:p>
        </w:tc>
        <w:tc>
          <w:tcPr>
            <w:tcW w:w="1648" w:type="dxa"/>
          </w:tcPr>
          <w:p w14:paraId="55FDBE22" w14:textId="77777777" w:rsidR="0007167E" w:rsidRPr="008D4A27" w:rsidRDefault="0007167E" w:rsidP="00826AF2">
            <w:pPr>
              <w:keepNext/>
              <w:widowControl w:val="0"/>
              <w:spacing w:line="300" w:lineRule="auto"/>
              <w:jc w:val="center"/>
              <w:rPr>
                <w:rFonts w:ascii="Arial" w:hAnsi="Arial" w:cs="Arial"/>
                <w:bCs/>
                <w:sz w:val="20"/>
                <w:szCs w:val="20"/>
              </w:rPr>
            </w:pPr>
            <w:r w:rsidRPr="008D4A27">
              <w:rPr>
                <w:rFonts w:ascii="Arial" w:hAnsi="Arial" w:cs="Arial"/>
                <w:bCs/>
                <w:sz w:val="20"/>
                <w:szCs w:val="20"/>
              </w:rPr>
              <w:t>Total households</w:t>
            </w:r>
          </w:p>
        </w:tc>
        <w:tc>
          <w:tcPr>
            <w:tcW w:w="1648" w:type="dxa"/>
          </w:tcPr>
          <w:p w14:paraId="0273F114" w14:textId="77777777" w:rsidR="0007167E" w:rsidRPr="008D4A27" w:rsidRDefault="0007167E" w:rsidP="00826AF2">
            <w:pPr>
              <w:keepNext/>
              <w:widowControl w:val="0"/>
              <w:spacing w:line="300" w:lineRule="auto"/>
              <w:jc w:val="center"/>
              <w:rPr>
                <w:rFonts w:ascii="Arial" w:hAnsi="Arial" w:cs="Arial"/>
                <w:bCs/>
                <w:sz w:val="20"/>
                <w:szCs w:val="20"/>
              </w:rPr>
            </w:pPr>
            <w:r w:rsidRPr="008D4A27">
              <w:rPr>
                <w:rFonts w:ascii="Arial" w:hAnsi="Arial" w:cs="Arial"/>
                <w:bCs/>
                <w:sz w:val="20"/>
                <w:szCs w:val="20"/>
              </w:rPr>
              <w:t>% in need</w:t>
            </w:r>
          </w:p>
        </w:tc>
      </w:tr>
      <w:tr w:rsidR="0007167E" w:rsidRPr="008D4A27" w14:paraId="6813F49B" w14:textId="77777777" w:rsidTr="000C66F8">
        <w:trPr>
          <w:jc w:val="center"/>
        </w:trPr>
        <w:tc>
          <w:tcPr>
            <w:tcW w:w="3256" w:type="dxa"/>
          </w:tcPr>
          <w:p w14:paraId="168C4CBD" w14:textId="77777777" w:rsidR="0007167E" w:rsidRPr="008D4A27" w:rsidRDefault="0007167E" w:rsidP="00826AF2">
            <w:pPr>
              <w:keepNext/>
              <w:widowControl w:val="0"/>
              <w:spacing w:line="300" w:lineRule="auto"/>
              <w:rPr>
                <w:rFonts w:ascii="Arial" w:hAnsi="Arial" w:cs="Arial"/>
                <w:bCs/>
                <w:sz w:val="20"/>
                <w:szCs w:val="20"/>
              </w:rPr>
            </w:pPr>
            <w:r w:rsidRPr="008D4A27">
              <w:rPr>
                <w:rFonts w:ascii="Arial" w:hAnsi="Arial" w:cs="Arial"/>
                <w:bCs/>
                <w:sz w:val="20"/>
                <w:szCs w:val="20"/>
              </w:rPr>
              <w:t>Owner-occupied (no mortgage)</w:t>
            </w:r>
          </w:p>
        </w:tc>
        <w:tc>
          <w:tcPr>
            <w:tcW w:w="1647" w:type="dxa"/>
          </w:tcPr>
          <w:p w14:paraId="1F68B04D"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11</w:t>
            </w:r>
          </w:p>
        </w:tc>
        <w:tc>
          <w:tcPr>
            <w:tcW w:w="1648" w:type="dxa"/>
          </w:tcPr>
          <w:p w14:paraId="0E4031F3"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17,604</w:t>
            </w:r>
          </w:p>
        </w:tc>
        <w:tc>
          <w:tcPr>
            <w:tcW w:w="1648" w:type="dxa"/>
          </w:tcPr>
          <w:p w14:paraId="4FC8DEB0" w14:textId="77777777" w:rsidR="0007167E" w:rsidRPr="008D4A27" w:rsidRDefault="0007167E" w:rsidP="00826AF2">
            <w:pPr>
              <w:keepNext/>
              <w:spacing w:line="300" w:lineRule="auto"/>
              <w:jc w:val="center"/>
              <w:rPr>
                <w:rFonts w:ascii="Arial" w:hAnsi="Arial" w:cs="Arial"/>
                <w:sz w:val="20"/>
                <w:szCs w:val="20"/>
              </w:rPr>
            </w:pPr>
            <w:r w:rsidRPr="008D4A27">
              <w:rPr>
                <w:rFonts w:ascii="Arial" w:hAnsi="Arial" w:cs="Arial"/>
                <w:color w:val="000000"/>
                <w:sz w:val="20"/>
                <w:szCs w:val="20"/>
              </w:rPr>
              <w:t>0.1%</w:t>
            </w:r>
          </w:p>
        </w:tc>
      </w:tr>
      <w:tr w:rsidR="0007167E" w:rsidRPr="008D4A27" w14:paraId="0F66EC3B" w14:textId="77777777" w:rsidTr="000C66F8">
        <w:trPr>
          <w:jc w:val="center"/>
        </w:trPr>
        <w:tc>
          <w:tcPr>
            <w:tcW w:w="3256" w:type="dxa"/>
          </w:tcPr>
          <w:p w14:paraId="609BC303" w14:textId="77777777" w:rsidR="0007167E" w:rsidRPr="008D4A27" w:rsidRDefault="0007167E" w:rsidP="00826AF2">
            <w:pPr>
              <w:keepNext/>
              <w:widowControl w:val="0"/>
              <w:spacing w:line="300" w:lineRule="auto"/>
              <w:rPr>
                <w:rFonts w:ascii="Arial" w:hAnsi="Arial" w:cs="Arial"/>
                <w:bCs/>
                <w:sz w:val="20"/>
                <w:szCs w:val="20"/>
              </w:rPr>
            </w:pPr>
            <w:r w:rsidRPr="008D4A27">
              <w:rPr>
                <w:rFonts w:ascii="Arial" w:hAnsi="Arial" w:cs="Arial"/>
                <w:bCs/>
                <w:sz w:val="20"/>
                <w:szCs w:val="20"/>
              </w:rPr>
              <w:t>Owner-occupied (with mortgage)</w:t>
            </w:r>
          </w:p>
        </w:tc>
        <w:tc>
          <w:tcPr>
            <w:tcW w:w="1647" w:type="dxa"/>
          </w:tcPr>
          <w:p w14:paraId="529528B9"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52</w:t>
            </w:r>
          </w:p>
        </w:tc>
        <w:tc>
          <w:tcPr>
            <w:tcW w:w="1648" w:type="dxa"/>
          </w:tcPr>
          <w:p w14:paraId="3F482ADB"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10,385</w:t>
            </w:r>
          </w:p>
        </w:tc>
        <w:tc>
          <w:tcPr>
            <w:tcW w:w="1648" w:type="dxa"/>
          </w:tcPr>
          <w:p w14:paraId="4EA0F1BE" w14:textId="77777777" w:rsidR="0007167E" w:rsidRPr="008D4A27" w:rsidRDefault="0007167E" w:rsidP="00826AF2">
            <w:pPr>
              <w:keepNext/>
              <w:spacing w:line="300" w:lineRule="auto"/>
              <w:jc w:val="center"/>
              <w:rPr>
                <w:rFonts w:ascii="Arial" w:hAnsi="Arial" w:cs="Arial"/>
                <w:sz w:val="20"/>
                <w:szCs w:val="20"/>
              </w:rPr>
            </w:pPr>
            <w:r w:rsidRPr="008D4A27">
              <w:rPr>
                <w:rFonts w:ascii="Arial" w:hAnsi="Arial" w:cs="Arial"/>
                <w:color w:val="000000"/>
                <w:sz w:val="20"/>
                <w:szCs w:val="20"/>
              </w:rPr>
              <w:t>0.5%</w:t>
            </w:r>
          </w:p>
        </w:tc>
      </w:tr>
      <w:tr w:rsidR="0007167E" w:rsidRPr="008D4A27" w14:paraId="77AB73F2" w14:textId="77777777" w:rsidTr="000C66F8">
        <w:trPr>
          <w:jc w:val="center"/>
        </w:trPr>
        <w:tc>
          <w:tcPr>
            <w:tcW w:w="3256" w:type="dxa"/>
          </w:tcPr>
          <w:p w14:paraId="7A813D9D" w14:textId="77777777" w:rsidR="0007167E" w:rsidRPr="008D4A27" w:rsidRDefault="0007167E" w:rsidP="00826AF2">
            <w:pPr>
              <w:keepNext/>
              <w:widowControl w:val="0"/>
              <w:spacing w:line="300" w:lineRule="auto"/>
              <w:rPr>
                <w:rFonts w:ascii="Arial" w:hAnsi="Arial" w:cs="Arial"/>
                <w:bCs/>
                <w:sz w:val="20"/>
                <w:szCs w:val="20"/>
              </w:rPr>
            </w:pPr>
            <w:r w:rsidRPr="008D4A27">
              <w:rPr>
                <w:rFonts w:ascii="Arial" w:hAnsi="Arial" w:cs="Arial"/>
                <w:bCs/>
                <w:sz w:val="20"/>
                <w:szCs w:val="20"/>
              </w:rPr>
              <w:t>Social rented</w:t>
            </w:r>
          </w:p>
        </w:tc>
        <w:tc>
          <w:tcPr>
            <w:tcW w:w="1647" w:type="dxa"/>
          </w:tcPr>
          <w:p w14:paraId="4B25BA5A"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193</w:t>
            </w:r>
          </w:p>
        </w:tc>
        <w:tc>
          <w:tcPr>
            <w:tcW w:w="1648" w:type="dxa"/>
          </w:tcPr>
          <w:p w14:paraId="016AF487"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3,264</w:t>
            </w:r>
          </w:p>
        </w:tc>
        <w:tc>
          <w:tcPr>
            <w:tcW w:w="1648" w:type="dxa"/>
          </w:tcPr>
          <w:p w14:paraId="7F338CBF" w14:textId="77777777" w:rsidR="0007167E" w:rsidRPr="008D4A27" w:rsidRDefault="0007167E" w:rsidP="00826AF2">
            <w:pPr>
              <w:keepNext/>
              <w:spacing w:line="300" w:lineRule="auto"/>
              <w:jc w:val="center"/>
              <w:rPr>
                <w:rFonts w:ascii="Arial" w:hAnsi="Arial" w:cs="Arial"/>
                <w:sz w:val="20"/>
                <w:szCs w:val="20"/>
              </w:rPr>
            </w:pPr>
            <w:r w:rsidRPr="008D4A27">
              <w:rPr>
                <w:rFonts w:ascii="Arial" w:hAnsi="Arial" w:cs="Arial"/>
                <w:color w:val="000000"/>
                <w:sz w:val="20"/>
                <w:szCs w:val="20"/>
              </w:rPr>
              <w:t>5.9%</w:t>
            </w:r>
          </w:p>
        </w:tc>
      </w:tr>
      <w:tr w:rsidR="0007167E" w:rsidRPr="008D4A27" w14:paraId="1B7251BE" w14:textId="77777777" w:rsidTr="000C66F8">
        <w:trPr>
          <w:jc w:val="center"/>
        </w:trPr>
        <w:tc>
          <w:tcPr>
            <w:tcW w:w="3256" w:type="dxa"/>
          </w:tcPr>
          <w:p w14:paraId="078BFA56" w14:textId="77777777" w:rsidR="0007167E" w:rsidRPr="008D4A27" w:rsidRDefault="0007167E" w:rsidP="00826AF2">
            <w:pPr>
              <w:keepNext/>
              <w:widowControl w:val="0"/>
              <w:spacing w:line="300" w:lineRule="auto"/>
              <w:rPr>
                <w:rFonts w:ascii="Arial" w:hAnsi="Arial" w:cs="Arial"/>
                <w:bCs/>
                <w:sz w:val="20"/>
                <w:szCs w:val="20"/>
              </w:rPr>
            </w:pPr>
            <w:r w:rsidRPr="008D4A27">
              <w:rPr>
                <w:rFonts w:ascii="Arial" w:hAnsi="Arial" w:cs="Arial"/>
                <w:bCs/>
                <w:sz w:val="20"/>
                <w:szCs w:val="20"/>
              </w:rPr>
              <w:t>Private rented</w:t>
            </w:r>
          </w:p>
        </w:tc>
        <w:tc>
          <w:tcPr>
            <w:tcW w:w="1647" w:type="dxa"/>
          </w:tcPr>
          <w:p w14:paraId="200F6C9E"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437</w:t>
            </w:r>
          </w:p>
        </w:tc>
        <w:tc>
          <w:tcPr>
            <w:tcW w:w="1648" w:type="dxa"/>
          </w:tcPr>
          <w:p w14:paraId="0AC6A5CB"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7,746</w:t>
            </w:r>
          </w:p>
        </w:tc>
        <w:tc>
          <w:tcPr>
            <w:tcW w:w="1648" w:type="dxa"/>
          </w:tcPr>
          <w:p w14:paraId="01D31FA9" w14:textId="77777777" w:rsidR="0007167E" w:rsidRPr="008D4A27" w:rsidRDefault="0007167E" w:rsidP="00826AF2">
            <w:pPr>
              <w:keepNext/>
              <w:spacing w:line="300" w:lineRule="auto"/>
              <w:jc w:val="center"/>
              <w:rPr>
                <w:rFonts w:ascii="Arial" w:hAnsi="Arial" w:cs="Arial"/>
                <w:sz w:val="20"/>
                <w:szCs w:val="20"/>
              </w:rPr>
            </w:pPr>
            <w:r w:rsidRPr="008D4A27">
              <w:rPr>
                <w:rFonts w:ascii="Arial" w:hAnsi="Arial" w:cs="Arial"/>
                <w:color w:val="000000"/>
                <w:sz w:val="20"/>
                <w:szCs w:val="20"/>
              </w:rPr>
              <w:t>5.6%</w:t>
            </w:r>
          </w:p>
        </w:tc>
      </w:tr>
      <w:tr w:rsidR="0007167E" w:rsidRPr="008D4A27" w14:paraId="2F71BBE1" w14:textId="77777777" w:rsidTr="000C66F8">
        <w:trPr>
          <w:jc w:val="center"/>
        </w:trPr>
        <w:tc>
          <w:tcPr>
            <w:tcW w:w="3256" w:type="dxa"/>
          </w:tcPr>
          <w:p w14:paraId="0BB6941C" w14:textId="77777777" w:rsidR="0007167E" w:rsidRPr="008D4A27" w:rsidRDefault="0007167E" w:rsidP="00826AF2">
            <w:pPr>
              <w:keepNext/>
              <w:widowControl w:val="0"/>
              <w:spacing w:line="300" w:lineRule="auto"/>
              <w:rPr>
                <w:rFonts w:ascii="Arial" w:hAnsi="Arial" w:cs="Arial"/>
                <w:bCs/>
                <w:sz w:val="20"/>
                <w:szCs w:val="20"/>
              </w:rPr>
            </w:pPr>
            <w:r w:rsidRPr="008D4A27">
              <w:rPr>
                <w:rFonts w:ascii="Arial" w:hAnsi="Arial" w:cs="Arial"/>
                <w:bCs/>
                <w:sz w:val="20"/>
                <w:szCs w:val="20"/>
              </w:rPr>
              <w:t>Total</w:t>
            </w:r>
          </w:p>
        </w:tc>
        <w:tc>
          <w:tcPr>
            <w:tcW w:w="1647" w:type="dxa"/>
          </w:tcPr>
          <w:p w14:paraId="765CB57C"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692</w:t>
            </w:r>
          </w:p>
        </w:tc>
        <w:tc>
          <w:tcPr>
            <w:tcW w:w="1648" w:type="dxa"/>
          </w:tcPr>
          <w:p w14:paraId="5DAB428B"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39,000</w:t>
            </w:r>
          </w:p>
        </w:tc>
        <w:tc>
          <w:tcPr>
            <w:tcW w:w="1648" w:type="dxa"/>
          </w:tcPr>
          <w:p w14:paraId="0E24A8F0" w14:textId="77777777" w:rsidR="0007167E" w:rsidRPr="008D4A27" w:rsidRDefault="0007167E" w:rsidP="00826AF2">
            <w:pPr>
              <w:keepNext/>
              <w:spacing w:line="300" w:lineRule="auto"/>
              <w:jc w:val="center"/>
              <w:rPr>
                <w:rFonts w:ascii="Arial" w:hAnsi="Arial" w:cs="Arial"/>
                <w:sz w:val="20"/>
                <w:szCs w:val="20"/>
              </w:rPr>
            </w:pPr>
            <w:r w:rsidRPr="008D4A27">
              <w:rPr>
                <w:rFonts w:ascii="Arial" w:hAnsi="Arial" w:cs="Arial"/>
                <w:color w:val="000000"/>
                <w:sz w:val="20"/>
                <w:szCs w:val="20"/>
              </w:rPr>
              <w:t>1.8%</w:t>
            </w:r>
          </w:p>
        </w:tc>
      </w:tr>
    </w:tbl>
    <w:p w14:paraId="39418586" w14:textId="4C8A0AD7" w:rsidR="0007167E" w:rsidRDefault="00AB789F" w:rsidP="00826AF2">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0C0E9902" w14:textId="77777777" w:rsidR="00DD0AB9" w:rsidRPr="000C66F8" w:rsidRDefault="00DD0AB9" w:rsidP="00172F56">
      <w:pPr>
        <w:pStyle w:val="11Bodytext"/>
        <w:numPr>
          <w:ilvl w:val="0"/>
          <w:numId w:val="0"/>
        </w:numPr>
        <w:spacing w:before="0" w:after="0" w:line="300" w:lineRule="auto"/>
        <w:rPr>
          <w:color w:val="auto"/>
        </w:rPr>
      </w:pPr>
    </w:p>
    <w:p w14:paraId="21AC36E7" w14:textId="79582A03" w:rsidR="0007167E" w:rsidRPr="000C66F8" w:rsidRDefault="0007167E">
      <w:pPr>
        <w:pStyle w:val="11Bodytext"/>
        <w:numPr>
          <w:ilvl w:val="1"/>
          <w:numId w:val="76"/>
        </w:numPr>
        <w:spacing w:before="0" w:after="0" w:line="300" w:lineRule="auto"/>
        <w:ind w:left="720" w:hanging="720"/>
        <w:rPr>
          <w:color w:val="auto"/>
        </w:rPr>
      </w:pPr>
      <w:r w:rsidRPr="000C66F8">
        <w:t>For the purposes of the housing needs assessment, households considered to be in housing need have been split into two categories: current occupiers of affordable housing in need (i.e. social rented), and households from other tenures in need. It is estimated that some 193 households in need currently live in affordable housing</w:t>
      </w:r>
      <w:r w:rsidR="00F4424E">
        <w:rPr>
          <w:rStyle w:val="CommentReference"/>
          <w:rFonts w:eastAsia="Times New Roman" w:cs="Times New Roman"/>
          <w:bCs w:val="0"/>
          <w:color w:val="auto"/>
          <w:lang w:eastAsia="en-US"/>
        </w:rPr>
        <w:t xml:space="preserve">, </w:t>
      </w:r>
      <w:r w:rsidR="006A7BFD">
        <w:t>499</w:t>
      </w:r>
      <w:r w:rsidR="00944AEA">
        <w:t xml:space="preserve"> </w:t>
      </w:r>
      <w:r w:rsidR="00F4424E">
        <w:t xml:space="preserve">are </w:t>
      </w:r>
      <w:r w:rsidRPr="000C66F8">
        <w:t>in other tenures.</w:t>
      </w:r>
    </w:p>
    <w:p w14:paraId="36A6C76E" w14:textId="77777777" w:rsidR="000C66F8" w:rsidRPr="000C66F8" w:rsidRDefault="000C66F8" w:rsidP="00172F56">
      <w:pPr>
        <w:pStyle w:val="11Bodytext"/>
        <w:numPr>
          <w:ilvl w:val="0"/>
          <w:numId w:val="0"/>
        </w:numPr>
        <w:spacing w:before="0" w:after="0" w:line="300" w:lineRule="auto"/>
        <w:rPr>
          <w:color w:val="auto"/>
        </w:rPr>
      </w:pPr>
    </w:p>
    <w:p w14:paraId="66C311DC" w14:textId="46509B84" w:rsidR="0007167E" w:rsidRPr="000C66F8" w:rsidRDefault="0007167E">
      <w:pPr>
        <w:pStyle w:val="11Bodytext"/>
        <w:numPr>
          <w:ilvl w:val="1"/>
          <w:numId w:val="76"/>
        </w:numPr>
        <w:spacing w:before="0" w:after="0" w:line="300" w:lineRule="auto"/>
        <w:ind w:left="720" w:hanging="720"/>
        <w:rPr>
          <w:color w:val="auto"/>
        </w:rPr>
      </w:pPr>
      <w:r>
        <w:t xml:space="preserve">The Housing Needs Assessment is a ‘snapshot’ that assesses housing need at a particular point in time. There will, in addition to the existing households in need, be some homeless households who were in need at the time of the assessment and should also be included within any calculation of backlog need. To assess the number of homeless households we have used information from the </w:t>
      </w:r>
      <w:r w:rsidR="006A7BFD">
        <w:t>Council</w:t>
      </w:r>
      <w:r>
        <w:t xml:space="preserve"> about households living in temporary accommodation – this shows a further </w:t>
      </w:r>
      <w:r w:rsidR="006A7BFD">
        <w:t>2</w:t>
      </w:r>
      <w:r>
        <w:t>8 households as in need</w:t>
      </w:r>
      <w:r w:rsidR="006A7BFD">
        <w:t xml:space="preserve"> for the fourth quarter of 2021/22</w:t>
      </w:r>
      <w:r>
        <w:t>.</w:t>
      </w:r>
    </w:p>
    <w:p w14:paraId="642762C1" w14:textId="77777777" w:rsidR="000C66F8" w:rsidRPr="000C66F8" w:rsidRDefault="000C66F8" w:rsidP="00172F56">
      <w:pPr>
        <w:pStyle w:val="11Bodytext"/>
        <w:numPr>
          <w:ilvl w:val="0"/>
          <w:numId w:val="0"/>
        </w:numPr>
        <w:spacing w:before="0" w:after="0" w:line="300" w:lineRule="auto"/>
        <w:rPr>
          <w:color w:val="auto"/>
        </w:rPr>
      </w:pPr>
    </w:p>
    <w:p w14:paraId="64910BDF" w14:textId="50F8947F" w:rsidR="0007167E" w:rsidRPr="00172F56" w:rsidRDefault="0007167E">
      <w:pPr>
        <w:pStyle w:val="11Bodytext"/>
        <w:numPr>
          <w:ilvl w:val="1"/>
          <w:numId w:val="76"/>
        </w:numPr>
        <w:spacing w:before="0" w:after="0" w:line="300" w:lineRule="auto"/>
        <w:ind w:left="720" w:hanging="720"/>
        <w:rPr>
          <w:color w:val="auto"/>
        </w:rPr>
      </w:pPr>
      <w:r>
        <w:t xml:space="preserve">Adding this figure to the estimated current need from survey data (of </w:t>
      </w:r>
      <w:r w:rsidR="001814CE">
        <w:t xml:space="preserve">692 </w:t>
      </w:r>
      <w:r>
        <w:t xml:space="preserve">households) gives a total estimated need of </w:t>
      </w:r>
      <w:r w:rsidR="001814CE">
        <w:t>720</w:t>
      </w:r>
      <w:r>
        <w:t xml:space="preserve"> – this represents the number of households with a need currently. For the purposes of analysis, it is assumed that the local authority would seek to meet this need over a period of time. </w:t>
      </w:r>
      <w:r w:rsidR="00377CA5">
        <w:t xml:space="preserve">Conventionally, surveys of this nature seek to meet the need over a 5-year period and so </w:t>
      </w:r>
      <w:r>
        <w:t xml:space="preserve">the need is annualised by dividing by </w:t>
      </w:r>
      <w:r w:rsidR="00377CA5">
        <w:t xml:space="preserve">5 </w:t>
      </w:r>
      <w:r>
        <w:t xml:space="preserve">(to give an annual need for </w:t>
      </w:r>
      <w:r w:rsidR="001814CE">
        <w:t>144</w:t>
      </w:r>
      <w:r w:rsidR="006A7BFD">
        <w:t xml:space="preserve"> </w:t>
      </w:r>
      <w:r>
        <w:t>dwellings across all areas). .</w:t>
      </w:r>
    </w:p>
    <w:p w14:paraId="10B1461E" w14:textId="4A043A33" w:rsidR="006A7BFD" w:rsidRDefault="006A7BFD">
      <w:pPr>
        <w:pStyle w:val="11Bodytext"/>
        <w:numPr>
          <w:ilvl w:val="0"/>
          <w:numId w:val="0"/>
        </w:numPr>
        <w:spacing w:before="0" w:after="0" w:line="300" w:lineRule="auto"/>
        <w:rPr>
          <w:color w:val="auto"/>
        </w:rPr>
      </w:pPr>
    </w:p>
    <w:p w14:paraId="1F39A619" w14:textId="284A3056" w:rsidR="00177D13" w:rsidRDefault="00177D13">
      <w:pPr>
        <w:pStyle w:val="11Bodytext"/>
        <w:numPr>
          <w:ilvl w:val="0"/>
          <w:numId w:val="0"/>
        </w:numPr>
        <w:spacing w:before="0" w:after="0" w:line="300" w:lineRule="auto"/>
        <w:rPr>
          <w:color w:val="auto"/>
        </w:rPr>
      </w:pPr>
    </w:p>
    <w:p w14:paraId="412D0AB0" w14:textId="6B0DA15A" w:rsidR="00177D13" w:rsidRDefault="00177D13">
      <w:pPr>
        <w:pStyle w:val="11Bodytext"/>
        <w:numPr>
          <w:ilvl w:val="0"/>
          <w:numId w:val="0"/>
        </w:numPr>
        <w:spacing w:before="0" w:after="0" w:line="300" w:lineRule="auto"/>
        <w:rPr>
          <w:color w:val="auto"/>
        </w:rPr>
      </w:pPr>
    </w:p>
    <w:p w14:paraId="04F3EAC4" w14:textId="15CE0EEB" w:rsidR="00177D13" w:rsidRDefault="00177D13">
      <w:pPr>
        <w:pStyle w:val="11Bodytext"/>
        <w:numPr>
          <w:ilvl w:val="0"/>
          <w:numId w:val="0"/>
        </w:numPr>
        <w:spacing w:before="0" w:after="0" w:line="300" w:lineRule="auto"/>
        <w:rPr>
          <w:color w:val="auto"/>
        </w:rPr>
      </w:pPr>
    </w:p>
    <w:p w14:paraId="1D1F1A06" w14:textId="77777777" w:rsidR="00177D13" w:rsidRPr="00172F56" w:rsidRDefault="00177D13" w:rsidP="00172F56">
      <w:pPr>
        <w:pStyle w:val="11Bodytext"/>
        <w:numPr>
          <w:ilvl w:val="0"/>
          <w:numId w:val="0"/>
        </w:numPr>
        <w:spacing w:before="0" w:after="0" w:line="300" w:lineRule="auto"/>
        <w:rPr>
          <w:color w:val="auto"/>
        </w:rPr>
      </w:pPr>
    </w:p>
    <w:p w14:paraId="4795F096" w14:textId="60CF146F" w:rsidR="006A7BFD" w:rsidRPr="000C66F8" w:rsidRDefault="006A7BFD">
      <w:pPr>
        <w:pStyle w:val="11Bodytext"/>
        <w:numPr>
          <w:ilvl w:val="1"/>
          <w:numId w:val="76"/>
        </w:numPr>
        <w:spacing w:before="0" w:after="0" w:line="300" w:lineRule="auto"/>
        <w:ind w:left="720" w:hanging="720"/>
        <w:rPr>
          <w:color w:val="auto"/>
        </w:rPr>
      </w:pPr>
      <w:r>
        <w:rPr>
          <w:color w:val="auto"/>
        </w:rPr>
        <w:t xml:space="preserve">The estimate of current affordable need can be compared with data from the MyHomeChoice Housing Register which as of March 2022 showed a total of 598 households registered </w:t>
      </w:r>
      <w:r w:rsidR="001814CE">
        <w:rPr>
          <w:color w:val="auto"/>
        </w:rPr>
        <w:t xml:space="preserve">(excluding those currently in affordable housing) </w:t>
      </w:r>
      <w:r>
        <w:rPr>
          <w:color w:val="auto"/>
        </w:rPr>
        <w:t>– suggesting the survey is picking up a similar number. However, it should be noted of the 598 only 138 are considered to be in a reasonable preference category which does imply that the Register applies quite a strict definition of need.</w:t>
      </w:r>
      <w:r w:rsidR="00377CA5">
        <w:rPr>
          <w:color w:val="auto"/>
        </w:rPr>
        <w:t xml:space="preserve"> The 138 figure represents about 0.4% of all households in the Borough, whereas nationally around 2.3% of </w:t>
      </w:r>
      <w:r w:rsidR="00931AE7">
        <w:rPr>
          <w:color w:val="auto"/>
        </w:rPr>
        <w:t>households</w:t>
      </w:r>
      <w:r w:rsidR="00377CA5">
        <w:rPr>
          <w:color w:val="auto"/>
        </w:rPr>
        <w:t xml:space="preserve"> are registered and in a </w:t>
      </w:r>
      <w:r w:rsidR="00931AE7">
        <w:rPr>
          <w:color w:val="auto"/>
        </w:rPr>
        <w:t>reasonable</w:t>
      </w:r>
      <w:r w:rsidR="00377CA5">
        <w:rPr>
          <w:color w:val="auto"/>
        </w:rPr>
        <w:t xml:space="preserve"> preference category.</w:t>
      </w:r>
    </w:p>
    <w:p w14:paraId="2108AC88" w14:textId="320F8DA8" w:rsidR="2804310E" w:rsidRDefault="2804310E" w:rsidP="00172F56">
      <w:pPr>
        <w:pStyle w:val="11Bodytext"/>
        <w:numPr>
          <w:ilvl w:val="1"/>
          <w:numId w:val="0"/>
        </w:numPr>
        <w:spacing w:before="0" w:after="0" w:line="300" w:lineRule="auto"/>
        <w:rPr>
          <w:color w:val="000000" w:themeColor="text1"/>
        </w:rPr>
      </w:pPr>
    </w:p>
    <w:p w14:paraId="11AA8C33" w14:textId="5D1E59A5" w:rsidR="2804310E" w:rsidRDefault="2804310E" w:rsidP="00172F56">
      <w:pPr>
        <w:pStyle w:val="11Bodytext"/>
        <w:numPr>
          <w:ilvl w:val="1"/>
          <w:numId w:val="0"/>
        </w:numPr>
        <w:spacing w:before="0" w:after="0" w:line="300" w:lineRule="auto"/>
        <w:rPr>
          <w:color w:val="000000" w:themeColor="text1"/>
        </w:rPr>
      </w:pPr>
      <w:r w:rsidRPr="00172F56">
        <w:rPr>
          <w:b/>
          <w:color w:val="000000" w:themeColor="text1"/>
        </w:rPr>
        <w:t>Current need for Affordable Housing to Buy</w:t>
      </w:r>
    </w:p>
    <w:p w14:paraId="5C21EB1D" w14:textId="77777777" w:rsidR="000C66F8" w:rsidRPr="000C66F8" w:rsidRDefault="000C66F8" w:rsidP="00172F56">
      <w:pPr>
        <w:pStyle w:val="11Bodytext"/>
        <w:numPr>
          <w:ilvl w:val="0"/>
          <w:numId w:val="0"/>
        </w:numPr>
        <w:spacing w:before="0" w:after="0" w:line="300" w:lineRule="auto"/>
        <w:rPr>
          <w:color w:val="auto"/>
        </w:rPr>
      </w:pPr>
    </w:p>
    <w:p w14:paraId="2B8159E2" w14:textId="781A1270" w:rsidR="0007167E" w:rsidRPr="000C66F8" w:rsidRDefault="0007167E">
      <w:pPr>
        <w:pStyle w:val="11Bodytext"/>
        <w:numPr>
          <w:ilvl w:val="1"/>
          <w:numId w:val="76"/>
        </w:numPr>
        <w:spacing w:before="0" w:after="0" w:line="300" w:lineRule="auto"/>
        <w:ind w:left="720" w:hanging="720"/>
        <w:rPr>
          <w:color w:val="auto"/>
        </w:rPr>
      </w:pPr>
      <w:r w:rsidRPr="2804310E">
        <w:rPr>
          <w:rFonts w:eastAsiaTheme="majorEastAsia"/>
        </w:rPr>
        <w:t xml:space="preserve">A similar analysis has been undertaken for households who are able to afford to rent a home but not buy, with the table below showing affordable need for this group. In total, 347 households </w:t>
      </w:r>
      <w:r w:rsidR="003F25CA" w:rsidRPr="2804310E">
        <w:rPr>
          <w:rFonts w:eastAsiaTheme="majorEastAsia"/>
        </w:rPr>
        <w:t>indicate a need for</w:t>
      </w:r>
      <w:r w:rsidRPr="2804310E">
        <w:rPr>
          <w:rFonts w:eastAsiaTheme="majorEastAsia"/>
        </w:rPr>
        <w:t xml:space="preserve"> affordable home ownership, with 232 of these in the private rented sector.</w:t>
      </w:r>
    </w:p>
    <w:p w14:paraId="16F71AD1" w14:textId="77777777" w:rsidR="000C66F8" w:rsidRPr="000C66F8" w:rsidRDefault="000C66F8" w:rsidP="00172F56">
      <w:pPr>
        <w:pStyle w:val="11Bodytext"/>
        <w:numPr>
          <w:ilvl w:val="0"/>
          <w:numId w:val="0"/>
        </w:numPr>
        <w:spacing w:before="0" w:after="0" w:line="300" w:lineRule="auto"/>
        <w:rPr>
          <w:color w:val="auto"/>
        </w:rPr>
      </w:pPr>
    </w:p>
    <w:tbl>
      <w:tblPr>
        <w:tblStyle w:val="TableTheme"/>
        <w:tblW w:w="8199" w:type="dxa"/>
        <w:jc w:val="center"/>
        <w:tblLayout w:type="fixed"/>
        <w:tblLook w:val="0000" w:firstRow="0" w:lastRow="0" w:firstColumn="0" w:lastColumn="0" w:noHBand="0" w:noVBand="0"/>
      </w:tblPr>
      <w:tblGrid>
        <w:gridCol w:w="3256"/>
        <w:gridCol w:w="1647"/>
        <w:gridCol w:w="1648"/>
        <w:gridCol w:w="1648"/>
      </w:tblGrid>
      <w:tr w:rsidR="000C66F8" w:rsidRPr="000C66F8" w14:paraId="19E111C0" w14:textId="77777777" w:rsidTr="008469E3">
        <w:trPr>
          <w:jc w:val="center"/>
        </w:trPr>
        <w:tc>
          <w:tcPr>
            <w:tcW w:w="8199" w:type="dxa"/>
            <w:gridSpan w:val="4"/>
          </w:tcPr>
          <w:p w14:paraId="053D4086" w14:textId="1B42567D" w:rsidR="000C66F8" w:rsidRPr="000C66F8" w:rsidRDefault="000C66F8" w:rsidP="00826AF2">
            <w:pPr>
              <w:keepNext/>
              <w:widowControl w:val="0"/>
              <w:spacing w:line="300" w:lineRule="auto"/>
              <w:jc w:val="center"/>
              <w:rPr>
                <w:rFonts w:ascii="Arial" w:hAnsi="Arial" w:cs="Arial"/>
                <w:b/>
                <w:sz w:val="20"/>
                <w:szCs w:val="20"/>
              </w:rPr>
            </w:pPr>
            <w:r w:rsidRPr="000C66F8">
              <w:rPr>
                <w:rFonts w:ascii="Arial" w:hAnsi="Arial" w:cs="Arial"/>
                <w:b/>
                <w:sz w:val="20"/>
                <w:szCs w:val="20"/>
              </w:rPr>
              <w:t>Figure 3.</w:t>
            </w:r>
            <w:r w:rsidR="00405237">
              <w:rPr>
                <w:rFonts w:ascii="Arial" w:hAnsi="Arial" w:cs="Arial"/>
                <w:b/>
                <w:sz w:val="20"/>
                <w:szCs w:val="20"/>
              </w:rPr>
              <w:t>4</w:t>
            </w:r>
            <w:r w:rsidRPr="000C66F8">
              <w:rPr>
                <w:rFonts w:ascii="Arial" w:hAnsi="Arial" w:cs="Arial"/>
                <w:b/>
                <w:sz w:val="20"/>
                <w:szCs w:val="20"/>
              </w:rPr>
              <w:t>: Affordable housing need and tenure – households able to rent but NOT buy</w:t>
            </w:r>
          </w:p>
        </w:tc>
      </w:tr>
      <w:tr w:rsidR="0007167E" w:rsidRPr="008D4A27" w14:paraId="1C20C050" w14:textId="77777777" w:rsidTr="000C66F8">
        <w:trPr>
          <w:jc w:val="center"/>
        </w:trPr>
        <w:tc>
          <w:tcPr>
            <w:tcW w:w="3256" w:type="dxa"/>
            <w:vMerge w:val="restart"/>
          </w:tcPr>
          <w:p w14:paraId="73EE60E4" w14:textId="77777777" w:rsidR="0007167E" w:rsidRPr="008D4A27" w:rsidRDefault="0007167E" w:rsidP="00826AF2">
            <w:pPr>
              <w:keepNext/>
              <w:widowControl w:val="0"/>
              <w:spacing w:line="300" w:lineRule="auto"/>
              <w:rPr>
                <w:rFonts w:ascii="Arial" w:hAnsi="Arial" w:cs="Arial"/>
                <w:bCs/>
                <w:sz w:val="20"/>
                <w:szCs w:val="20"/>
              </w:rPr>
            </w:pPr>
            <w:r w:rsidRPr="008D4A27">
              <w:rPr>
                <w:rFonts w:ascii="Arial" w:hAnsi="Arial" w:cs="Arial"/>
                <w:bCs/>
                <w:sz w:val="20"/>
                <w:szCs w:val="20"/>
              </w:rPr>
              <w:t>Tenure</w:t>
            </w:r>
          </w:p>
        </w:tc>
        <w:tc>
          <w:tcPr>
            <w:tcW w:w="4943" w:type="dxa"/>
            <w:gridSpan w:val="3"/>
          </w:tcPr>
          <w:p w14:paraId="1B07FA79" w14:textId="77777777" w:rsidR="0007167E" w:rsidRPr="008D4A27" w:rsidRDefault="0007167E" w:rsidP="00826AF2">
            <w:pPr>
              <w:keepNext/>
              <w:widowControl w:val="0"/>
              <w:spacing w:line="300" w:lineRule="auto"/>
              <w:jc w:val="center"/>
              <w:rPr>
                <w:rFonts w:ascii="Arial" w:hAnsi="Arial" w:cs="Arial"/>
                <w:sz w:val="20"/>
                <w:szCs w:val="20"/>
              </w:rPr>
            </w:pPr>
            <w:r w:rsidRPr="008D4A27">
              <w:rPr>
                <w:rFonts w:ascii="Arial" w:hAnsi="Arial" w:cs="Arial"/>
                <w:bCs/>
                <w:sz w:val="20"/>
                <w:szCs w:val="20"/>
              </w:rPr>
              <w:t>Housing Need</w:t>
            </w:r>
          </w:p>
        </w:tc>
      </w:tr>
      <w:tr w:rsidR="000C66F8" w:rsidRPr="008D4A27" w14:paraId="439D3FB4" w14:textId="77777777" w:rsidTr="000C66F8">
        <w:trPr>
          <w:jc w:val="center"/>
        </w:trPr>
        <w:tc>
          <w:tcPr>
            <w:tcW w:w="3256" w:type="dxa"/>
            <w:vMerge/>
          </w:tcPr>
          <w:p w14:paraId="2F7E7410" w14:textId="77777777" w:rsidR="0007167E" w:rsidRPr="008D4A27" w:rsidRDefault="0007167E" w:rsidP="00826AF2">
            <w:pPr>
              <w:keepNext/>
              <w:widowControl w:val="0"/>
              <w:spacing w:line="300" w:lineRule="auto"/>
              <w:rPr>
                <w:rFonts w:ascii="Arial" w:hAnsi="Arial" w:cs="Arial"/>
                <w:bCs/>
                <w:sz w:val="20"/>
                <w:szCs w:val="20"/>
              </w:rPr>
            </w:pPr>
          </w:p>
        </w:tc>
        <w:tc>
          <w:tcPr>
            <w:tcW w:w="1647" w:type="dxa"/>
          </w:tcPr>
          <w:p w14:paraId="213749BB" w14:textId="77777777" w:rsidR="0007167E" w:rsidRPr="008D4A27" w:rsidRDefault="0007167E" w:rsidP="00826AF2">
            <w:pPr>
              <w:keepNext/>
              <w:widowControl w:val="0"/>
              <w:spacing w:line="300" w:lineRule="auto"/>
              <w:jc w:val="center"/>
              <w:rPr>
                <w:rFonts w:ascii="Arial" w:hAnsi="Arial" w:cs="Arial"/>
                <w:bCs/>
                <w:sz w:val="20"/>
                <w:szCs w:val="20"/>
              </w:rPr>
            </w:pPr>
            <w:r w:rsidRPr="008D4A27">
              <w:rPr>
                <w:rFonts w:ascii="Arial" w:hAnsi="Arial" w:cs="Arial"/>
                <w:bCs/>
                <w:sz w:val="20"/>
                <w:szCs w:val="20"/>
              </w:rPr>
              <w:t>In housing need</w:t>
            </w:r>
          </w:p>
        </w:tc>
        <w:tc>
          <w:tcPr>
            <w:tcW w:w="1648" w:type="dxa"/>
          </w:tcPr>
          <w:p w14:paraId="61143C16" w14:textId="77777777" w:rsidR="0007167E" w:rsidRPr="008D4A27" w:rsidRDefault="0007167E" w:rsidP="00826AF2">
            <w:pPr>
              <w:keepNext/>
              <w:widowControl w:val="0"/>
              <w:spacing w:line="300" w:lineRule="auto"/>
              <w:jc w:val="center"/>
              <w:rPr>
                <w:rFonts w:ascii="Arial" w:hAnsi="Arial" w:cs="Arial"/>
                <w:bCs/>
                <w:sz w:val="20"/>
                <w:szCs w:val="20"/>
              </w:rPr>
            </w:pPr>
            <w:r w:rsidRPr="008D4A27">
              <w:rPr>
                <w:rFonts w:ascii="Arial" w:hAnsi="Arial" w:cs="Arial"/>
                <w:bCs/>
                <w:sz w:val="20"/>
                <w:szCs w:val="20"/>
              </w:rPr>
              <w:t>Total households</w:t>
            </w:r>
          </w:p>
        </w:tc>
        <w:tc>
          <w:tcPr>
            <w:tcW w:w="1648" w:type="dxa"/>
          </w:tcPr>
          <w:p w14:paraId="6051F7D3" w14:textId="77777777" w:rsidR="0007167E" w:rsidRPr="008D4A27" w:rsidRDefault="0007167E" w:rsidP="00826AF2">
            <w:pPr>
              <w:keepNext/>
              <w:widowControl w:val="0"/>
              <w:spacing w:line="300" w:lineRule="auto"/>
              <w:jc w:val="center"/>
              <w:rPr>
                <w:rFonts w:ascii="Arial" w:hAnsi="Arial" w:cs="Arial"/>
                <w:bCs/>
                <w:sz w:val="20"/>
                <w:szCs w:val="20"/>
              </w:rPr>
            </w:pPr>
            <w:r w:rsidRPr="008D4A27">
              <w:rPr>
                <w:rFonts w:ascii="Arial" w:hAnsi="Arial" w:cs="Arial"/>
                <w:bCs/>
                <w:sz w:val="20"/>
                <w:szCs w:val="20"/>
              </w:rPr>
              <w:t>% in need</w:t>
            </w:r>
          </w:p>
        </w:tc>
      </w:tr>
      <w:tr w:rsidR="000C66F8" w:rsidRPr="008D4A27" w14:paraId="01E83AC7" w14:textId="77777777" w:rsidTr="000C66F8">
        <w:trPr>
          <w:jc w:val="center"/>
        </w:trPr>
        <w:tc>
          <w:tcPr>
            <w:tcW w:w="3256" w:type="dxa"/>
          </w:tcPr>
          <w:p w14:paraId="02A1C55F" w14:textId="77777777" w:rsidR="0007167E" w:rsidRPr="008D4A27" w:rsidRDefault="0007167E" w:rsidP="00826AF2">
            <w:pPr>
              <w:keepNext/>
              <w:widowControl w:val="0"/>
              <w:spacing w:line="300" w:lineRule="auto"/>
              <w:rPr>
                <w:rFonts w:ascii="Arial" w:hAnsi="Arial" w:cs="Arial"/>
                <w:bCs/>
                <w:sz w:val="20"/>
                <w:szCs w:val="20"/>
              </w:rPr>
            </w:pPr>
            <w:r w:rsidRPr="008D4A27">
              <w:rPr>
                <w:rFonts w:ascii="Arial" w:hAnsi="Arial" w:cs="Arial"/>
                <w:bCs/>
                <w:sz w:val="20"/>
                <w:szCs w:val="20"/>
              </w:rPr>
              <w:t>Owner-occupied (no mortgage)</w:t>
            </w:r>
          </w:p>
        </w:tc>
        <w:tc>
          <w:tcPr>
            <w:tcW w:w="1647" w:type="dxa"/>
          </w:tcPr>
          <w:p w14:paraId="131D6CFC"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0</w:t>
            </w:r>
          </w:p>
        </w:tc>
        <w:tc>
          <w:tcPr>
            <w:tcW w:w="1648" w:type="dxa"/>
          </w:tcPr>
          <w:p w14:paraId="6AEABE1D"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17,604</w:t>
            </w:r>
          </w:p>
        </w:tc>
        <w:tc>
          <w:tcPr>
            <w:tcW w:w="1648" w:type="dxa"/>
          </w:tcPr>
          <w:p w14:paraId="4A8C42B7" w14:textId="77777777" w:rsidR="0007167E" w:rsidRPr="008D4A27" w:rsidRDefault="0007167E" w:rsidP="00826AF2">
            <w:pPr>
              <w:keepNext/>
              <w:spacing w:line="300" w:lineRule="auto"/>
              <w:jc w:val="center"/>
              <w:rPr>
                <w:rFonts w:ascii="Arial" w:hAnsi="Arial" w:cs="Arial"/>
                <w:sz w:val="20"/>
                <w:szCs w:val="20"/>
              </w:rPr>
            </w:pPr>
            <w:r w:rsidRPr="008D4A27">
              <w:rPr>
                <w:rFonts w:ascii="Arial" w:hAnsi="Arial" w:cs="Arial"/>
                <w:color w:val="000000"/>
                <w:sz w:val="20"/>
                <w:szCs w:val="20"/>
              </w:rPr>
              <w:t>0.0%</w:t>
            </w:r>
          </w:p>
        </w:tc>
      </w:tr>
      <w:tr w:rsidR="000C66F8" w:rsidRPr="008D4A27" w14:paraId="0B395E47" w14:textId="77777777" w:rsidTr="000C66F8">
        <w:trPr>
          <w:jc w:val="center"/>
        </w:trPr>
        <w:tc>
          <w:tcPr>
            <w:tcW w:w="3256" w:type="dxa"/>
          </w:tcPr>
          <w:p w14:paraId="4523A508" w14:textId="77777777" w:rsidR="0007167E" w:rsidRPr="008D4A27" w:rsidRDefault="0007167E" w:rsidP="00826AF2">
            <w:pPr>
              <w:keepNext/>
              <w:widowControl w:val="0"/>
              <w:spacing w:line="300" w:lineRule="auto"/>
              <w:rPr>
                <w:rFonts w:ascii="Arial" w:hAnsi="Arial" w:cs="Arial"/>
                <w:bCs/>
                <w:sz w:val="20"/>
                <w:szCs w:val="20"/>
              </w:rPr>
            </w:pPr>
            <w:r w:rsidRPr="008D4A27">
              <w:rPr>
                <w:rFonts w:ascii="Arial" w:hAnsi="Arial" w:cs="Arial"/>
                <w:bCs/>
                <w:sz w:val="20"/>
                <w:szCs w:val="20"/>
              </w:rPr>
              <w:t>Owner-occupied (with mortgage)</w:t>
            </w:r>
          </w:p>
        </w:tc>
        <w:tc>
          <w:tcPr>
            <w:tcW w:w="1647" w:type="dxa"/>
          </w:tcPr>
          <w:p w14:paraId="037EFB5B"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0</w:t>
            </w:r>
          </w:p>
        </w:tc>
        <w:tc>
          <w:tcPr>
            <w:tcW w:w="1648" w:type="dxa"/>
          </w:tcPr>
          <w:p w14:paraId="397D7533"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10,385</w:t>
            </w:r>
          </w:p>
        </w:tc>
        <w:tc>
          <w:tcPr>
            <w:tcW w:w="1648" w:type="dxa"/>
          </w:tcPr>
          <w:p w14:paraId="1D0606A3" w14:textId="77777777" w:rsidR="0007167E" w:rsidRPr="008D4A27" w:rsidRDefault="0007167E" w:rsidP="00826AF2">
            <w:pPr>
              <w:keepNext/>
              <w:spacing w:line="300" w:lineRule="auto"/>
              <w:jc w:val="center"/>
              <w:rPr>
                <w:rFonts w:ascii="Arial" w:hAnsi="Arial" w:cs="Arial"/>
                <w:sz w:val="20"/>
                <w:szCs w:val="20"/>
              </w:rPr>
            </w:pPr>
            <w:r w:rsidRPr="008D4A27">
              <w:rPr>
                <w:rFonts w:ascii="Arial" w:hAnsi="Arial" w:cs="Arial"/>
                <w:color w:val="000000"/>
                <w:sz w:val="20"/>
                <w:szCs w:val="20"/>
              </w:rPr>
              <w:t>0.0%</w:t>
            </w:r>
          </w:p>
        </w:tc>
      </w:tr>
      <w:tr w:rsidR="000C66F8" w:rsidRPr="008D4A27" w14:paraId="17982769" w14:textId="77777777" w:rsidTr="000C66F8">
        <w:trPr>
          <w:jc w:val="center"/>
        </w:trPr>
        <w:tc>
          <w:tcPr>
            <w:tcW w:w="3256" w:type="dxa"/>
          </w:tcPr>
          <w:p w14:paraId="32E29313" w14:textId="77777777" w:rsidR="0007167E" w:rsidRPr="008D4A27" w:rsidRDefault="0007167E" w:rsidP="00826AF2">
            <w:pPr>
              <w:keepNext/>
              <w:widowControl w:val="0"/>
              <w:spacing w:line="300" w:lineRule="auto"/>
              <w:rPr>
                <w:rFonts w:ascii="Arial" w:hAnsi="Arial" w:cs="Arial"/>
                <w:bCs/>
                <w:sz w:val="20"/>
                <w:szCs w:val="20"/>
              </w:rPr>
            </w:pPr>
            <w:r w:rsidRPr="008D4A27">
              <w:rPr>
                <w:rFonts w:ascii="Arial" w:hAnsi="Arial" w:cs="Arial"/>
                <w:bCs/>
                <w:sz w:val="20"/>
                <w:szCs w:val="20"/>
              </w:rPr>
              <w:t>Social rented</w:t>
            </w:r>
          </w:p>
        </w:tc>
        <w:tc>
          <w:tcPr>
            <w:tcW w:w="1647" w:type="dxa"/>
          </w:tcPr>
          <w:p w14:paraId="39310C1B"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115</w:t>
            </w:r>
          </w:p>
        </w:tc>
        <w:tc>
          <w:tcPr>
            <w:tcW w:w="1648" w:type="dxa"/>
          </w:tcPr>
          <w:p w14:paraId="29AA373C"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3,264</w:t>
            </w:r>
          </w:p>
        </w:tc>
        <w:tc>
          <w:tcPr>
            <w:tcW w:w="1648" w:type="dxa"/>
          </w:tcPr>
          <w:p w14:paraId="0215C0F5" w14:textId="77777777" w:rsidR="0007167E" w:rsidRPr="008D4A27" w:rsidRDefault="0007167E" w:rsidP="00826AF2">
            <w:pPr>
              <w:keepNext/>
              <w:spacing w:line="300" w:lineRule="auto"/>
              <w:jc w:val="center"/>
              <w:rPr>
                <w:rFonts w:ascii="Arial" w:hAnsi="Arial" w:cs="Arial"/>
                <w:sz w:val="20"/>
                <w:szCs w:val="20"/>
              </w:rPr>
            </w:pPr>
            <w:r w:rsidRPr="008D4A27">
              <w:rPr>
                <w:rFonts w:ascii="Arial" w:hAnsi="Arial" w:cs="Arial"/>
                <w:color w:val="000000"/>
                <w:sz w:val="20"/>
                <w:szCs w:val="20"/>
              </w:rPr>
              <w:t>3.5%</w:t>
            </w:r>
          </w:p>
        </w:tc>
      </w:tr>
      <w:tr w:rsidR="000C66F8" w:rsidRPr="008D4A27" w14:paraId="6B2B1409" w14:textId="77777777" w:rsidTr="000C66F8">
        <w:trPr>
          <w:jc w:val="center"/>
        </w:trPr>
        <w:tc>
          <w:tcPr>
            <w:tcW w:w="3256" w:type="dxa"/>
          </w:tcPr>
          <w:p w14:paraId="432CA7A9" w14:textId="77777777" w:rsidR="0007167E" w:rsidRPr="008D4A27" w:rsidRDefault="0007167E" w:rsidP="00826AF2">
            <w:pPr>
              <w:keepNext/>
              <w:widowControl w:val="0"/>
              <w:spacing w:line="300" w:lineRule="auto"/>
              <w:rPr>
                <w:rFonts w:ascii="Arial" w:hAnsi="Arial" w:cs="Arial"/>
                <w:bCs/>
                <w:sz w:val="20"/>
                <w:szCs w:val="20"/>
              </w:rPr>
            </w:pPr>
            <w:r w:rsidRPr="008D4A27">
              <w:rPr>
                <w:rFonts w:ascii="Arial" w:hAnsi="Arial" w:cs="Arial"/>
                <w:bCs/>
                <w:sz w:val="20"/>
                <w:szCs w:val="20"/>
              </w:rPr>
              <w:t>Private rented</w:t>
            </w:r>
          </w:p>
        </w:tc>
        <w:tc>
          <w:tcPr>
            <w:tcW w:w="1647" w:type="dxa"/>
          </w:tcPr>
          <w:p w14:paraId="2328D7F0"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232</w:t>
            </w:r>
          </w:p>
        </w:tc>
        <w:tc>
          <w:tcPr>
            <w:tcW w:w="1648" w:type="dxa"/>
          </w:tcPr>
          <w:p w14:paraId="70F0C7FC"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7,746</w:t>
            </w:r>
          </w:p>
        </w:tc>
        <w:tc>
          <w:tcPr>
            <w:tcW w:w="1648" w:type="dxa"/>
          </w:tcPr>
          <w:p w14:paraId="6034F86B" w14:textId="77777777" w:rsidR="0007167E" w:rsidRPr="008D4A27" w:rsidRDefault="0007167E" w:rsidP="00826AF2">
            <w:pPr>
              <w:keepNext/>
              <w:spacing w:line="300" w:lineRule="auto"/>
              <w:jc w:val="center"/>
              <w:rPr>
                <w:rFonts w:ascii="Arial" w:hAnsi="Arial" w:cs="Arial"/>
                <w:sz w:val="20"/>
                <w:szCs w:val="20"/>
              </w:rPr>
            </w:pPr>
            <w:r w:rsidRPr="008D4A27">
              <w:rPr>
                <w:rFonts w:ascii="Arial" w:hAnsi="Arial" w:cs="Arial"/>
                <w:color w:val="000000"/>
                <w:sz w:val="20"/>
                <w:szCs w:val="20"/>
              </w:rPr>
              <w:t>3.0%</w:t>
            </w:r>
          </w:p>
        </w:tc>
      </w:tr>
      <w:tr w:rsidR="000C66F8" w:rsidRPr="008D4A27" w14:paraId="474277C4" w14:textId="77777777" w:rsidTr="000C66F8">
        <w:trPr>
          <w:jc w:val="center"/>
        </w:trPr>
        <w:tc>
          <w:tcPr>
            <w:tcW w:w="3256" w:type="dxa"/>
          </w:tcPr>
          <w:p w14:paraId="6EAC7E13" w14:textId="77777777" w:rsidR="0007167E" w:rsidRPr="008D4A27" w:rsidRDefault="0007167E" w:rsidP="00826AF2">
            <w:pPr>
              <w:keepNext/>
              <w:widowControl w:val="0"/>
              <w:spacing w:line="300" w:lineRule="auto"/>
              <w:rPr>
                <w:rFonts w:ascii="Arial" w:hAnsi="Arial" w:cs="Arial"/>
                <w:bCs/>
                <w:sz w:val="20"/>
                <w:szCs w:val="20"/>
              </w:rPr>
            </w:pPr>
            <w:r w:rsidRPr="008D4A27">
              <w:rPr>
                <w:rFonts w:ascii="Arial" w:hAnsi="Arial" w:cs="Arial"/>
                <w:bCs/>
                <w:sz w:val="20"/>
                <w:szCs w:val="20"/>
              </w:rPr>
              <w:t>Total</w:t>
            </w:r>
          </w:p>
        </w:tc>
        <w:tc>
          <w:tcPr>
            <w:tcW w:w="1647" w:type="dxa"/>
          </w:tcPr>
          <w:p w14:paraId="6A6D92D0"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347</w:t>
            </w:r>
          </w:p>
        </w:tc>
        <w:tc>
          <w:tcPr>
            <w:tcW w:w="1648" w:type="dxa"/>
          </w:tcPr>
          <w:p w14:paraId="08A635C5" w14:textId="77777777" w:rsidR="0007167E" w:rsidRPr="008D4A27" w:rsidRDefault="0007167E" w:rsidP="00826AF2">
            <w:pPr>
              <w:keepNext/>
              <w:spacing w:line="300" w:lineRule="auto"/>
              <w:jc w:val="center"/>
              <w:rPr>
                <w:rFonts w:ascii="Arial" w:hAnsi="Arial" w:cs="Arial"/>
                <w:color w:val="000000"/>
                <w:sz w:val="20"/>
                <w:szCs w:val="20"/>
              </w:rPr>
            </w:pPr>
            <w:r w:rsidRPr="008D4A27">
              <w:rPr>
                <w:rFonts w:ascii="Arial" w:hAnsi="Arial" w:cs="Arial"/>
                <w:color w:val="000000"/>
                <w:sz w:val="20"/>
                <w:szCs w:val="20"/>
              </w:rPr>
              <w:t>39,000</w:t>
            </w:r>
          </w:p>
        </w:tc>
        <w:tc>
          <w:tcPr>
            <w:tcW w:w="1648" w:type="dxa"/>
          </w:tcPr>
          <w:p w14:paraId="6B6971DF" w14:textId="77777777" w:rsidR="0007167E" w:rsidRPr="008D4A27" w:rsidRDefault="0007167E" w:rsidP="00826AF2">
            <w:pPr>
              <w:keepNext/>
              <w:spacing w:line="300" w:lineRule="auto"/>
              <w:jc w:val="center"/>
              <w:rPr>
                <w:rFonts w:ascii="Arial" w:hAnsi="Arial" w:cs="Arial"/>
                <w:sz w:val="20"/>
                <w:szCs w:val="20"/>
              </w:rPr>
            </w:pPr>
            <w:r w:rsidRPr="008D4A27">
              <w:rPr>
                <w:rFonts w:ascii="Arial" w:hAnsi="Arial" w:cs="Arial"/>
                <w:color w:val="000000"/>
                <w:sz w:val="20"/>
                <w:szCs w:val="20"/>
              </w:rPr>
              <w:t>0.9%</w:t>
            </w:r>
          </w:p>
        </w:tc>
      </w:tr>
    </w:tbl>
    <w:p w14:paraId="5BF96880" w14:textId="21674D45" w:rsidR="0007167E" w:rsidRDefault="00AB789F" w:rsidP="00826AF2">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64250D84" w14:textId="77777777" w:rsidR="000C66F8" w:rsidRDefault="000C66F8" w:rsidP="00172F56">
      <w:pPr>
        <w:pStyle w:val="11Bodytext"/>
        <w:numPr>
          <w:ilvl w:val="0"/>
          <w:numId w:val="0"/>
        </w:numPr>
        <w:spacing w:before="0" w:after="0" w:line="300" w:lineRule="auto"/>
      </w:pPr>
    </w:p>
    <w:p w14:paraId="7C8467AD" w14:textId="69EA20F4" w:rsidR="000C66F8" w:rsidRPr="00657095" w:rsidRDefault="000C66F8" w:rsidP="00172F56">
      <w:pPr>
        <w:pStyle w:val="11Bodytext"/>
        <w:numPr>
          <w:ilvl w:val="0"/>
          <w:numId w:val="0"/>
        </w:numPr>
        <w:spacing w:before="0" w:after="0" w:line="300" w:lineRule="auto"/>
        <w:rPr>
          <w:b/>
          <w:bCs w:val="0"/>
        </w:rPr>
      </w:pPr>
      <w:r>
        <w:rPr>
          <w:b/>
          <w:bCs w:val="0"/>
        </w:rPr>
        <w:t>Newly Forming Households</w:t>
      </w:r>
    </w:p>
    <w:p w14:paraId="7E8A592C" w14:textId="77777777" w:rsidR="000C66F8" w:rsidRPr="00657095" w:rsidRDefault="000C66F8" w:rsidP="00172F56">
      <w:pPr>
        <w:pStyle w:val="11Bodytext"/>
        <w:numPr>
          <w:ilvl w:val="0"/>
          <w:numId w:val="0"/>
        </w:numPr>
        <w:spacing w:before="0" w:after="0" w:line="300" w:lineRule="auto"/>
        <w:rPr>
          <w:color w:val="auto"/>
        </w:rPr>
      </w:pPr>
    </w:p>
    <w:p w14:paraId="2C36155A" w14:textId="5564AAD5" w:rsidR="0007167E" w:rsidRPr="00DA7C15" w:rsidRDefault="0007167E">
      <w:pPr>
        <w:pStyle w:val="11Bodytext"/>
        <w:numPr>
          <w:ilvl w:val="1"/>
          <w:numId w:val="76"/>
        </w:numPr>
        <w:spacing w:before="0" w:after="0" w:line="300" w:lineRule="auto"/>
        <w:ind w:left="720" w:hanging="720"/>
        <w:rPr>
          <w:color w:val="auto"/>
        </w:rPr>
      </w:pPr>
      <w:r>
        <w:t xml:space="preserve">The number of newly forming households has been estimated through survey data as the number of new households expected to form over the next five years (and then annualised). In total, some </w:t>
      </w:r>
      <w:r w:rsidR="00F646D5">
        <w:t>2,797</w:t>
      </w:r>
      <w:r>
        <w:t xml:space="preserve"> households indicated the presence of a newly forming household and this is </w:t>
      </w:r>
      <w:r w:rsidR="00F646D5">
        <w:t xml:space="preserve">559 </w:t>
      </w:r>
      <w:r>
        <w:t>per annum.</w:t>
      </w:r>
      <w:r w:rsidR="00F646D5">
        <w:t xml:space="preserve"> This figure takes account of respondents who are likely to form a new households with another person and also discounts those moving to live with an existing household (e.g. someone moving to be with a partner at their current accommodation).</w:t>
      </w:r>
    </w:p>
    <w:p w14:paraId="2D9FE4B6" w14:textId="77777777" w:rsidR="00DA7C15" w:rsidRPr="00DA7C15" w:rsidRDefault="00DA7C15" w:rsidP="00172F56">
      <w:pPr>
        <w:pStyle w:val="11Bodytext"/>
        <w:numPr>
          <w:ilvl w:val="0"/>
          <w:numId w:val="0"/>
        </w:numPr>
        <w:spacing w:before="0" w:after="0" w:line="300" w:lineRule="auto"/>
        <w:rPr>
          <w:color w:val="auto"/>
        </w:rPr>
      </w:pPr>
    </w:p>
    <w:p w14:paraId="31DDD897" w14:textId="20371D12" w:rsidR="0007167E" w:rsidRPr="00DA7C15" w:rsidRDefault="0007167E">
      <w:pPr>
        <w:pStyle w:val="11Bodytext"/>
        <w:numPr>
          <w:ilvl w:val="1"/>
          <w:numId w:val="76"/>
        </w:numPr>
        <w:spacing w:before="0" w:after="0" w:line="300" w:lineRule="auto"/>
        <w:ind w:left="720" w:hanging="720"/>
        <w:rPr>
          <w:color w:val="auto"/>
        </w:rPr>
      </w:pPr>
      <w:r>
        <w:t>In assessing the ability of newly forming households to afford market housing, data has been drawn from the household survey, taking account of typical incomes of households who have recently formed as well as the incomes of households identified in the survey as being future movers</w:t>
      </w:r>
      <w:r w:rsidR="00DA7C15">
        <w:t xml:space="preserve"> (analysis provided in the previous section)</w:t>
      </w:r>
      <w:r>
        <w:t>.</w:t>
      </w:r>
    </w:p>
    <w:p w14:paraId="7D62F275" w14:textId="77777777" w:rsidR="00DA7C15" w:rsidRPr="00DA7C15" w:rsidRDefault="00DA7C15" w:rsidP="00172F56">
      <w:pPr>
        <w:pStyle w:val="11Bodytext"/>
        <w:numPr>
          <w:ilvl w:val="0"/>
          <w:numId w:val="0"/>
        </w:numPr>
        <w:spacing w:before="0" w:after="0" w:line="300" w:lineRule="auto"/>
        <w:rPr>
          <w:color w:val="auto"/>
        </w:rPr>
      </w:pPr>
    </w:p>
    <w:p w14:paraId="4640876C" w14:textId="61DFC71B" w:rsidR="00DA7C15" w:rsidRPr="00DA7C15" w:rsidRDefault="0007167E">
      <w:pPr>
        <w:pStyle w:val="11Bodytext"/>
        <w:numPr>
          <w:ilvl w:val="1"/>
          <w:numId w:val="76"/>
        </w:numPr>
        <w:spacing w:before="0" w:after="0" w:line="300" w:lineRule="auto"/>
        <w:ind w:left="720" w:hanging="720"/>
        <w:rPr>
          <w:color w:val="auto"/>
        </w:rPr>
      </w:pPr>
      <w:r>
        <w:t>The analysis has therefore adjusted the income data of newly forming households to reflect the difference between current incomes and likely incomes at time of forming</w:t>
      </w:r>
      <w:r w:rsidR="00F646D5">
        <w:t xml:space="preserve"> – this will include the potential uplift to income for two households coming together to form a new household</w:t>
      </w:r>
      <w:r>
        <w:t>. In doing this it is possible to calculate the proportion of households unable to afford market housing. For the purposes of the need for social/affordable rented housing this will relate to households unable to afford to buy OR rent in the market.</w:t>
      </w:r>
    </w:p>
    <w:p w14:paraId="03FF644D" w14:textId="77777777" w:rsidR="00DA7C15" w:rsidRDefault="00DA7C15" w:rsidP="00172F56">
      <w:pPr>
        <w:pStyle w:val="11Bodytext"/>
        <w:numPr>
          <w:ilvl w:val="0"/>
          <w:numId w:val="0"/>
        </w:numPr>
        <w:spacing w:before="0" w:after="0" w:line="300" w:lineRule="auto"/>
        <w:rPr>
          <w:color w:val="auto"/>
        </w:rPr>
      </w:pPr>
    </w:p>
    <w:p w14:paraId="517A3798" w14:textId="11FA8E14" w:rsidR="0007167E" w:rsidRPr="00172F56" w:rsidRDefault="0007167E">
      <w:pPr>
        <w:pStyle w:val="11Bodytext"/>
        <w:numPr>
          <w:ilvl w:val="1"/>
          <w:numId w:val="76"/>
        </w:numPr>
        <w:spacing w:before="0" w:after="0" w:line="300" w:lineRule="auto"/>
        <w:ind w:left="720" w:hanging="720"/>
        <w:rPr>
          <w:color w:val="auto"/>
        </w:rPr>
      </w:pPr>
      <w:r>
        <w:t xml:space="preserve">The assessment suggests overall that around two-fifths of newly forming households will be unable to afford market housing (to rent privately) and this equates to a total of </w:t>
      </w:r>
      <w:r w:rsidR="00F646D5">
        <w:t xml:space="preserve">1,024 </w:t>
      </w:r>
      <w:r>
        <w:t xml:space="preserve">newly forming households which will have a need </w:t>
      </w:r>
      <w:r w:rsidR="00F646D5">
        <w:t xml:space="preserve">(and average of 205 </w:t>
      </w:r>
      <w:r>
        <w:t>per annum on average</w:t>
      </w:r>
      <w:r w:rsidR="00F646D5">
        <w:t>)</w:t>
      </w:r>
      <w:r>
        <w:t xml:space="preserve"> across the study area – the table below provides a breakdown by sub-area.</w:t>
      </w:r>
      <w:r w:rsidR="00F646D5">
        <w:t xml:space="preserve"> This is the number who would be unable to afford to rent privately without the need to claim Housing Benefit (or Universal Credit with a housing element) or for whom it would be necessary to spend more than 30% of their gross income on housing.</w:t>
      </w:r>
    </w:p>
    <w:p w14:paraId="69CF33E8" w14:textId="79E32039" w:rsidR="00F646D5" w:rsidRDefault="00F646D5">
      <w:pPr>
        <w:pStyle w:val="11Bodytext"/>
        <w:numPr>
          <w:ilvl w:val="0"/>
          <w:numId w:val="0"/>
        </w:numPr>
        <w:spacing w:before="0" w:after="0" w:line="300" w:lineRule="auto"/>
        <w:rPr>
          <w:color w:val="auto"/>
        </w:rPr>
      </w:pPr>
    </w:p>
    <w:tbl>
      <w:tblPr>
        <w:tblStyle w:val="TableGrid10"/>
        <w:tblW w:w="0" w:type="auto"/>
        <w:tblLook w:val="04A0" w:firstRow="1" w:lastRow="0" w:firstColumn="1" w:lastColumn="0" w:noHBand="0" w:noVBand="1"/>
      </w:tblPr>
      <w:tblGrid>
        <w:gridCol w:w="1545"/>
        <w:gridCol w:w="1346"/>
        <w:gridCol w:w="1346"/>
        <w:gridCol w:w="1346"/>
        <w:gridCol w:w="1346"/>
        <w:gridCol w:w="1346"/>
        <w:gridCol w:w="1347"/>
      </w:tblGrid>
      <w:tr w:rsidR="00826AF2" w14:paraId="4B446F1E" w14:textId="77777777" w:rsidTr="00172F56">
        <w:tc>
          <w:tcPr>
            <w:tcW w:w="9622" w:type="dxa"/>
            <w:gridSpan w:val="7"/>
            <w:vAlign w:val="center"/>
          </w:tcPr>
          <w:p w14:paraId="5508BCEB" w14:textId="44007329" w:rsidR="00826AF2" w:rsidRDefault="00826AF2" w:rsidP="00172F56">
            <w:pPr>
              <w:pStyle w:val="11Bodytext"/>
              <w:numPr>
                <w:ilvl w:val="0"/>
                <w:numId w:val="0"/>
              </w:numPr>
              <w:spacing w:before="0" w:after="0" w:line="300" w:lineRule="auto"/>
              <w:jc w:val="center"/>
              <w:rPr>
                <w:color w:val="auto"/>
              </w:rPr>
            </w:pPr>
            <w:r w:rsidRPr="2804310E">
              <w:rPr>
                <w:b/>
              </w:rPr>
              <w:t>Figure 3.</w:t>
            </w:r>
            <w:r w:rsidR="00DF6242">
              <w:rPr>
                <w:b/>
              </w:rPr>
              <w:t>5</w:t>
            </w:r>
            <w:r w:rsidRPr="2804310E">
              <w:rPr>
                <w:b/>
              </w:rPr>
              <w:t>: Estimated Need for Social/Affordable Rented Housing from Newly Forming Households (</w:t>
            </w:r>
            <w:r>
              <w:rPr>
                <w:b/>
              </w:rPr>
              <w:t>next 5-years</w:t>
            </w:r>
            <w:r w:rsidRPr="2804310E">
              <w:rPr>
                <w:b/>
              </w:rPr>
              <w:t>)</w:t>
            </w:r>
          </w:p>
        </w:tc>
      </w:tr>
      <w:tr w:rsidR="00826AF2" w14:paraId="29D05470" w14:textId="77777777" w:rsidTr="00172F56">
        <w:tc>
          <w:tcPr>
            <w:tcW w:w="1545" w:type="dxa"/>
            <w:vAlign w:val="center"/>
          </w:tcPr>
          <w:p w14:paraId="1B67B362" w14:textId="77777777" w:rsidR="00826AF2" w:rsidRDefault="00826AF2" w:rsidP="00172F56">
            <w:pPr>
              <w:pStyle w:val="11Bodytext"/>
              <w:numPr>
                <w:ilvl w:val="0"/>
                <w:numId w:val="0"/>
              </w:numPr>
              <w:spacing w:before="0" w:after="0" w:line="300" w:lineRule="auto"/>
              <w:jc w:val="left"/>
              <w:rPr>
                <w:color w:val="auto"/>
              </w:rPr>
            </w:pPr>
          </w:p>
        </w:tc>
        <w:tc>
          <w:tcPr>
            <w:tcW w:w="1346" w:type="dxa"/>
            <w:vAlign w:val="center"/>
          </w:tcPr>
          <w:p w14:paraId="74597623" w14:textId="14E37EB1" w:rsidR="00826AF2" w:rsidRDefault="00826AF2" w:rsidP="00172F56">
            <w:pPr>
              <w:pStyle w:val="11Bodytext"/>
              <w:numPr>
                <w:ilvl w:val="0"/>
                <w:numId w:val="0"/>
              </w:numPr>
              <w:spacing w:before="0" w:after="0" w:line="300" w:lineRule="auto"/>
              <w:jc w:val="center"/>
              <w:rPr>
                <w:color w:val="auto"/>
              </w:rPr>
            </w:pPr>
            <w:r w:rsidRPr="2804310E">
              <w:t>Total Number of new households</w:t>
            </w:r>
          </w:p>
        </w:tc>
        <w:tc>
          <w:tcPr>
            <w:tcW w:w="1346" w:type="dxa"/>
            <w:vAlign w:val="center"/>
          </w:tcPr>
          <w:p w14:paraId="27161E1E" w14:textId="768000F9" w:rsidR="00826AF2" w:rsidRDefault="00826AF2" w:rsidP="00172F56">
            <w:pPr>
              <w:pStyle w:val="11Bodytext"/>
              <w:numPr>
                <w:ilvl w:val="0"/>
                <w:numId w:val="0"/>
              </w:numPr>
              <w:spacing w:before="0" w:after="0" w:line="300" w:lineRule="auto"/>
              <w:jc w:val="center"/>
              <w:rPr>
                <w:color w:val="auto"/>
              </w:rPr>
            </w:pPr>
            <w:r w:rsidRPr="00C320CE">
              <w:t>1</w:t>
            </w:r>
            <w:r>
              <w:t>-b</w:t>
            </w:r>
            <w:r w:rsidRPr="00C320CE">
              <w:t>edroom need</w:t>
            </w:r>
          </w:p>
        </w:tc>
        <w:tc>
          <w:tcPr>
            <w:tcW w:w="1346" w:type="dxa"/>
            <w:vAlign w:val="center"/>
          </w:tcPr>
          <w:p w14:paraId="168E330D" w14:textId="27B244E6" w:rsidR="00826AF2" w:rsidRDefault="00826AF2" w:rsidP="00172F56">
            <w:pPr>
              <w:pStyle w:val="11Bodytext"/>
              <w:numPr>
                <w:ilvl w:val="0"/>
                <w:numId w:val="0"/>
              </w:numPr>
              <w:spacing w:before="0" w:after="0" w:line="300" w:lineRule="auto"/>
              <w:jc w:val="center"/>
              <w:rPr>
                <w:color w:val="auto"/>
              </w:rPr>
            </w:pPr>
            <w:r w:rsidRPr="00C320CE">
              <w:t>2</w:t>
            </w:r>
            <w:r>
              <w:t>-b</w:t>
            </w:r>
            <w:r w:rsidRPr="00C320CE">
              <w:t>edroom need</w:t>
            </w:r>
          </w:p>
        </w:tc>
        <w:tc>
          <w:tcPr>
            <w:tcW w:w="1346" w:type="dxa"/>
            <w:vAlign w:val="center"/>
          </w:tcPr>
          <w:p w14:paraId="68493E81" w14:textId="7D09E984" w:rsidR="00826AF2" w:rsidRDefault="00826AF2" w:rsidP="00172F56">
            <w:pPr>
              <w:pStyle w:val="11Bodytext"/>
              <w:numPr>
                <w:ilvl w:val="0"/>
                <w:numId w:val="0"/>
              </w:numPr>
              <w:spacing w:before="0" w:after="0" w:line="300" w:lineRule="auto"/>
              <w:jc w:val="center"/>
              <w:rPr>
                <w:color w:val="auto"/>
              </w:rPr>
            </w:pPr>
            <w:r w:rsidRPr="00C320CE">
              <w:t>3</w:t>
            </w:r>
            <w:r>
              <w:t>+-b</w:t>
            </w:r>
            <w:r w:rsidRPr="00C320CE">
              <w:t>edroom need</w:t>
            </w:r>
          </w:p>
        </w:tc>
        <w:tc>
          <w:tcPr>
            <w:tcW w:w="1346" w:type="dxa"/>
            <w:vAlign w:val="center"/>
          </w:tcPr>
          <w:p w14:paraId="5CEFD153" w14:textId="0050757A" w:rsidR="00826AF2" w:rsidRDefault="00826AF2" w:rsidP="00172F56">
            <w:pPr>
              <w:pStyle w:val="11Bodytext"/>
              <w:numPr>
                <w:ilvl w:val="0"/>
                <w:numId w:val="0"/>
              </w:numPr>
              <w:spacing w:before="0" w:after="0" w:line="300" w:lineRule="auto"/>
              <w:jc w:val="center"/>
              <w:rPr>
                <w:color w:val="auto"/>
              </w:rPr>
            </w:pPr>
            <w:r w:rsidRPr="008D4A27">
              <w:t>% unable to afford</w:t>
            </w:r>
            <w:r>
              <w:t xml:space="preserve"> market housing</w:t>
            </w:r>
          </w:p>
        </w:tc>
        <w:tc>
          <w:tcPr>
            <w:tcW w:w="1347" w:type="dxa"/>
            <w:vAlign w:val="center"/>
          </w:tcPr>
          <w:p w14:paraId="773E3DA8" w14:textId="29B77B00" w:rsidR="00826AF2" w:rsidRDefault="00826AF2" w:rsidP="00172F56">
            <w:pPr>
              <w:pStyle w:val="11Bodytext"/>
              <w:numPr>
                <w:ilvl w:val="0"/>
                <w:numId w:val="0"/>
              </w:numPr>
              <w:spacing w:before="0" w:after="0" w:line="300" w:lineRule="auto"/>
              <w:jc w:val="center"/>
              <w:rPr>
                <w:color w:val="auto"/>
              </w:rPr>
            </w:pPr>
            <w:r>
              <w:t>N</w:t>
            </w:r>
            <w:r w:rsidRPr="008D4A27">
              <w:t xml:space="preserve">ewly forming households unable to afford </w:t>
            </w:r>
            <w:r>
              <w:t xml:space="preserve">market </w:t>
            </w:r>
            <w:r w:rsidRPr="008D4A27">
              <w:t>rent</w:t>
            </w:r>
            <w:r>
              <w:t>s</w:t>
            </w:r>
          </w:p>
        </w:tc>
      </w:tr>
      <w:tr w:rsidR="00826AF2" w14:paraId="32502BD3" w14:textId="77777777" w:rsidTr="00172F56">
        <w:tc>
          <w:tcPr>
            <w:tcW w:w="1545" w:type="dxa"/>
            <w:vAlign w:val="center"/>
          </w:tcPr>
          <w:p w14:paraId="384410A6" w14:textId="7EF672E2" w:rsidR="00826AF2" w:rsidRDefault="00826AF2" w:rsidP="00172F56">
            <w:pPr>
              <w:pStyle w:val="11Bodytext"/>
              <w:numPr>
                <w:ilvl w:val="0"/>
                <w:numId w:val="0"/>
              </w:numPr>
              <w:spacing w:before="0" w:after="0" w:line="300" w:lineRule="auto"/>
              <w:jc w:val="left"/>
              <w:rPr>
                <w:color w:val="auto"/>
              </w:rPr>
            </w:pPr>
            <w:r>
              <w:t>St. Annes</w:t>
            </w:r>
          </w:p>
        </w:tc>
        <w:tc>
          <w:tcPr>
            <w:tcW w:w="1346" w:type="dxa"/>
            <w:vAlign w:val="center"/>
          </w:tcPr>
          <w:p w14:paraId="263F807B" w14:textId="4FA2460E" w:rsidR="00826AF2" w:rsidRDefault="00826AF2" w:rsidP="00172F56">
            <w:pPr>
              <w:pStyle w:val="11Bodytext"/>
              <w:numPr>
                <w:ilvl w:val="0"/>
                <w:numId w:val="0"/>
              </w:numPr>
              <w:spacing w:before="0" w:after="0" w:line="300" w:lineRule="auto"/>
              <w:jc w:val="center"/>
              <w:rPr>
                <w:color w:val="auto"/>
              </w:rPr>
            </w:pPr>
            <w:r w:rsidRPr="00D732CB">
              <w:t>891</w:t>
            </w:r>
          </w:p>
        </w:tc>
        <w:tc>
          <w:tcPr>
            <w:tcW w:w="1346" w:type="dxa"/>
            <w:vAlign w:val="center"/>
          </w:tcPr>
          <w:p w14:paraId="6D30AFCB" w14:textId="1F666DF7" w:rsidR="00826AF2" w:rsidRDefault="00826AF2" w:rsidP="00172F56">
            <w:pPr>
              <w:pStyle w:val="11Bodytext"/>
              <w:numPr>
                <w:ilvl w:val="0"/>
                <w:numId w:val="0"/>
              </w:numPr>
              <w:spacing w:before="0" w:after="0" w:line="300" w:lineRule="auto"/>
              <w:jc w:val="center"/>
              <w:rPr>
                <w:color w:val="auto"/>
              </w:rPr>
            </w:pPr>
            <w:r w:rsidRPr="0092551A">
              <w:t>278</w:t>
            </w:r>
          </w:p>
        </w:tc>
        <w:tc>
          <w:tcPr>
            <w:tcW w:w="1346" w:type="dxa"/>
            <w:vAlign w:val="center"/>
          </w:tcPr>
          <w:p w14:paraId="7FD4F907" w14:textId="37955F45" w:rsidR="00826AF2" w:rsidRDefault="00826AF2" w:rsidP="00172F56">
            <w:pPr>
              <w:pStyle w:val="11Bodytext"/>
              <w:numPr>
                <w:ilvl w:val="0"/>
                <w:numId w:val="0"/>
              </w:numPr>
              <w:spacing w:before="0" w:after="0" w:line="300" w:lineRule="auto"/>
              <w:jc w:val="center"/>
              <w:rPr>
                <w:color w:val="auto"/>
              </w:rPr>
            </w:pPr>
            <w:r w:rsidRPr="0092551A">
              <w:t>520</w:t>
            </w:r>
          </w:p>
        </w:tc>
        <w:tc>
          <w:tcPr>
            <w:tcW w:w="1346" w:type="dxa"/>
            <w:vAlign w:val="center"/>
          </w:tcPr>
          <w:p w14:paraId="28626C2B" w14:textId="787498EE" w:rsidR="00826AF2" w:rsidRDefault="00826AF2" w:rsidP="00172F56">
            <w:pPr>
              <w:pStyle w:val="11Bodytext"/>
              <w:numPr>
                <w:ilvl w:val="0"/>
                <w:numId w:val="0"/>
              </w:numPr>
              <w:spacing w:before="0" w:after="0" w:line="300" w:lineRule="auto"/>
              <w:jc w:val="center"/>
              <w:rPr>
                <w:color w:val="auto"/>
              </w:rPr>
            </w:pPr>
            <w:r w:rsidRPr="0092551A">
              <w:t>92</w:t>
            </w:r>
          </w:p>
        </w:tc>
        <w:tc>
          <w:tcPr>
            <w:tcW w:w="1346" w:type="dxa"/>
            <w:vAlign w:val="center"/>
          </w:tcPr>
          <w:p w14:paraId="62DC7361" w14:textId="2C1BCB83" w:rsidR="00826AF2" w:rsidRDefault="00826AF2" w:rsidP="00172F56">
            <w:pPr>
              <w:pStyle w:val="11Bodytext"/>
              <w:numPr>
                <w:ilvl w:val="0"/>
                <w:numId w:val="0"/>
              </w:numPr>
              <w:spacing w:before="0" w:after="0" w:line="300" w:lineRule="auto"/>
              <w:jc w:val="center"/>
              <w:rPr>
                <w:color w:val="auto"/>
              </w:rPr>
            </w:pPr>
            <w:r w:rsidRPr="00C320CE">
              <w:t>35.0%</w:t>
            </w:r>
          </w:p>
        </w:tc>
        <w:tc>
          <w:tcPr>
            <w:tcW w:w="1347" w:type="dxa"/>
            <w:vAlign w:val="center"/>
          </w:tcPr>
          <w:p w14:paraId="3E432E33" w14:textId="415B2D8B" w:rsidR="00826AF2" w:rsidRDefault="00826AF2" w:rsidP="00172F56">
            <w:pPr>
              <w:pStyle w:val="11Bodytext"/>
              <w:numPr>
                <w:ilvl w:val="0"/>
                <w:numId w:val="0"/>
              </w:numPr>
              <w:spacing w:before="0" w:after="0" w:line="300" w:lineRule="auto"/>
              <w:jc w:val="center"/>
              <w:rPr>
                <w:color w:val="auto"/>
              </w:rPr>
            </w:pPr>
            <w:r w:rsidRPr="00C320CE">
              <w:t>312</w:t>
            </w:r>
          </w:p>
        </w:tc>
      </w:tr>
      <w:tr w:rsidR="00826AF2" w14:paraId="7BFAAE96" w14:textId="77777777" w:rsidTr="00172F56">
        <w:tc>
          <w:tcPr>
            <w:tcW w:w="1545" w:type="dxa"/>
            <w:vAlign w:val="center"/>
          </w:tcPr>
          <w:p w14:paraId="48AE1A90" w14:textId="61EEF5E0" w:rsidR="00826AF2" w:rsidRDefault="00826AF2" w:rsidP="00172F56">
            <w:pPr>
              <w:pStyle w:val="11Bodytext"/>
              <w:numPr>
                <w:ilvl w:val="0"/>
                <w:numId w:val="0"/>
              </w:numPr>
              <w:spacing w:before="0" w:after="0" w:line="300" w:lineRule="auto"/>
              <w:jc w:val="left"/>
              <w:rPr>
                <w:color w:val="auto"/>
              </w:rPr>
            </w:pPr>
            <w:r w:rsidRPr="008D4A27">
              <w:t>Lytham</w:t>
            </w:r>
          </w:p>
        </w:tc>
        <w:tc>
          <w:tcPr>
            <w:tcW w:w="1346" w:type="dxa"/>
            <w:vAlign w:val="center"/>
          </w:tcPr>
          <w:p w14:paraId="5A3DE924" w14:textId="275B7E0C" w:rsidR="00826AF2" w:rsidRDefault="00826AF2" w:rsidP="00172F56">
            <w:pPr>
              <w:pStyle w:val="11Bodytext"/>
              <w:numPr>
                <w:ilvl w:val="0"/>
                <w:numId w:val="0"/>
              </w:numPr>
              <w:spacing w:before="0" w:after="0" w:line="300" w:lineRule="auto"/>
              <w:jc w:val="center"/>
              <w:rPr>
                <w:color w:val="auto"/>
              </w:rPr>
            </w:pPr>
            <w:r w:rsidRPr="00D732CB">
              <w:t>631</w:t>
            </w:r>
          </w:p>
        </w:tc>
        <w:tc>
          <w:tcPr>
            <w:tcW w:w="1346" w:type="dxa"/>
            <w:vAlign w:val="center"/>
          </w:tcPr>
          <w:p w14:paraId="1425FA53" w14:textId="7BFF6CDF" w:rsidR="00826AF2" w:rsidRDefault="00826AF2" w:rsidP="00172F56">
            <w:pPr>
              <w:pStyle w:val="11Bodytext"/>
              <w:numPr>
                <w:ilvl w:val="0"/>
                <w:numId w:val="0"/>
              </w:numPr>
              <w:spacing w:before="0" w:after="0" w:line="300" w:lineRule="auto"/>
              <w:jc w:val="center"/>
              <w:rPr>
                <w:color w:val="auto"/>
              </w:rPr>
            </w:pPr>
            <w:r w:rsidRPr="0092551A">
              <w:t>202</w:t>
            </w:r>
          </w:p>
        </w:tc>
        <w:tc>
          <w:tcPr>
            <w:tcW w:w="1346" w:type="dxa"/>
            <w:vAlign w:val="center"/>
          </w:tcPr>
          <w:p w14:paraId="1000F961" w14:textId="1100910A" w:rsidR="00826AF2" w:rsidRDefault="00826AF2" w:rsidP="00172F56">
            <w:pPr>
              <w:pStyle w:val="11Bodytext"/>
              <w:numPr>
                <w:ilvl w:val="0"/>
                <w:numId w:val="0"/>
              </w:numPr>
              <w:spacing w:before="0" w:after="0" w:line="300" w:lineRule="auto"/>
              <w:jc w:val="center"/>
              <w:rPr>
                <w:color w:val="auto"/>
              </w:rPr>
            </w:pPr>
            <w:r w:rsidRPr="0092551A">
              <w:t>363</w:t>
            </w:r>
          </w:p>
        </w:tc>
        <w:tc>
          <w:tcPr>
            <w:tcW w:w="1346" w:type="dxa"/>
            <w:vAlign w:val="center"/>
          </w:tcPr>
          <w:p w14:paraId="106BACB2" w14:textId="5DC8E102" w:rsidR="00826AF2" w:rsidRDefault="00826AF2" w:rsidP="00172F56">
            <w:pPr>
              <w:pStyle w:val="11Bodytext"/>
              <w:numPr>
                <w:ilvl w:val="0"/>
                <w:numId w:val="0"/>
              </w:numPr>
              <w:spacing w:before="0" w:after="0" w:line="300" w:lineRule="auto"/>
              <w:jc w:val="center"/>
              <w:rPr>
                <w:color w:val="auto"/>
              </w:rPr>
            </w:pPr>
            <w:r w:rsidRPr="0092551A">
              <w:t>66</w:t>
            </w:r>
          </w:p>
        </w:tc>
        <w:tc>
          <w:tcPr>
            <w:tcW w:w="1346" w:type="dxa"/>
            <w:vAlign w:val="center"/>
          </w:tcPr>
          <w:p w14:paraId="0DCCF3D2" w14:textId="7E6CE24A" w:rsidR="00826AF2" w:rsidRDefault="00826AF2" w:rsidP="00172F56">
            <w:pPr>
              <w:pStyle w:val="11Bodytext"/>
              <w:numPr>
                <w:ilvl w:val="0"/>
                <w:numId w:val="0"/>
              </w:numPr>
              <w:spacing w:before="0" w:after="0" w:line="300" w:lineRule="auto"/>
              <w:jc w:val="center"/>
              <w:rPr>
                <w:color w:val="auto"/>
              </w:rPr>
            </w:pPr>
            <w:r w:rsidRPr="00C320CE">
              <w:t>48.5%</w:t>
            </w:r>
          </w:p>
        </w:tc>
        <w:tc>
          <w:tcPr>
            <w:tcW w:w="1347" w:type="dxa"/>
            <w:vAlign w:val="center"/>
          </w:tcPr>
          <w:p w14:paraId="0AB279E3" w14:textId="3232258C" w:rsidR="00826AF2" w:rsidRDefault="00826AF2" w:rsidP="00172F56">
            <w:pPr>
              <w:pStyle w:val="11Bodytext"/>
              <w:numPr>
                <w:ilvl w:val="0"/>
                <w:numId w:val="0"/>
              </w:numPr>
              <w:spacing w:before="0" w:after="0" w:line="300" w:lineRule="auto"/>
              <w:jc w:val="center"/>
              <w:rPr>
                <w:color w:val="auto"/>
              </w:rPr>
            </w:pPr>
            <w:r w:rsidRPr="00C320CE">
              <w:t>306</w:t>
            </w:r>
          </w:p>
        </w:tc>
      </w:tr>
      <w:tr w:rsidR="00826AF2" w14:paraId="39302210" w14:textId="77777777" w:rsidTr="00172F56">
        <w:tc>
          <w:tcPr>
            <w:tcW w:w="1545" w:type="dxa"/>
            <w:vAlign w:val="center"/>
          </w:tcPr>
          <w:p w14:paraId="5B08A860" w14:textId="48D73EA8" w:rsidR="00826AF2" w:rsidRDefault="00826AF2" w:rsidP="00172F56">
            <w:pPr>
              <w:pStyle w:val="11Bodytext"/>
              <w:numPr>
                <w:ilvl w:val="0"/>
                <w:numId w:val="0"/>
              </w:numPr>
              <w:spacing w:before="0" w:after="0" w:line="300" w:lineRule="auto"/>
              <w:jc w:val="left"/>
              <w:rPr>
                <w:color w:val="auto"/>
              </w:rPr>
            </w:pPr>
            <w:r w:rsidRPr="008D4A27">
              <w:t>Warton</w:t>
            </w:r>
          </w:p>
        </w:tc>
        <w:tc>
          <w:tcPr>
            <w:tcW w:w="1346" w:type="dxa"/>
            <w:vAlign w:val="center"/>
          </w:tcPr>
          <w:p w14:paraId="76305CB0" w14:textId="048B81DC" w:rsidR="00826AF2" w:rsidRDefault="00826AF2" w:rsidP="00172F56">
            <w:pPr>
              <w:pStyle w:val="11Bodytext"/>
              <w:numPr>
                <w:ilvl w:val="0"/>
                <w:numId w:val="0"/>
              </w:numPr>
              <w:spacing w:before="0" w:after="0" w:line="300" w:lineRule="auto"/>
              <w:jc w:val="center"/>
              <w:rPr>
                <w:color w:val="auto"/>
              </w:rPr>
            </w:pPr>
            <w:r w:rsidRPr="00D732CB">
              <w:t>148</w:t>
            </w:r>
          </w:p>
        </w:tc>
        <w:tc>
          <w:tcPr>
            <w:tcW w:w="1346" w:type="dxa"/>
            <w:vAlign w:val="center"/>
          </w:tcPr>
          <w:p w14:paraId="3860C8C5" w14:textId="77018BB1" w:rsidR="00826AF2" w:rsidRDefault="00826AF2" w:rsidP="00172F56">
            <w:pPr>
              <w:pStyle w:val="11Bodytext"/>
              <w:numPr>
                <w:ilvl w:val="0"/>
                <w:numId w:val="0"/>
              </w:numPr>
              <w:spacing w:before="0" w:after="0" w:line="300" w:lineRule="auto"/>
              <w:jc w:val="center"/>
              <w:rPr>
                <w:color w:val="auto"/>
              </w:rPr>
            </w:pPr>
            <w:r w:rsidRPr="0092551A">
              <w:t>38</w:t>
            </w:r>
          </w:p>
        </w:tc>
        <w:tc>
          <w:tcPr>
            <w:tcW w:w="1346" w:type="dxa"/>
            <w:vAlign w:val="center"/>
          </w:tcPr>
          <w:p w14:paraId="7402F8B7" w14:textId="1158FD0A" w:rsidR="00826AF2" w:rsidRDefault="00826AF2" w:rsidP="00172F56">
            <w:pPr>
              <w:pStyle w:val="11Bodytext"/>
              <w:numPr>
                <w:ilvl w:val="0"/>
                <w:numId w:val="0"/>
              </w:numPr>
              <w:spacing w:before="0" w:after="0" w:line="300" w:lineRule="auto"/>
              <w:jc w:val="center"/>
              <w:rPr>
                <w:color w:val="auto"/>
              </w:rPr>
            </w:pPr>
            <w:r w:rsidRPr="0092551A">
              <w:t>45</w:t>
            </w:r>
          </w:p>
        </w:tc>
        <w:tc>
          <w:tcPr>
            <w:tcW w:w="1346" w:type="dxa"/>
            <w:vAlign w:val="center"/>
          </w:tcPr>
          <w:p w14:paraId="310C8BCD" w14:textId="1DF0264D" w:rsidR="00826AF2" w:rsidRDefault="00826AF2" w:rsidP="00172F56">
            <w:pPr>
              <w:pStyle w:val="11Bodytext"/>
              <w:numPr>
                <w:ilvl w:val="0"/>
                <w:numId w:val="0"/>
              </w:numPr>
              <w:spacing w:before="0" w:after="0" w:line="300" w:lineRule="auto"/>
              <w:jc w:val="center"/>
              <w:rPr>
                <w:color w:val="auto"/>
              </w:rPr>
            </w:pPr>
            <w:r w:rsidRPr="0092551A">
              <w:t>65</w:t>
            </w:r>
          </w:p>
        </w:tc>
        <w:tc>
          <w:tcPr>
            <w:tcW w:w="1346" w:type="dxa"/>
            <w:vAlign w:val="center"/>
          </w:tcPr>
          <w:p w14:paraId="495C131C" w14:textId="20FA1E42" w:rsidR="00826AF2" w:rsidRDefault="00826AF2" w:rsidP="00172F56">
            <w:pPr>
              <w:pStyle w:val="11Bodytext"/>
              <w:numPr>
                <w:ilvl w:val="0"/>
                <w:numId w:val="0"/>
              </w:numPr>
              <w:spacing w:before="0" w:after="0" w:line="300" w:lineRule="auto"/>
              <w:jc w:val="center"/>
              <w:rPr>
                <w:color w:val="auto"/>
              </w:rPr>
            </w:pPr>
            <w:r w:rsidRPr="00C320CE">
              <w:t>34.5%</w:t>
            </w:r>
          </w:p>
        </w:tc>
        <w:tc>
          <w:tcPr>
            <w:tcW w:w="1347" w:type="dxa"/>
            <w:vAlign w:val="center"/>
          </w:tcPr>
          <w:p w14:paraId="6C55F8A1" w14:textId="36678BFD" w:rsidR="00826AF2" w:rsidRDefault="00826AF2" w:rsidP="00172F56">
            <w:pPr>
              <w:pStyle w:val="11Bodytext"/>
              <w:numPr>
                <w:ilvl w:val="0"/>
                <w:numId w:val="0"/>
              </w:numPr>
              <w:spacing w:before="0" w:after="0" w:line="300" w:lineRule="auto"/>
              <w:jc w:val="center"/>
              <w:rPr>
                <w:color w:val="auto"/>
              </w:rPr>
            </w:pPr>
            <w:r w:rsidRPr="00C320CE">
              <w:t>51</w:t>
            </w:r>
          </w:p>
        </w:tc>
      </w:tr>
      <w:tr w:rsidR="00826AF2" w14:paraId="26E10FAF" w14:textId="77777777" w:rsidTr="00172F56">
        <w:tc>
          <w:tcPr>
            <w:tcW w:w="1545" w:type="dxa"/>
            <w:vAlign w:val="center"/>
          </w:tcPr>
          <w:p w14:paraId="0697971C" w14:textId="3D7243B9" w:rsidR="00826AF2" w:rsidRDefault="00826AF2" w:rsidP="00172F56">
            <w:pPr>
              <w:pStyle w:val="11Bodytext"/>
              <w:numPr>
                <w:ilvl w:val="0"/>
                <w:numId w:val="0"/>
              </w:numPr>
              <w:spacing w:before="0" w:after="0" w:line="300" w:lineRule="auto"/>
              <w:jc w:val="left"/>
              <w:rPr>
                <w:color w:val="auto"/>
              </w:rPr>
            </w:pPr>
            <w:r w:rsidRPr="008D4A27">
              <w:t>FB Periphery</w:t>
            </w:r>
          </w:p>
        </w:tc>
        <w:tc>
          <w:tcPr>
            <w:tcW w:w="1346" w:type="dxa"/>
            <w:vAlign w:val="center"/>
          </w:tcPr>
          <w:p w14:paraId="008CB1BE" w14:textId="639CEFBD" w:rsidR="00826AF2" w:rsidRDefault="00826AF2" w:rsidP="00172F56">
            <w:pPr>
              <w:pStyle w:val="11Bodytext"/>
              <w:numPr>
                <w:ilvl w:val="0"/>
                <w:numId w:val="0"/>
              </w:numPr>
              <w:spacing w:before="0" w:after="0" w:line="300" w:lineRule="auto"/>
              <w:jc w:val="center"/>
              <w:rPr>
                <w:color w:val="auto"/>
              </w:rPr>
            </w:pPr>
            <w:r w:rsidRPr="00D732CB">
              <w:t>20</w:t>
            </w:r>
          </w:p>
        </w:tc>
        <w:tc>
          <w:tcPr>
            <w:tcW w:w="1346" w:type="dxa"/>
            <w:vAlign w:val="center"/>
          </w:tcPr>
          <w:p w14:paraId="308B6BB7" w14:textId="16A61635" w:rsidR="00826AF2" w:rsidRDefault="00826AF2" w:rsidP="00172F56">
            <w:pPr>
              <w:pStyle w:val="11Bodytext"/>
              <w:numPr>
                <w:ilvl w:val="0"/>
                <w:numId w:val="0"/>
              </w:numPr>
              <w:spacing w:before="0" w:after="0" w:line="300" w:lineRule="auto"/>
              <w:jc w:val="center"/>
              <w:rPr>
                <w:color w:val="auto"/>
              </w:rPr>
            </w:pPr>
            <w:r w:rsidRPr="0092551A">
              <w:t>0</w:t>
            </w:r>
          </w:p>
        </w:tc>
        <w:tc>
          <w:tcPr>
            <w:tcW w:w="1346" w:type="dxa"/>
            <w:vAlign w:val="center"/>
          </w:tcPr>
          <w:p w14:paraId="6FB00CF7" w14:textId="7CAE9BFC" w:rsidR="00826AF2" w:rsidRDefault="00826AF2" w:rsidP="00172F56">
            <w:pPr>
              <w:pStyle w:val="11Bodytext"/>
              <w:numPr>
                <w:ilvl w:val="0"/>
                <w:numId w:val="0"/>
              </w:numPr>
              <w:spacing w:before="0" w:after="0" w:line="300" w:lineRule="auto"/>
              <w:jc w:val="center"/>
              <w:rPr>
                <w:color w:val="auto"/>
              </w:rPr>
            </w:pPr>
            <w:r w:rsidRPr="0092551A">
              <w:t>12</w:t>
            </w:r>
          </w:p>
        </w:tc>
        <w:tc>
          <w:tcPr>
            <w:tcW w:w="1346" w:type="dxa"/>
            <w:vAlign w:val="center"/>
          </w:tcPr>
          <w:p w14:paraId="4FEE61FE" w14:textId="51A2FD3E" w:rsidR="00826AF2" w:rsidRDefault="00826AF2" w:rsidP="00172F56">
            <w:pPr>
              <w:pStyle w:val="11Bodytext"/>
              <w:numPr>
                <w:ilvl w:val="0"/>
                <w:numId w:val="0"/>
              </w:numPr>
              <w:spacing w:before="0" w:after="0" w:line="300" w:lineRule="auto"/>
              <w:jc w:val="center"/>
              <w:rPr>
                <w:color w:val="auto"/>
              </w:rPr>
            </w:pPr>
            <w:r w:rsidRPr="0092551A">
              <w:t>8</w:t>
            </w:r>
          </w:p>
        </w:tc>
        <w:tc>
          <w:tcPr>
            <w:tcW w:w="1346" w:type="dxa"/>
            <w:vAlign w:val="center"/>
          </w:tcPr>
          <w:p w14:paraId="0732320E" w14:textId="74DA2689" w:rsidR="00826AF2" w:rsidRDefault="00826AF2" w:rsidP="00172F56">
            <w:pPr>
              <w:pStyle w:val="11Bodytext"/>
              <w:numPr>
                <w:ilvl w:val="0"/>
                <w:numId w:val="0"/>
              </w:numPr>
              <w:spacing w:before="0" w:after="0" w:line="300" w:lineRule="auto"/>
              <w:jc w:val="center"/>
              <w:rPr>
                <w:color w:val="auto"/>
              </w:rPr>
            </w:pPr>
            <w:r w:rsidRPr="00C320CE">
              <w:t>25.5%</w:t>
            </w:r>
          </w:p>
        </w:tc>
        <w:tc>
          <w:tcPr>
            <w:tcW w:w="1347" w:type="dxa"/>
            <w:vAlign w:val="center"/>
          </w:tcPr>
          <w:p w14:paraId="2BB70254" w14:textId="70054F00" w:rsidR="00826AF2" w:rsidRDefault="00826AF2" w:rsidP="00172F56">
            <w:pPr>
              <w:pStyle w:val="11Bodytext"/>
              <w:numPr>
                <w:ilvl w:val="0"/>
                <w:numId w:val="0"/>
              </w:numPr>
              <w:spacing w:before="0" w:after="0" w:line="300" w:lineRule="auto"/>
              <w:jc w:val="center"/>
              <w:rPr>
                <w:color w:val="auto"/>
              </w:rPr>
            </w:pPr>
            <w:r w:rsidRPr="00C320CE">
              <w:t>5</w:t>
            </w:r>
          </w:p>
        </w:tc>
      </w:tr>
      <w:tr w:rsidR="00826AF2" w14:paraId="3AD97F80" w14:textId="77777777" w:rsidTr="00172F56">
        <w:tc>
          <w:tcPr>
            <w:tcW w:w="1545" w:type="dxa"/>
            <w:vAlign w:val="center"/>
          </w:tcPr>
          <w:p w14:paraId="232364C6" w14:textId="16B4AF4F" w:rsidR="00826AF2" w:rsidRDefault="00826AF2" w:rsidP="00172F56">
            <w:pPr>
              <w:pStyle w:val="11Bodytext"/>
              <w:numPr>
                <w:ilvl w:val="0"/>
                <w:numId w:val="0"/>
              </w:numPr>
              <w:spacing w:before="0" w:after="0" w:line="300" w:lineRule="auto"/>
              <w:jc w:val="left"/>
              <w:rPr>
                <w:color w:val="auto"/>
              </w:rPr>
            </w:pPr>
            <w:r w:rsidRPr="008D4A27">
              <w:t>Kirkham</w:t>
            </w:r>
          </w:p>
        </w:tc>
        <w:tc>
          <w:tcPr>
            <w:tcW w:w="1346" w:type="dxa"/>
            <w:vAlign w:val="center"/>
          </w:tcPr>
          <w:p w14:paraId="1FDDBC40" w14:textId="2CB62A5D" w:rsidR="00826AF2" w:rsidRDefault="00826AF2" w:rsidP="00172F56">
            <w:pPr>
              <w:pStyle w:val="11Bodytext"/>
              <w:numPr>
                <w:ilvl w:val="0"/>
                <w:numId w:val="0"/>
              </w:numPr>
              <w:spacing w:before="0" w:after="0" w:line="300" w:lineRule="auto"/>
              <w:jc w:val="center"/>
              <w:rPr>
                <w:color w:val="auto"/>
              </w:rPr>
            </w:pPr>
            <w:r w:rsidRPr="00D732CB">
              <w:t>348</w:t>
            </w:r>
          </w:p>
        </w:tc>
        <w:tc>
          <w:tcPr>
            <w:tcW w:w="1346" w:type="dxa"/>
            <w:vAlign w:val="center"/>
          </w:tcPr>
          <w:p w14:paraId="188B9F32" w14:textId="63840242" w:rsidR="00826AF2" w:rsidRDefault="00826AF2" w:rsidP="00172F56">
            <w:pPr>
              <w:pStyle w:val="11Bodytext"/>
              <w:numPr>
                <w:ilvl w:val="0"/>
                <w:numId w:val="0"/>
              </w:numPr>
              <w:spacing w:before="0" w:after="0" w:line="300" w:lineRule="auto"/>
              <w:jc w:val="center"/>
              <w:rPr>
                <w:color w:val="auto"/>
              </w:rPr>
            </w:pPr>
            <w:r w:rsidRPr="0092551A">
              <w:t>164</w:t>
            </w:r>
          </w:p>
        </w:tc>
        <w:tc>
          <w:tcPr>
            <w:tcW w:w="1346" w:type="dxa"/>
            <w:vAlign w:val="center"/>
          </w:tcPr>
          <w:p w14:paraId="3F6700A1" w14:textId="5A577AF6" w:rsidR="00826AF2" w:rsidRDefault="00826AF2" w:rsidP="00172F56">
            <w:pPr>
              <w:pStyle w:val="11Bodytext"/>
              <w:numPr>
                <w:ilvl w:val="0"/>
                <w:numId w:val="0"/>
              </w:numPr>
              <w:spacing w:before="0" w:after="0" w:line="300" w:lineRule="auto"/>
              <w:jc w:val="center"/>
              <w:rPr>
                <w:color w:val="auto"/>
              </w:rPr>
            </w:pPr>
            <w:r w:rsidRPr="0092551A">
              <w:t>136</w:t>
            </w:r>
          </w:p>
        </w:tc>
        <w:tc>
          <w:tcPr>
            <w:tcW w:w="1346" w:type="dxa"/>
            <w:vAlign w:val="center"/>
          </w:tcPr>
          <w:p w14:paraId="6D8FF48E" w14:textId="6915192A" w:rsidR="00826AF2" w:rsidRDefault="00826AF2" w:rsidP="00172F56">
            <w:pPr>
              <w:pStyle w:val="11Bodytext"/>
              <w:numPr>
                <w:ilvl w:val="0"/>
                <w:numId w:val="0"/>
              </w:numPr>
              <w:spacing w:before="0" w:after="0" w:line="300" w:lineRule="auto"/>
              <w:jc w:val="center"/>
              <w:rPr>
                <w:color w:val="auto"/>
              </w:rPr>
            </w:pPr>
            <w:r w:rsidRPr="0092551A">
              <w:t>48</w:t>
            </w:r>
          </w:p>
        </w:tc>
        <w:tc>
          <w:tcPr>
            <w:tcW w:w="1346" w:type="dxa"/>
            <w:vAlign w:val="center"/>
          </w:tcPr>
          <w:p w14:paraId="46A5E425" w14:textId="69734C61" w:rsidR="00826AF2" w:rsidRDefault="00826AF2" w:rsidP="00172F56">
            <w:pPr>
              <w:pStyle w:val="11Bodytext"/>
              <w:numPr>
                <w:ilvl w:val="0"/>
                <w:numId w:val="0"/>
              </w:numPr>
              <w:spacing w:before="0" w:after="0" w:line="300" w:lineRule="auto"/>
              <w:jc w:val="center"/>
              <w:rPr>
                <w:color w:val="auto"/>
              </w:rPr>
            </w:pPr>
            <w:r w:rsidRPr="00C320CE">
              <w:t>28.5%</w:t>
            </w:r>
          </w:p>
        </w:tc>
        <w:tc>
          <w:tcPr>
            <w:tcW w:w="1347" w:type="dxa"/>
            <w:vAlign w:val="center"/>
          </w:tcPr>
          <w:p w14:paraId="652E4352" w14:textId="07460334" w:rsidR="00826AF2" w:rsidRDefault="00826AF2" w:rsidP="00172F56">
            <w:pPr>
              <w:pStyle w:val="11Bodytext"/>
              <w:numPr>
                <w:ilvl w:val="0"/>
                <w:numId w:val="0"/>
              </w:numPr>
              <w:spacing w:before="0" w:after="0" w:line="300" w:lineRule="auto"/>
              <w:jc w:val="center"/>
              <w:rPr>
                <w:color w:val="auto"/>
              </w:rPr>
            </w:pPr>
            <w:r w:rsidRPr="00C320CE">
              <w:t>99</w:t>
            </w:r>
          </w:p>
        </w:tc>
      </w:tr>
      <w:tr w:rsidR="00826AF2" w14:paraId="40D8148A" w14:textId="77777777" w:rsidTr="00172F56">
        <w:tc>
          <w:tcPr>
            <w:tcW w:w="1545" w:type="dxa"/>
            <w:vAlign w:val="center"/>
          </w:tcPr>
          <w:p w14:paraId="44FD1BC1" w14:textId="23F58CD4" w:rsidR="00826AF2" w:rsidRDefault="00826AF2" w:rsidP="00172F56">
            <w:pPr>
              <w:pStyle w:val="11Bodytext"/>
              <w:numPr>
                <w:ilvl w:val="0"/>
                <w:numId w:val="0"/>
              </w:numPr>
              <w:spacing w:before="0" w:after="0" w:line="300" w:lineRule="auto"/>
              <w:jc w:val="left"/>
              <w:rPr>
                <w:color w:val="auto"/>
              </w:rPr>
            </w:pPr>
            <w:r w:rsidRPr="008D4A27">
              <w:t>Wesham</w:t>
            </w:r>
          </w:p>
        </w:tc>
        <w:tc>
          <w:tcPr>
            <w:tcW w:w="1346" w:type="dxa"/>
            <w:vAlign w:val="center"/>
          </w:tcPr>
          <w:p w14:paraId="3D1E952D" w14:textId="1E285791" w:rsidR="00826AF2" w:rsidRDefault="00826AF2" w:rsidP="00172F56">
            <w:pPr>
              <w:pStyle w:val="11Bodytext"/>
              <w:numPr>
                <w:ilvl w:val="0"/>
                <w:numId w:val="0"/>
              </w:numPr>
              <w:spacing w:before="0" w:after="0" w:line="300" w:lineRule="auto"/>
              <w:jc w:val="center"/>
              <w:rPr>
                <w:color w:val="auto"/>
              </w:rPr>
            </w:pPr>
            <w:r w:rsidRPr="00D732CB">
              <w:t>152</w:t>
            </w:r>
          </w:p>
        </w:tc>
        <w:tc>
          <w:tcPr>
            <w:tcW w:w="1346" w:type="dxa"/>
            <w:vAlign w:val="center"/>
          </w:tcPr>
          <w:p w14:paraId="594DC5EC" w14:textId="0CB41225" w:rsidR="00826AF2" w:rsidRDefault="00826AF2" w:rsidP="00172F56">
            <w:pPr>
              <w:pStyle w:val="11Bodytext"/>
              <w:numPr>
                <w:ilvl w:val="0"/>
                <w:numId w:val="0"/>
              </w:numPr>
              <w:spacing w:before="0" w:after="0" w:line="300" w:lineRule="auto"/>
              <w:jc w:val="center"/>
              <w:rPr>
                <w:color w:val="auto"/>
              </w:rPr>
            </w:pPr>
            <w:r w:rsidRPr="0092551A">
              <w:t>9</w:t>
            </w:r>
          </w:p>
        </w:tc>
        <w:tc>
          <w:tcPr>
            <w:tcW w:w="1346" w:type="dxa"/>
            <w:vAlign w:val="center"/>
          </w:tcPr>
          <w:p w14:paraId="17AEE220" w14:textId="7328DF51" w:rsidR="00826AF2" w:rsidRDefault="00826AF2" w:rsidP="00172F56">
            <w:pPr>
              <w:pStyle w:val="11Bodytext"/>
              <w:numPr>
                <w:ilvl w:val="0"/>
                <w:numId w:val="0"/>
              </w:numPr>
              <w:spacing w:before="0" w:after="0" w:line="300" w:lineRule="auto"/>
              <w:jc w:val="center"/>
              <w:rPr>
                <w:color w:val="auto"/>
              </w:rPr>
            </w:pPr>
            <w:r w:rsidRPr="0092551A">
              <w:t>56</w:t>
            </w:r>
          </w:p>
        </w:tc>
        <w:tc>
          <w:tcPr>
            <w:tcW w:w="1346" w:type="dxa"/>
            <w:vAlign w:val="center"/>
          </w:tcPr>
          <w:p w14:paraId="2B25B4FA" w14:textId="020C2A61" w:rsidR="00826AF2" w:rsidRDefault="00826AF2" w:rsidP="00172F56">
            <w:pPr>
              <w:pStyle w:val="11Bodytext"/>
              <w:numPr>
                <w:ilvl w:val="0"/>
                <w:numId w:val="0"/>
              </w:numPr>
              <w:spacing w:before="0" w:after="0" w:line="300" w:lineRule="auto"/>
              <w:jc w:val="center"/>
              <w:rPr>
                <w:color w:val="auto"/>
              </w:rPr>
            </w:pPr>
            <w:r w:rsidRPr="0092551A">
              <w:t>87</w:t>
            </w:r>
          </w:p>
        </w:tc>
        <w:tc>
          <w:tcPr>
            <w:tcW w:w="1346" w:type="dxa"/>
            <w:vAlign w:val="center"/>
          </w:tcPr>
          <w:p w14:paraId="609C9C02" w14:textId="27C279C5" w:rsidR="00826AF2" w:rsidRDefault="00826AF2" w:rsidP="00172F56">
            <w:pPr>
              <w:pStyle w:val="11Bodytext"/>
              <w:numPr>
                <w:ilvl w:val="0"/>
                <w:numId w:val="0"/>
              </w:numPr>
              <w:spacing w:before="0" w:after="0" w:line="300" w:lineRule="auto"/>
              <w:jc w:val="center"/>
              <w:rPr>
                <w:color w:val="auto"/>
              </w:rPr>
            </w:pPr>
            <w:r w:rsidRPr="00C320CE">
              <w:t>45.3%</w:t>
            </w:r>
          </w:p>
        </w:tc>
        <w:tc>
          <w:tcPr>
            <w:tcW w:w="1347" w:type="dxa"/>
            <w:vAlign w:val="center"/>
          </w:tcPr>
          <w:p w14:paraId="7319D39D" w14:textId="6AC64CB0" w:rsidR="00826AF2" w:rsidRDefault="00826AF2" w:rsidP="00172F56">
            <w:pPr>
              <w:pStyle w:val="11Bodytext"/>
              <w:numPr>
                <w:ilvl w:val="0"/>
                <w:numId w:val="0"/>
              </w:numPr>
              <w:spacing w:before="0" w:after="0" w:line="300" w:lineRule="auto"/>
              <w:jc w:val="center"/>
              <w:rPr>
                <w:color w:val="auto"/>
              </w:rPr>
            </w:pPr>
            <w:r w:rsidRPr="00C320CE">
              <w:t>69</w:t>
            </w:r>
          </w:p>
        </w:tc>
      </w:tr>
      <w:tr w:rsidR="00826AF2" w14:paraId="21144030" w14:textId="77777777" w:rsidTr="00172F56">
        <w:tc>
          <w:tcPr>
            <w:tcW w:w="1545" w:type="dxa"/>
            <w:vAlign w:val="center"/>
          </w:tcPr>
          <w:p w14:paraId="0E9982A5" w14:textId="5478EFC7" w:rsidR="00826AF2" w:rsidRDefault="00826AF2" w:rsidP="00172F56">
            <w:pPr>
              <w:pStyle w:val="11Bodytext"/>
              <w:numPr>
                <w:ilvl w:val="0"/>
                <w:numId w:val="0"/>
              </w:numPr>
              <w:spacing w:before="0" w:after="0" w:line="300" w:lineRule="auto"/>
              <w:jc w:val="left"/>
              <w:rPr>
                <w:color w:val="auto"/>
              </w:rPr>
            </w:pPr>
            <w:r w:rsidRPr="008D4A27">
              <w:t>Freckleton</w:t>
            </w:r>
          </w:p>
        </w:tc>
        <w:tc>
          <w:tcPr>
            <w:tcW w:w="1346" w:type="dxa"/>
            <w:vAlign w:val="center"/>
          </w:tcPr>
          <w:p w14:paraId="3235BDF9" w14:textId="3E93783D" w:rsidR="00826AF2" w:rsidRDefault="00826AF2" w:rsidP="00172F56">
            <w:pPr>
              <w:pStyle w:val="11Bodytext"/>
              <w:numPr>
                <w:ilvl w:val="0"/>
                <w:numId w:val="0"/>
              </w:numPr>
              <w:spacing w:before="0" w:after="0" w:line="300" w:lineRule="auto"/>
              <w:jc w:val="center"/>
              <w:rPr>
                <w:color w:val="auto"/>
              </w:rPr>
            </w:pPr>
            <w:r w:rsidRPr="00D732CB">
              <w:t>179</w:t>
            </w:r>
          </w:p>
        </w:tc>
        <w:tc>
          <w:tcPr>
            <w:tcW w:w="1346" w:type="dxa"/>
            <w:vAlign w:val="center"/>
          </w:tcPr>
          <w:p w14:paraId="52C5BE9D" w14:textId="3A7898EC" w:rsidR="00826AF2" w:rsidRDefault="00826AF2" w:rsidP="00172F56">
            <w:pPr>
              <w:pStyle w:val="11Bodytext"/>
              <w:numPr>
                <w:ilvl w:val="0"/>
                <w:numId w:val="0"/>
              </w:numPr>
              <w:spacing w:before="0" w:after="0" w:line="300" w:lineRule="auto"/>
              <w:jc w:val="center"/>
              <w:rPr>
                <w:color w:val="auto"/>
              </w:rPr>
            </w:pPr>
            <w:r w:rsidRPr="0092551A">
              <w:t>63</w:t>
            </w:r>
          </w:p>
        </w:tc>
        <w:tc>
          <w:tcPr>
            <w:tcW w:w="1346" w:type="dxa"/>
            <w:vAlign w:val="center"/>
          </w:tcPr>
          <w:p w14:paraId="072E7FFB" w14:textId="3F8F6AA1" w:rsidR="00826AF2" w:rsidRDefault="00826AF2" w:rsidP="00172F56">
            <w:pPr>
              <w:pStyle w:val="11Bodytext"/>
              <w:numPr>
                <w:ilvl w:val="0"/>
                <w:numId w:val="0"/>
              </w:numPr>
              <w:spacing w:before="0" w:after="0" w:line="300" w:lineRule="auto"/>
              <w:jc w:val="center"/>
              <w:rPr>
                <w:color w:val="auto"/>
              </w:rPr>
            </w:pPr>
            <w:r w:rsidRPr="0092551A">
              <w:t>62</w:t>
            </w:r>
          </w:p>
        </w:tc>
        <w:tc>
          <w:tcPr>
            <w:tcW w:w="1346" w:type="dxa"/>
            <w:vAlign w:val="center"/>
          </w:tcPr>
          <w:p w14:paraId="1DF065BA" w14:textId="7BFA749B" w:rsidR="00826AF2" w:rsidRDefault="00826AF2" w:rsidP="00172F56">
            <w:pPr>
              <w:pStyle w:val="11Bodytext"/>
              <w:numPr>
                <w:ilvl w:val="0"/>
                <w:numId w:val="0"/>
              </w:numPr>
              <w:spacing w:before="0" w:after="0" w:line="300" w:lineRule="auto"/>
              <w:jc w:val="center"/>
              <w:rPr>
                <w:color w:val="auto"/>
              </w:rPr>
            </w:pPr>
            <w:r w:rsidRPr="0092551A">
              <w:t>53</w:t>
            </w:r>
          </w:p>
        </w:tc>
        <w:tc>
          <w:tcPr>
            <w:tcW w:w="1346" w:type="dxa"/>
            <w:vAlign w:val="center"/>
          </w:tcPr>
          <w:p w14:paraId="2A7B441F" w14:textId="52586182" w:rsidR="00826AF2" w:rsidRDefault="00826AF2" w:rsidP="00172F56">
            <w:pPr>
              <w:pStyle w:val="11Bodytext"/>
              <w:numPr>
                <w:ilvl w:val="0"/>
                <w:numId w:val="0"/>
              </w:numPr>
              <w:spacing w:before="0" w:after="0" w:line="300" w:lineRule="auto"/>
              <w:jc w:val="center"/>
              <w:rPr>
                <w:color w:val="auto"/>
              </w:rPr>
            </w:pPr>
            <w:r w:rsidRPr="00C320CE">
              <w:t>13.1%</w:t>
            </w:r>
          </w:p>
        </w:tc>
        <w:tc>
          <w:tcPr>
            <w:tcW w:w="1347" w:type="dxa"/>
            <w:vAlign w:val="center"/>
          </w:tcPr>
          <w:p w14:paraId="55F131E7" w14:textId="23A1942A" w:rsidR="00826AF2" w:rsidRDefault="00826AF2" w:rsidP="00172F56">
            <w:pPr>
              <w:pStyle w:val="11Bodytext"/>
              <w:numPr>
                <w:ilvl w:val="0"/>
                <w:numId w:val="0"/>
              </w:numPr>
              <w:spacing w:before="0" w:after="0" w:line="300" w:lineRule="auto"/>
              <w:jc w:val="center"/>
              <w:rPr>
                <w:color w:val="auto"/>
              </w:rPr>
            </w:pPr>
            <w:r w:rsidRPr="00C320CE">
              <w:t>23</w:t>
            </w:r>
          </w:p>
        </w:tc>
      </w:tr>
      <w:tr w:rsidR="00826AF2" w14:paraId="2441AA71" w14:textId="77777777" w:rsidTr="00172F56">
        <w:tc>
          <w:tcPr>
            <w:tcW w:w="1545" w:type="dxa"/>
            <w:vAlign w:val="center"/>
          </w:tcPr>
          <w:p w14:paraId="5BF10A4E" w14:textId="08BDE43B" w:rsidR="00826AF2" w:rsidRDefault="00826AF2" w:rsidP="00172F56">
            <w:pPr>
              <w:pStyle w:val="11Bodytext"/>
              <w:numPr>
                <w:ilvl w:val="0"/>
                <w:numId w:val="0"/>
              </w:numPr>
              <w:spacing w:before="0" w:after="0" w:line="300" w:lineRule="auto"/>
              <w:jc w:val="left"/>
              <w:rPr>
                <w:color w:val="auto"/>
              </w:rPr>
            </w:pPr>
            <w:r w:rsidRPr="008D4A27">
              <w:t>Rural North</w:t>
            </w:r>
          </w:p>
        </w:tc>
        <w:tc>
          <w:tcPr>
            <w:tcW w:w="1346" w:type="dxa"/>
            <w:vAlign w:val="center"/>
          </w:tcPr>
          <w:p w14:paraId="49254C18" w14:textId="77E95E28" w:rsidR="00826AF2" w:rsidRDefault="00826AF2" w:rsidP="00172F56">
            <w:pPr>
              <w:pStyle w:val="11Bodytext"/>
              <w:numPr>
                <w:ilvl w:val="0"/>
                <w:numId w:val="0"/>
              </w:numPr>
              <w:spacing w:before="0" w:after="0" w:line="300" w:lineRule="auto"/>
              <w:jc w:val="center"/>
              <w:rPr>
                <w:color w:val="auto"/>
              </w:rPr>
            </w:pPr>
            <w:r w:rsidRPr="00D732CB">
              <w:t>222</w:t>
            </w:r>
          </w:p>
        </w:tc>
        <w:tc>
          <w:tcPr>
            <w:tcW w:w="1346" w:type="dxa"/>
            <w:vAlign w:val="center"/>
          </w:tcPr>
          <w:p w14:paraId="36E514ED" w14:textId="4ECE239C" w:rsidR="00826AF2" w:rsidRDefault="00826AF2" w:rsidP="00172F56">
            <w:pPr>
              <w:pStyle w:val="11Bodytext"/>
              <w:numPr>
                <w:ilvl w:val="0"/>
                <w:numId w:val="0"/>
              </w:numPr>
              <w:spacing w:before="0" w:after="0" w:line="300" w:lineRule="auto"/>
              <w:jc w:val="center"/>
              <w:rPr>
                <w:color w:val="auto"/>
              </w:rPr>
            </w:pPr>
            <w:r w:rsidRPr="0092551A">
              <w:t>29</w:t>
            </w:r>
          </w:p>
        </w:tc>
        <w:tc>
          <w:tcPr>
            <w:tcW w:w="1346" w:type="dxa"/>
            <w:vAlign w:val="center"/>
          </w:tcPr>
          <w:p w14:paraId="0D60AAA2" w14:textId="5538F3E8" w:rsidR="00826AF2" w:rsidRDefault="00826AF2" w:rsidP="00172F56">
            <w:pPr>
              <w:pStyle w:val="11Bodytext"/>
              <w:numPr>
                <w:ilvl w:val="0"/>
                <w:numId w:val="0"/>
              </w:numPr>
              <w:spacing w:before="0" w:after="0" w:line="300" w:lineRule="auto"/>
              <w:jc w:val="center"/>
              <w:rPr>
                <w:color w:val="auto"/>
              </w:rPr>
            </w:pPr>
            <w:r w:rsidRPr="0092551A">
              <w:t>134</w:t>
            </w:r>
          </w:p>
        </w:tc>
        <w:tc>
          <w:tcPr>
            <w:tcW w:w="1346" w:type="dxa"/>
            <w:vAlign w:val="center"/>
          </w:tcPr>
          <w:p w14:paraId="507EB6DB" w14:textId="04F1FC21" w:rsidR="00826AF2" w:rsidRDefault="00826AF2" w:rsidP="00172F56">
            <w:pPr>
              <w:pStyle w:val="11Bodytext"/>
              <w:numPr>
                <w:ilvl w:val="0"/>
                <w:numId w:val="0"/>
              </w:numPr>
              <w:spacing w:before="0" w:after="0" w:line="300" w:lineRule="auto"/>
              <w:jc w:val="center"/>
              <w:rPr>
                <w:color w:val="auto"/>
              </w:rPr>
            </w:pPr>
            <w:r w:rsidRPr="0092551A">
              <w:t>58</w:t>
            </w:r>
          </w:p>
        </w:tc>
        <w:tc>
          <w:tcPr>
            <w:tcW w:w="1346" w:type="dxa"/>
            <w:vAlign w:val="center"/>
          </w:tcPr>
          <w:p w14:paraId="2839DDA1" w14:textId="5262203B" w:rsidR="00826AF2" w:rsidRDefault="00826AF2" w:rsidP="00172F56">
            <w:pPr>
              <w:pStyle w:val="11Bodytext"/>
              <w:numPr>
                <w:ilvl w:val="0"/>
                <w:numId w:val="0"/>
              </w:numPr>
              <w:spacing w:before="0" w:after="0" w:line="300" w:lineRule="auto"/>
              <w:jc w:val="center"/>
              <w:rPr>
                <w:color w:val="auto"/>
              </w:rPr>
            </w:pPr>
            <w:r w:rsidRPr="00C320CE">
              <w:t>25.8%</w:t>
            </w:r>
          </w:p>
        </w:tc>
        <w:tc>
          <w:tcPr>
            <w:tcW w:w="1347" w:type="dxa"/>
            <w:vAlign w:val="center"/>
          </w:tcPr>
          <w:p w14:paraId="4EF83CCF" w14:textId="197B51A6" w:rsidR="00826AF2" w:rsidRDefault="00826AF2" w:rsidP="00172F56">
            <w:pPr>
              <w:pStyle w:val="11Bodytext"/>
              <w:numPr>
                <w:ilvl w:val="0"/>
                <w:numId w:val="0"/>
              </w:numPr>
              <w:spacing w:before="0" w:after="0" w:line="300" w:lineRule="auto"/>
              <w:jc w:val="center"/>
              <w:rPr>
                <w:color w:val="auto"/>
              </w:rPr>
            </w:pPr>
            <w:r w:rsidRPr="00C320CE">
              <w:t>57</w:t>
            </w:r>
          </w:p>
        </w:tc>
      </w:tr>
      <w:tr w:rsidR="00826AF2" w14:paraId="0BFF3178" w14:textId="77777777" w:rsidTr="00172F56">
        <w:tc>
          <w:tcPr>
            <w:tcW w:w="1545" w:type="dxa"/>
            <w:vAlign w:val="center"/>
          </w:tcPr>
          <w:p w14:paraId="2507756F" w14:textId="2AF81B75" w:rsidR="00826AF2" w:rsidRDefault="00826AF2" w:rsidP="00172F56">
            <w:pPr>
              <w:pStyle w:val="11Bodytext"/>
              <w:numPr>
                <w:ilvl w:val="0"/>
                <w:numId w:val="0"/>
              </w:numPr>
              <w:spacing w:before="0" w:after="0" w:line="300" w:lineRule="auto"/>
              <w:jc w:val="left"/>
              <w:rPr>
                <w:color w:val="auto"/>
              </w:rPr>
            </w:pPr>
            <w:r w:rsidRPr="008D4A27">
              <w:t>Rural West</w:t>
            </w:r>
          </w:p>
        </w:tc>
        <w:tc>
          <w:tcPr>
            <w:tcW w:w="1346" w:type="dxa"/>
            <w:vAlign w:val="center"/>
          </w:tcPr>
          <w:p w14:paraId="2A30E5F0" w14:textId="0B421C4B" w:rsidR="00826AF2" w:rsidRDefault="00826AF2" w:rsidP="00172F56">
            <w:pPr>
              <w:pStyle w:val="11Bodytext"/>
              <w:numPr>
                <w:ilvl w:val="0"/>
                <w:numId w:val="0"/>
              </w:numPr>
              <w:spacing w:before="0" w:after="0" w:line="300" w:lineRule="auto"/>
              <w:jc w:val="center"/>
              <w:rPr>
                <w:color w:val="auto"/>
              </w:rPr>
            </w:pPr>
            <w:r w:rsidRPr="00D732CB">
              <w:t>97</w:t>
            </w:r>
          </w:p>
        </w:tc>
        <w:tc>
          <w:tcPr>
            <w:tcW w:w="1346" w:type="dxa"/>
            <w:vAlign w:val="center"/>
          </w:tcPr>
          <w:p w14:paraId="30F1EE06" w14:textId="024412FC" w:rsidR="00826AF2" w:rsidRDefault="00826AF2" w:rsidP="00172F56">
            <w:pPr>
              <w:pStyle w:val="11Bodytext"/>
              <w:numPr>
                <w:ilvl w:val="0"/>
                <w:numId w:val="0"/>
              </w:numPr>
              <w:spacing w:before="0" w:after="0" w:line="300" w:lineRule="auto"/>
              <w:jc w:val="center"/>
              <w:rPr>
                <w:color w:val="auto"/>
              </w:rPr>
            </w:pPr>
            <w:r w:rsidRPr="0092551A">
              <w:t>24</w:t>
            </w:r>
          </w:p>
        </w:tc>
        <w:tc>
          <w:tcPr>
            <w:tcW w:w="1346" w:type="dxa"/>
            <w:vAlign w:val="center"/>
          </w:tcPr>
          <w:p w14:paraId="4C451ABF" w14:textId="089907B2" w:rsidR="00826AF2" w:rsidRDefault="00826AF2" w:rsidP="00172F56">
            <w:pPr>
              <w:pStyle w:val="11Bodytext"/>
              <w:numPr>
                <w:ilvl w:val="0"/>
                <w:numId w:val="0"/>
              </w:numPr>
              <w:spacing w:before="0" w:after="0" w:line="300" w:lineRule="auto"/>
              <w:jc w:val="center"/>
              <w:rPr>
                <w:color w:val="auto"/>
              </w:rPr>
            </w:pPr>
            <w:r w:rsidRPr="0092551A">
              <w:t>46</w:t>
            </w:r>
          </w:p>
        </w:tc>
        <w:tc>
          <w:tcPr>
            <w:tcW w:w="1346" w:type="dxa"/>
            <w:vAlign w:val="center"/>
          </w:tcPr>
          <w:p w14:paraId="121FDE91" w14:textId="71C8E957" w:rsidR="00826AF2" w:rsidRDefault="00826AF2" w:rsidP="00172F56">
            <w:pPr>
              <w:pStyle w:val="11Bodytext"/>
              <w:numPr>
                <w:ilvl w:val="0"/>
                <w:numId w:val="0"/>
              </w:numPr>
              <w:spacing w:before="0" w:after="0" w:line="300" w:lineRule="auto"/>
              <w:jc w:val="center"/>
              <w:rPr>
                <w:color w:val="auto"/>
              </w:rPr>
            </w:pPr>
            <w:r w:rsidRPr="0092551A">
              <w:t>28</w:t>
            </w:r>
          </w:p>
        </w:tc>
        <w:tc>
          <w:tcPr>
            <w:tcW w:w="1346" w:type="dxa"/>
            <w:vAlign w:val="center"/>
          </w:tcPr>
          <w:p w14:paraId="6BAA1799" w14:textId="43ACAFD9" w:rsidR="00826AF2" w:rsidRDefault="00826AF2" w:rsidP="00172F56">
            <w:pPr>
              <w:pStyle w:val="11Bodytext"/>
              <w:numPr>
                <w:ilvl w:val="0"/>
                <w:numId w:val="0"/>
              </w:numPr>
              <w:spacing w:before="0" w:after="0" w:line="300" w:lineRule="auto"/>
              <w:jc w:val="center"/>
              <w:rPr>
                <w:color w:val="auto"/>
              </w:rPr>
            </w:pPr>
            <w:r w:rsidRPr="00C320CE">
              <w:t>56.6%</w:t>
            </w:r>
          </w:p>
        </w:tc>
        <w:tc>
          <w:tcPr>
            <w:tcW w:w="1347" w:type="dxa"/>
            <w:vAlign w:val="center"/>
          </w:tcPr>
          <w:p w14:paraId="775827E3" w14:textId="52E2EF1F" w:rsidR="00826AF2" w:rsidRDefault="00826AF2" w:rsidP="00172F56">
            <w:pPr>
              <w:pStyle w:val="11Bodytext"/>
              <w:numPr>
                <w:ilvl w:val="0"/>
                <w:numId w:val="0"/>
              </w:numPr>
              <w:spacing w:before="0" w:after="0" w:line="300" w:lineRule="auto"/>
              <w:jc w:val="center"/>
              <w:rPr>
                <w:color w:val="auto"/>
              </w:rPr>
            </w:pPr>
            <w:r w:rsidRPr="00C320CE">
              <w:t>55</w:t>
            </w:r>
          </w:p>
        </w:tc>
      </w:tr>
      <w:tr w:rsidR="00826AF2" w14:paraId="51D3468A" w14:textId="77777777" w:rsidTr="00172F56">
        <w:tc>
          <w:tcPr>
            <w:tcW w:w="1545" w:type="dxa"/>
            <w:vAlign w:val="center"/>
          </w:tcPr>
          <w:p w14:paraId="4EF12745" w14:textId="66FC698D" w:rsidR="00826AF2" w:rsidRDefault="00826AF2" w:rsidP="00172F56">
            <w:pPr>
              <w:pStyle w:val="11Bodytext"/>
              <w:numPr>
                <w:ilvl w:val="0"/>
                <w:numId w:val="0"/>
              </w:numPr>
              <w:spacing w:before="0" w:after="0" w:line="300" w:lineRule="auto"/>
              <w:jc w:val="left"/>
              <w:rPr>
                <w:color w:val="auto"/>
              </w:rPr>
            </w:pPr>
            <w:r w:rsidRPr="008D4A27">
              <w:t>Rural East</w:t>
            </w:r>
          </w:p>
        </w:tc>
        <w:tc>
          <w:tcPr>
            <w:tcW w:w="1346" w:type="dxa"/>
            <w:vAlign w:val="center"/>
          </w:tcPr>
          <w:p w14:paraId="147C59A9" w14:textId="7C6A38A3" w:rsidR="00826AF2" w:rsidRDefault="00826AF2" w:rsidP="00172F56">
            <w:pPr>
              <w:pStyle w:val="11Bodytext"/>
              <w:numPr>
                <w:ilvl w:val="0"/>
                <w:numId w:val="0"/>
              </w:numPr>
              <w:spacing w:before="0" w:after="0" w:line="300" w:lineRule="auto"/>
              <w:jc w:val="center"/>
              <w:rPr>
                <w:color w:val="auto"/>
              </w:rPr>
            </w:pPr>
            <w:r w:rsidRPr="00D732CB">
              <w:t>109</w:t>
            </w:r>
          </w:p>
        </w:tc>
        <w:tc>
          <w:tcPr>
            <w:tcW w:w="1346" w:type="dxa"/>
            <w:vAlign w:val="center"/>
          </w:tcPr>
          <w:p w14:paraId="018868D6" w14:textId="120BAD12" w:rsidR="00826AF2" w:rsidRDefault="00826AF2" w:rsidP="00172F56">
            <w:pPr>
              <w:pStyle w:val="11Bodytext"/>
              <w:numPr>
                <w:ilvl w:val="0"/>
                <w:numId w:val="0"/>
              </w:numPr>
              <w:spacing w:before="0" w:after="0" w:line="300" w:lineRule="auto"/>
              <w:jc w:val="center"/>
              <w:rPr>
                <w:color w:val="auto"/>
              </w:rPr>
            </w:pPr>
            <w:r w:rsidRPr="0092551A">
              <w:t>22</w:t>
            </w:r>
          </w:p>
        </w:tc>
        <w:tc>
          <w:tcPr>
            <w:tcW w:w="1346" w:type="dxa"/>
            <w:vAlign w:val="center"/>
          </w:tcPr>
          <w:p w14:paraId="692A954F" w14:textId="64FB35B9" w:rsidR="00826AF2" w:rsidRDefault="00826AF2" w:rsidP="00172F56">
            <w:pPr>
              <w:pStyle w:val="11Bodytext"/>
              <w:numPr>
                <w:ilvl w:val="0"/>
                <w:numId w:val="0"/>
              </w:numPr>
              <w:spacing w:before="0" w:after="0" w:line="300" w:lineRule="auto"/>
              <w:jc w:val="center"/>
              <w:rPr>
                <w:color w:val="auto"/>
              </w:rPr>
            </w:pPr>
            <w:r w:rsidRPr="0092551A">
              <w:t>70</w:t>
            </w:r>
          </w:p>
        </w:tc>
        <w:tc>
          <w:tcPr>
            <w:tcW w:w="1346" w:type="dxa"/>
            <w:vAlign w:val="center"/>
          </w:tcPr>
          <w:p w14:paraId="21AEE10D" w14:textId="1448DE2A" w:rsidR="00826AF2" w:rsidRDefault="00826AF2" w:rsidP="00172F56">
            <w:pPr>
              <w:pStyle w:val="11Bodytext"/>
              <w:numPr>
                <w:ilvl w:val="0"/>
                <w:numId w:val="0"/>
              </w:numPr>
              <w:spacing w:before="0" w:after="0" w:line="300" w:lineRule="auto"/>
              <w:jc w:val="center"/>
              <w:rPr>
                <w:color w:val="auto"/>
              </w:rPr>
            </w:pPr>
            <w:r w:rsidRPr="0092551A">
              <w:t>17</w:t>
            </w:r>
          </w:p>
        </w:tc>
        <w:tc>
          <w:tcPr>
            <w:tcW w:w="1346" w:type="dxa"/>
            <w:vAlign w:val="center"/>
          </w:tcPr>
          <w:p w14:paraId="4CFC7D7F" w14:textId="4A7FB092" w:rsidR="00826AF2" w:rsidRDefault="00826AF2" w:rsidP="00172F56">
            <w:pPr>
              <w:pStyle w:val="11Bodytext"/>
              <w:numPr>
                <w:ilvl w:val="0"/>
                <w:numId w:val="0"/>
              </w:numPr>
              <w:spacing w:before="0" w:after="0" w:line="300" w:lineRule="auto"/>
              <w:jc w:val="center"/>
              <w:rPr>
                <w:color w:val="auto"/>
              </w:rPr>
            </w:pPr>
            <w:r w:rsidRPr="00C320CE">
              <w:t>41.8%</w:t>
            </w:r>
          </w:p>
        </w:tc>
        <w:tc>
          <w:tcPr>
            <w:tcW w:w="1347" w:type="dxa"/>
            <w:vAlign w:val="center"/>
          </w:tcPr>
          <w:p w14:paraId="0D675FCF" w14:textId="1FA5BD8A" w:rsidR="00826AF2" w:rsidRDefault="00826AF2" w:rsidP="00172F56">
            <w:pPr>
              <w:pStyle w:val="11Bodytext"/>
              <w:numPr>
                <w:ilvl w:val="0"/>
                <w:numId w:val="0"/>
              </w:numPr>
              <w:spacing w:before="0" w:after="0" w:line="300" w:lineRule="auto"/>
              <w:jc w:val="center"/>
              <w:rPr>
                <w:color w:val="auto"/>
              </w:rPr>
            </w:pPr>
            <w:r w:rsidRPr="00C320CE">
              <w:t>46</w:t>
            </w:r>
          </w:p>
        </w:tc>
      </w:tr>
      <w:tr w:rsidR="00826AF2" w14:paraId="6809A7D7" w14:textId="77777777" w:rsidTr="00172F56">
        <w:tc>
          <w:tcPr>
            <w:tcW w:w="1545" w:type="dxa"/>
            <w:vAlign w:val="center"/>
          </w:tcPr>
          <w:p w14:paraId="739A8532" w14:textId="34650B36" w:rsidR="00826AF2" w:rsidRDefault="00826AF2" w:rsidP="00172F56">
            <w:pPr>
              <w:pStyle w:val="11Bodytext"/>
              <w:numPr>
                <w:ilvl w:val="0"/>
                <w:numId w:val="0"/>
              </w:numPr>
              <w:spacing w:before="0" w:after="0" w:line="300" w:lineRule="auto"/>
              <w:jc w:val="left"/>
              <w:rPr>
                <w:color w:val="auto"/>
              </w:rPr>
            </w:pPr>
            <w:r w:rsidRPr="008D4A27">
              <w:t>TOTAL</w:t>
            </w:r>
          </w:p>
        </w:tc>
        <w:tc>
          <w:tcPr>
            <w:tcW w:w="1346" w:type="dxa"/>
            <w:vAlign w:val="center"/>
          </w:tcPr>
          <w:p w14:paraId="09F4BAC4" w14:textId="236BD350" w:rsidR="00826AF2" w:rsidRDefault="00826AF2" w:rsidP="00172F56">
            <w:pPr>
              <w:pStyle w:val="11Bodytext"/>
              <w:numPr>
                <w:ilvl w:val="0"/>
                <w:numId w:val="0"/>
              </w:numPr>
              <w:spacing w:before="0" w:after="0" w:line="300" w:lineRule="auto"/>
              <w:jc w:val="center"/>
              <w:rPr>
                <w:color w:val="auto"/>
              </w:rPr>
            </w:pPr>
            <w:r w:rsidRPr="00D732CB">
              <w:t>2,797</w:t>
            </w:r>
          </w:p>
        </w:tc>
        <w:tc>
          <w:tcPr>
            <w:tcW w:w="1346" w:type="dxa"/>
            <w:vAlign w:val="center"/>
          </w:tcPr>
          <w:p w14:paraId="0CAD9E63" w14:textId="7A965C7B" w:rsidR="00826AF2" w:rsidRDefault="00826AF2" w:rsidP="00172F56">
            <w:pPr>
              <w:pStyle w:val="11Bodytext"/>
              <w:numPr>
                <w:ilvl w:val="0"/>
                <w:numId w:val="0"/>
              </w:numPr>
              <w:spacing w:before="0" w:after="0" w:line="300" w:lineRule="auto"/>
              <w:jc w:val="center"/>
              <w:rPr>
                <w:color w:val="auto"/>
              </w:rPr>
            </w:pPr>
            <w:r w:rsidRPr="0092551A">
              <w:t>830</w:t>
            </w:r>
          </w:p>
        </w:tc>
        <w:tc>
          <w:tcPr>
            <w:tcW w:w="1346" w:type="dxa"/>
            <w:vAlign w:val="center"/>
          </w:tcPr>
          <w:p w14:paraId="7BA203BE" w14:textId="7566D244" w:rsidR="00826AF2" w:rsidRDefault="00826AF2" w:rsidP="00172F56">
            <w:pPr>
              <w:pStyle w:val="11Bodytext"/>
              <w:numPr>
                <w:ilvl w:val="0"/>
                <w:numId w:val="0"/>
              </w:numPr>
              <w:spacing w:before="0" w:after="0" w:line="300" w:lineRule="auto"/>
              <w:jc w:val="center"/>
              <w:rPr>
                <w:color w:val="auto"/>
              </w:rPr>
            </w:pPr>
            <w:r w:rsidRPr="0092551A">
              <w:t>1,446</w:t>
            </w:r>
          </w:p>
        </w:tc>
        <w:tc>
          <w:tcPr>
            <w:tcW w:w="1346" w:type="dxa"/>
            <w:vAlign w:val="center"/>
          </w:tcPr>
          <w:p w14:paraId="117690AE" w14:textId="049D7703" w:rsidR="00826AF2" w:rsidRDefault="00826AF2" w:rsidP="00172F56">
            <w:pPr>
              <w:pStyle w:val="11Bodytext"/>
              <w:numPr>
                <w:ilvl w:val="0"/>
                <w:numId w:val="0"/>
              </w:numPr>
              <w:spacing w:before="0" w:after="0" w:line="300" w:lineRule="auto"/>
              <w:jc w:val="center"/>
              <w:rPr>
                <w:color w:val="auto"/>
              </w:rPr>
            </w:pPr>
            <w:r w:rsidRPr="0092551A">
              <w:t>522</w:t>
            </w:r>
          </w:p>
        </w:tc>
        <w:tc>
          <w:tcPr>
            <w:tcW w:w="1346" w:type="dxa"/>
            <w:vAlign w:val="center"/>
          </w:tcPr>
          <w:p w14:paraId="0C99120B" w14:textId="27EB6EC1" w:rsidR="00826AF2" w:rsidRDefault="00826AF2" w:rsidP="00172F56">
            <w:pPr>
              <w:pStyle w:val="11Bodytext"/>
              <w:numPr>
                <w:ilvl w:val="0"/>
                <w:numId w:val="0"/>
              </w:numPr>
              <w:spacing w:before="0" w:after="0" w:line="300" w:lineRule="auto"/>
              <w:jc w:val="center"/>
              <w:rPr>
                <w:color w:val="auto"/>
              </w:rPr>
            </w:pPr>
            <w:r w:rsidRPr="00C320CE">
              <w:t>36.6%</w:t>
            </w:r>
          </w:p>
        </w:tc>
        <w:tc>
          <w:tcPr>
            <w:tcW w:w="1347" w:type="dxa"/>
            <w:vAlign w:val="center"/>
          </w:tcPr>
          <w:p w14:paraId="6755F7A0" w14:textId="0E04B297" w:rsidR="00826AF2" w:rsidRDefault="00826AF2" w:rsidP="00172F56">
            <w:pPr>
              <w:pStyle w:val="11Bodytext"/>
              <w:numPr>
                <w:ilvl w:val="0"/>
                <w:numId w:val="0"/>
              </w:numPr>
              <w:spacing w:before="0" w:after="0" w:line="300" w:lineRule="auto"/>
              <w:jc w:val="center"/>
              <w:rPr>
                <w:color w:val="auto"/>
              </w:rPr>
            </w:pPr>
            <w:r w:rsidRPr="00C320CE">
              <w:t>1,024</w:t>
            </w:r>
          </w:p>
        </w:tc>
      </w:tr>
    </w:tbl>
    <w:p w14:paraId="647A3524" w14:textId="54294538" w:rsidR="0007167E" w:rsidRDefault="0007167E" w:rsidP="00826AF2">
      <w:pPr>
        <w:spacing w:line="300" w:lineRule="auto"/>
        <w:jc w:val="center"/>
        <w:rPr>
          <w:rFonts w:ascii="Arial" w:hAnsi="Arial" w:cs="Arial"/>
          <w:sz w:val="20"/>
          <w:szCs w:val="20"/>
        </w:rPr>
      </w:pPr>
      <w:r w:rsidRPr="008D4A27">
        <w:rPr>
          <w:rFonts w:ascii="Arial" w:hAnsi="Arial" w:cs="Arial"/>
          <w:sz w:val="20"/>
          <w:szCs w:val="20"/>
        </w:rPr>
        <w:t xml:space="preserve">Source: </w:t>
      </w:r>
      <w:r w:rsidR="00826AF2">
        <w:rPr>
          <w:rFonts w:ascii="Arial" w:hAnsi="Arial" w:cs="Arial"/>
          <w:sz w:val="20"/>
          <w:szCs w:val="20"/>
        </w:rPr>
        <w:t>Household survey</w:t>
      </w:r>
    </w:p>
    <w:p w14:paraId="63C4E6FF" w14:textId="77777777" w:rsidR="00DA7C15" w:rsidRDefault="00DA7C15" w:rsidP="00172F56">
      <w:pPr>
        <w:pStyle w:val="11Bodytext"/>
        <w:numPr>
          <w:ilvl w:val="0"/>
          <w:numId w:val="0"/>
        </w:numPr>
        <w:spacing w:before="0" w:after="0" w:line="300" w:lineRule="auto"/>
        <w:rPr>
          <w:color w:val="auto"/>
        </w:rPr>
      </w:pPr>
    </w:p>
    <w:p w14:paraId="3F558DB4" w14:textId="4E5158C6" w:rsidR="0007167E" w:rsidRPr="00DA7C15" w:rsidRDefault="0007167E">
      <w:pPr>
        <w:pStyle w:val="11Bodytext"/>
        <w:numPr>
          <w:ilvl w:val="1"/>
          <w:numId w:val="76"/>
        </w:numPr>
        <w:spacing w:before="0" w:after="0" w:line="300" w:lineRule="auto"/>
        <w:ind w:left="720" w:hanging="720"/>
        <w:rPr>
          <w:color w:val="auto"/>
        </w:rPr>
      </w:pPr>
      <w:r>
        <w:t>The table below shows the same analysis but for households who are able to afford to rent but not buy, this total</w:t>
      </w:r>
      <w:r w:rsidR="0011472D">
        <w:t>s</w:t>
      </w:r>
      <w:r>
        <w:t xml:space="preserve"> </w:t>
      </w:r>
      <w:r w:rsidR="006D0B12">
        <w:t xml:space="preserve">782 </w:t>
      </w:r>
      <w:r>
        <w:t xml:space="preserve">households </w:t>
      </w:r>
      <w:r w:rsidR="006D0B12">
        <w:t xml:space="preserve">(156 </w:t>
      </w:r>
      <w:r>
        <w:t>per annum</w:t>
      </w:r>
      <w:r w:rsidR="006D0B12">
        <w:t>)</w:t>
      </w:r>
      <w:r>
        <w:t>.</w:t>
      </w:r>
    </w:p>
    <w:p w14:paraId="2D8CB772" w14:textId="77777777" w:rsidR="00DA7C15" w:rsidRPr="00DA7C15" w:rsidRDefault="00DA7C15" w:rsidP="00172F56">
      <w:pPr>
        <w:pStyle w:val="11Bodytext"/>
        <w:numPr>
          <w:ilvl w:val="0"/>
          <w:numId w:val="0"/>
        </w:numPr>
        <w:spacing w:before="0" w:after="0" w:line="300" w:lineRule="auto"/>
        <w:rPr>
          <w:color w:val="auto"/>
        </w:rPr>
      </w:pPr>
    </w:p>
    <w:tbl>
      <w:tblPr>
        <w:tblStyle w:val="TableTheme"/>
        <w:tblW w:w="8199" w:type="dxa"/>
        <w:jc w:val="center"/>
        <w:tblLayout w:type="fixed"/>
        <w:tblLook w:val="04A0" w:firstRow="1" w:lastRow="0" w:firstColumn="1" w:lastColumn="0" w:noHBand="0" w:noVBand="1"/>
      </w:tblPr>
      <w:tblGrid>
        <w:gridCol w:w="2049"/>
        <w:gridCol w:w="2050"/>
        <w:gridCol w:w="2050"/>
        <w:gridCol w:w="2050"/>
      </w:tblGrid>
      <w:tr w:rsidR="00DA7C15" w:rsidRPr="008D4A27" w14:paraId="40A613A8" w14:textId="77777777" w:rsidTr="008469E3">
        <w:trPr>
          <w:jc w:val="center"/>
        </w:trPr>
        <w:tc>
          <w:tcPr>
            <w:tcW w:w="8199" w:type="dxa"/>
            <w:gridSpan w:val="4"/>
          </w:tcPr>
          <w:p w14:paraId="79800E00" w14:textId="7D675DC7" w:rsidR="00DA7C15" w:rsidRPr="00DA7C15" w:rsidRDefault="00DA7C15" w:rsidP="00826AF2">
            <w:pPr>
              <w:pStyle w:val="BodyText"/>
              <w:keepNext/>
              <w:tabs>
                <w:tab w:val="left" w:pos="720"/>
              </w:tabs>
              <w:spacing w:after="0" w:line="300" w:lineRule="auto"/>
              <w:jc w:val="center"/>
              <w:rPr>
                <w:rFonts w:cs="Arial"/>
                <w:b/>
              </w:rPr>
            </w:pPr>
            <w:r w:rsidRPr="00DA7C15">
              <w:rPr>
                <w:rFonts w:cs="Arial"/>
                <w:b/>
              </w:rPr>
              <w:t>Figure 3.</w:t>
            </w:r>
            <w:r w:rsidR="00DF6242">
              <w:rPr>
                <w:rFonts w:cs="Arial"/>
                <w:b/>
              </w:rPr>
              <w:t>6</w:t>
            </w:r>
            <w:r w:rsidRPr="00DA7C15">
              <w:rPr>
                <w:rFonts w:cs="Arial"/>
                <w:b/>
              </w:rPr>
              <w:t>: Estimated Need for affordable home ownership from Newly Forming Households (</w:t>
            </w:r>
            <w:r w:rsidR="006D0B12">
              <w:rPr>
                <w:rFonts w:cs="Arial"/>
                <w:b/>
              </w:rPr>
              <w:t>next 5-years</w:t>
            </w:r>
            <w:r w:rsidRPr="00DA7C15">
              <w:rPr>
                <w:rFonts w:cs="Arial"/>
                <w:b/>
              </w:rPr>
              <w:t>)</w:t>
            </w:r>
          </w:p>
        </w:tc>
      </w:tr>
      <w:tr w:rsidR="0007167E" w:rsidRPr="008D4A27" w14:paraId="031C92C5" w14:textId="77777777" w:rsidTr="00DA7C15">
        <w:trPr>
          <w:jc w:val="center"/>
        </w:trPr>
        <w:tc>
          <w:tcPr>
            <w:tcW w:w="2049" w:type="dxa"/>
          </w:tcPr>
          <w:p w14:paraId="79579744" w14:textId="77777777" w:rsidR="0007167E" w:rsidRPr="008D4A27" w:rsidRDefault="0007167E" w:rsidP="00826AF2">
            <w:pPr>
              <w:keepNext/>
              <w:spacing w:line="300" w:lineRule="auto"/>
              <w:rPr>
                <w:rFonts w:ascii="Arial" w:hAnsi="Arial" w:cs="Arial"/>
                <w:bCs/>
                <w:sz w:val="20"/>
                <w:szCs w:val="20"/>
              </w:rPr>
            </w:pPr>
          </w:p>
        </w:tc>
        <w:tc>
          <w:tcPr>
            <w:tcW w:w="2050" w:type="dxa"/>
            <w:hideMark/>
          </w:tcPr>
          <w:p w14:paraId="3052F880" w14:textId="77777777" w:rsidR="0007167E" w:rsidRPr="008D4A27" w:rsidRDefault="0007167E" w:rsidP="00826AF2">
            <w:pPr>
              <w:pStyle w:val="BodyText"/>
              <w:keepNext/>
              <w:tabs>
                <w:tab w:val="left" w:pos="720"/>
              </w:tabs>
              <w:spacing w:after="0" w:line="300" w:lineRule="auto"/>
              <w:jc w:val="center"/>
              <w:rPr>
                <w:rFonts w:cs="Arial"/>
                <w:bCs/>
              </w:rPr>
            </w:pPr>
            <w:r w:rsidRPr="008D4A27">
              <w:rPr>
                <w:rFonts w:cs="Arial"/>
                <w:bCs/>
              </w:rPr>
              <w:t>Number of new households</w:t>
            </w:r>
          </w:p>
        </w:tc>
        <w:tc>
          <w:tcPr>
            <w:tcW w:w="2050" w:type="dxa"/>
            <w:hideMark/>
          </w:tcPr>
          <w:p w14:paraId="7A141672" w14:textId="5672EFAB" w:rsidR="0007167E" w:rsidRPr="008D4A27" w:rsidRDefault="0007167E" w:rsidP="00826AF2">
            <w:pPr>
              <w:pStyle w:val="BodyText"/>
              <w:keepNext/>
              <w:tabs>
                <w:tab w:val="left" w:pos="720"/>
              </w:tabs>
              <w:spacing w:after="0" w:line="300" w:lineRule="auto"/>
              <w:jc w:val="center"/>
              <w:rPr>
                <w:rFonts w:cs="Arial"/>
                <w:bCs/>
              </w:rPr>
            </w:pPr>
            <w:r w:rsidRPr="008D4A27">
              <w:rPr>
                <w:rFonts w:cs="Arial"/>
                <w:bCs/>
              </w:rPr>
              <w:t>% unable to afford</w:t>
            </w:r>
            <w:r w:rsidR="004A219C">
              <w:rPr>
                <w:rFonts w:cs="Arial"/>
                <w:bCs/>
              </w:rPr>
              <w:t xml:space="preserve"> to buy but able to afford to rent</w:t>
            </w:r>
          </w:p>
        </w:tc>
        <w:tc>
          <w:tcPr>
            <w:tcW w:w="2050" w:type="dxa"/>
            <w:hideMark/>
          </w:tcPr>
          <w:p w14:paraId="6FAE0C59" w14:textId="7D5D8C4C" w:rsidR="0007167E" w:rsidRPr="008D4A27" w:rsidRDefault="006D0B12" w:rsidP="00826AF2">
            <w:pPr>
              <w:pStyle w:val="BodyText"/>
              <w:keepNext/>
              <w:tabs>
                <w:tab w:val="left" w:pos="720"/>
              </w:tabs>
              <w:spacing w:after="0" w:line="300" w:lineRule="auto"/>
              <w:jc w:val="center"/>
              <w:rPr>
                <w:rFonts w:cs="Arial"/>
                <w:bCs/>
              </w:rPr>
            </w:pPr>
            <w:r>
              <w:rPr>
                <w:rFonts w:cs="Arial"/>
                <w:bCs/>
              </w:rPr>
              <w:t>N</w:t>
            </w:r>
            <w:r w:rsidR="0007167E" w:rsidRPr="008D4A27">
              <w:rPr>
                <w:rFonts w:cs="Arial"/>
                <w:bCs/>
              </w:rPr>
              <w:t>ewly forming households able to afford to rent</w:t>
            </w:r>
            <w:r w:rsidR="008E35C2">
              <w:rPr>
                <w:rFonts w:cs="Arial"/>
                <w:bCs/>
              </w:rPr>
              <w:t xml:space="preserve"> but unable to afford to buy market housing</w:t>
            </w:r>
          </w:p>
        </w:tc>
      </w:tr>
      <w:tr w:rsidR="006D0B12" w:rsidRPr="008D4A27" w14:paraId="3E214733" w14:textId="77777777" w:rsidTr="00172F56">
        <w:trPr>
          <w:jc w:val="center"/>
        </w:trPr>
        <w:tc>
          <w:tcPr>
            <w:tcW w:w="2049" w:type="dxa"/>
            <w:hideMark/>
          </w:tcPr>
          <w:p w14:paraId="7A373A59" w14:textId="5569A65C" w:rsidR="006D0B12" w:rsidRPr="008D4A27" w:rsidRDefault="006D0B12" w:rsidP="00826AF2">
            <w:pPr>
              <w:pStyle w:val="BodyText"/>
              <w:keepNext/>
              <w:tabs>
                <w:tab w:val="left" w:pos="720"/>
              </w:tabs>
              <w:spacing w:after="0" w:line="300" w:lineRule="auto"/>
              <w:rPr>
                <w:rFonts w:cs="Arial"/>
                <w:bCs/>
              </w:rPr>
            </w:pPr>
            <w:r>
              <w:rPr>
                <w:rFonts w:cs="Arial"/>
                <w:color w:val="000000"/>
              </w:rPr>
              <w:t>St. Annes</w:t>
            </w:r>
          </w:p>
        </w:tc>
        <w:tc>
          <w:tcPr>
            <w:tcW w:w="2050" w:type="dxa"/>
            <w:vAlign w:val="bottom"/>
            <w:hideMark/>
          </w:tcPr>
          <w:p w14:paraId="33C65DAC" w14:textId="08DC3B8C" w:rsidR="006D0B12" w:rsidRPr="006D0B12" w:rsidRDefault="006D0B12" w:rsidP="00826AF2">
            <w:pPr>
              <w:pStyle w:val="BodyText"/>
              <w:keepNext/>
              <w:tabs>
                <w:tab w:val="left" w:pos="720"/>
              </w:tabs>
              <w:spacing w:after="0" w:line="300" w:lineRule="auto"/>
              <w:jc w:val="center"/>
              <w:rPr>
                <w:rFonts w:cs="Arial"/>
                <w:bCs/>
              </w:rPr>
            </w:pPr>
            <w:r w:rsidRPr="00172F56">
              <w:rPr>
                <w:rFonts w:cs="Arial"/>
                <w:color w:val="000000"/>
              </w:rPr>
              <w:t>891</w:t>
            </w:r>
          </w:p>
        </w:tc>
        <w:tc>
          <w:tcPr>
            <w:tcW w:w="2050" w:type="dxa"/>
            <w:vAlign w:val="bottom"/>
            <w:hideMark/>
          </w:tcPr>
          <w:p w14:paraId="5C046B45" w14:textId="03E51326" w:rsidR="006D0B12" w:rsidRPr="006D0B12" w:rsidRDefault="006D0B12" w:rsidP="00826AF2">
            <w:pPr>
              <w:pStyle w:val="BodyText"/>
              <w:keepNext/>
              <w:tabs>
                <w:tab w:val="left" w:pos="720"/>
              </w:tabs>
              <w:spacing w:after="0" w:line="300" w:lineRule="auto"/>
              <w:jc w:val="center"/>
              <w:rPr>
                <w:rFonts w:cs="Arial"/>
                <w:bCs/>
              </w:rPr>
            </w:pPr>
            <w:r w:rsidRPr="00172F56">
              <w:rPr>
                <w:rFonts w:cs="Arial"/>
                <w:color w:val="000000"/>
              </w:rPr>
              <w:t>20.1%</w:t>
            </w:r>
          </w:p>
        </w:tc>
        <w:tc>
          <w:tcPr>
            <w:tcW w:w="2050" w:type="dxa"/>
            <w:vAlign w:val="bottom"/>
            <w:hideMark/>
          </w:tcPr>
          <w:p w14:paraId="30942377" w14:textId="061C4F82" w:rsidR="006D0B12" w:rsidRPr="006D0B12" w:rsidRDefault="006D0B12" w:rsidP="00826AF2">
            <w:pPr>
              <w:pStyle w:val="BodyText"/>
              <w:keepNext/>
              <w:tabs>
                <w:tab w:val="left" w:pos="720"/>
              </w:tabs>
              <w:spacing w:after="0" w:line="300" w:lineRule="auto"/>
              <w:jc w:val="center"/>
              <w:rPr>
                <w:rFonts w:cs="Arial"/>
                <w:bCs/>
              </w:rPr>
            </w:pPr>
            <w:r w:rsidRPr="00172F56">
              <w:rPr>
                <w:rFonts w:cs="Arial"/>
                <w:color w:val="000000"/>
              </w:rPr>
              <w:t>180</w:t>
            </w:r>
          </w:p>
        </w:tc>
      </w:tr>
      <w:tr w:rsidR="006D0B12" w:rsidRPr="008D4A27" w14:paraId="56E4FE37" w14:textId="77777777" w:rsidTr="00172F56">
        <w:trPr>
          <w:jc w:val="center"/>
        </w:trPr>
        <w:tc>
          <w:tcPr>
            <w:tcW w:w="2049" w:type="dxa"/>
            <w:hideMark/>
          </w:tcPr>
          <w:p w14:paraId="1DB5477F" w14:textId="77777777" w:rsidR="006D0B12" w:rsidRPr="008D4A27" w:rsidRDefault="006D0B12" w:rsidP="00826AF2">
            <w:pPr>
              <w:pStyle w:val="BodyText"/>
              <w:keepNext/>
              <w:tabs>
                <w:tab w:val="left" w:pos="720"/>
              </w:tabs>
              <w:spacing w:after="0" w:line="300" w:lineRule="auto"/>
              <w:rPr>
                <w:rFonts w:cs="Arial"/>
                <w:bCs/>
              </w:rPr>
            </w:pPr>
            <w:r w:rsidRPr="008D4A27">
              <w:rPr>
                <w:rFonts w:cs="Arial"/>
                <w:color w:val="000000"/>
              </w:rPr>
              <w:t>Lytham</w:t>
            </w:r>
          </w:p>
        </w:tc>
        <w:tc>
          <w:tcPr>
            <w:tcW w:w="2050" w:type="dxa"/>
            <w:vAlign w:val="bottom"/>
            <w:hideMark/>
          </w:tcPr>
          <w:p w14:paraId="4E84900E" w14:textId="0722D245" w:rsidR="006D0B12" w:rsidRPr="006D0B12" w:rsidRDefault="006D0B12" w:rsidP="00826AF2">
            <w:pPr>
              <w:pStyle w:val="BodyText"/>
              <w:keepNext/>
              <w:tabs>
                <w:tab w:val="left" w:pos="720"/>
              </w:tabs>
              <w:spacing w:after="0" w:line="300" w:lineRule="auto"/>
              <w:jc w:val="center"/>
              <w:rPr>
                <w:rFonts w:cs="Arial"/>
                <w:bCs/>
              </w:rPr>
            </w:pPr>
            <w:r w:rsidRPr="00172F56">
              <w:rPr>
                <w:rFonts w:cs="Arial"/>
                <w:color w:val="000000"/>
              </w:rPr>
              <w:t>631</w:t>
            </w:r>
          </w:p>
        </w:tc>
        <w:tc>
          <w:tcPr>
            <w:tcW w:w="2050" w:type="dxa"/>
            <w:vAlign w:val="bottom"/>
            <w:hideMark/>
          </w:tcPr>
          <w:p w14:paraId="4E973669" w14:textId="5DE962B4" w:rsidR="006D0B12" w:rsidRPr="006D0B12" w:rsidRDefault="006D0B12" w:rsidP="00826AF2">
            <w:pPr>
              <w:pStyle w:val="BodyText"/>
              <w:keepNext/>
              <w:tabs>
                <w:tab w:val="left" w:pos="720"/>
              </w:tabs>
              <w:spacing w:after="0" w:line="300" w:lineRule="auto"/>
              <w:jc w:val="center"/>
              <w:rPr>
                <w:rFonts w:cs="Arial"/>
                <w:bCs/>
              </w:rPr>
            </w:pPr>
            <w:r w:rsidRPr="00172F56">
              <w:rPr>
                <w:rFonts w:cs="Arial"/>
                <w:color w:val="000000"/>
              </w:rPr>
              <w:t>36.9%</w:t>
            </w:r>
          </w:p>
        </w:tc>
        <w:tc>
          <w:tcPr>
            <w:tcW w:w="2050" w:type="dxa"/>
            <w:vAlign w:val="bottom"/>
            <w:hideMark/>
          </w:tcPr>
          <w:p w14:paraId="1A0F455F" w14:textId="5D7C71B9" w:rsidR="006D0B12" w:rsidRPr="006D0B12" w:rsidRDefault="006D0B12" w:rsidP="00826AF2">
            <w:pPr>
              <w:pStyle w:val="BodyText"/>
              <w:keepNext/>
              <w:tabs>
                <w:tab w:val="left" w:pos="720"/>
              </w:tabs>
              <w:spacing w:after="0" w:line="300" w:lineRule="auto"/>
              <w:jc w:val="center"/>
              <w:rPr>
                <w:rFonts w:cs="Arial"/>
                <w:bCs/>
              </w:rPr>
            </w:pPr>
            <w:r w:rsidRPr="00172F56">
              <w:rPr>
                <w:rFonts w:cs="Arial"/>
                <w:color w:val="000000"/>
              </w:rPr>
              <w:t>233</w:t>
            </w:r>
          </w:p>
        </w:tc>
      </w:tr>
      <w:tr w:rsidR="006D0B12" w:rsidRPr="008D4A27" w14:paraId="6E45FFB0" w14:textId="77777777" w:rsidTr="00172F56">
        <w:trPr>
          <w:jc w:val="center"/>
        </w:trPr>
        <w:tc>
          <w:tcPr>
            <w:tcW w:w="2049" w:type="dxa"/>
            <w:hideMark/>
          </w:tcPr>
          <w:p w14:paraId="29F9605E" w14:textId="77777777" w:rsidR="006D0B12" w:rsidRPr="008D4A27" w:rsidRDefault="006D0B12" w:rsidP="00826AF2">
            <w:pPr>
              <w:pStyle w:val="BodyText"/>
              <w:keepNext/>
              <w:tabs>
                <w:tab w:val="left" w:pos="720"/>
              </w:tabs>
              <w:spacing w:after="0" w:line="300" w:lineRule="auto"/>
              <w:rPr>
                <w:rFonts w:cs="Arial"/>
                <w:bCs/>
              </w:rPr>
            </w:pPr>
            <w:r w:rsidRPr="008D4A27">
              <w:rPr>
                <w:rFonts w:cs="Arial"/>
                <w:color w:val="000000"/>
              </w:rPr>
              <w:t>Warton</w:t>
            </w:r>
          </w:p>
        </w:tc>
        <w:tc>
          <w:tcPr>
            <w:tcW w:w="2050" w:type="dxa"/>
            <w:vAlign w:val="bottom"/>
            <w:hideMark/>
          </w:tcPr>
          <w:p w14:paraId="5EF2CE90" w14:textId="0A23BA59" w:rsidR="006D0B12" w:rsidRPr="006D0B12" w:rsidRDefault="006D0B12" w:rsidP="00826AF2">
            <w:pPr>
              <w:pStyle w:val="BodyText"/>
              <w:keepNext/>
              <w:tabs>
                <w:tab w:val="left" w:pos="720"/>
              </w:tabs>
              <w:spacing w:after="0" w:line="300" w:lineRule="auto"/>
              <w:jc w:val="center"/>
              <w:rPr>
                <w:rFonts w:cs="Arial"/>
                <w:bCs/>
              </w:rPr>
            </w:pPr>
            <w:r w:rsidRPr="00172F56">
              <w:rPr>
                <w:rFonts w:cs="Arial"/>
                <w:color w:val="000000"/>
              </w:rPr>
              <w:t>148</w:t>
            </w:r>
          </w:p>
        </w:tc>
        <w:tc>
          <w:tcPr>
            <w:tcW w:w="2050" w:type="dxa"/>
            <w:vAlign w:val="bottom"/>
            <w:hideMark/>
          </w:tcPr>
          <w:p w14:paraId="23EB510B" w14:textId="17B0B0A4" w:rsidR="006D0B12" w:rsidRPr="006D0B12" w:rsidRDefault="006D0B12" w:rsidP="00826AF2">
            <w:pPr>
              <w:pStyle w:val="BodyText"/>
              <w:keepNext/>
              <w:tabs>
                <w:tab w:val="left" w:pos="720"/>
              </w:tabs>
              <w:spacing w:after="0" w:line="300" w:lineRule="auto"/>
              <w:jc w:val="center"/>
              <w:rPr>
                <w:rFonts w:cs="Arial"/>
                <w:bCs/>
              </w:rPr>
            </w:pPr>
            <w:r w:rsidRPr="00172F56">
              <w:rPr>
                <w:rFonts w:cs="Arial"/>
                <w:color w:val="000000"/>
              </w:rPr>
              <w:t>25.5%</w:t>
            </w:r>
          </w:p>
        </w:tc>
        <w:tc>
          <w:tcPr>
            <w:tcW w:w="2050" w:type="dxa"/>
            <w:vAlign w:val="bottom"/>
            <w:hideMark/>
          </w:tcPr>
          <w:p w14:paraId="1590C799" w14:textId="707541EA" w:rsidR="006D0B12" w:rsidRPr="006D0B12" w:rsidRDefault="006D0B12" w:rsidP="00826AF2">
            <w:pPr>
              <w:pStyle w:val="BodyText"/>
              <w:keepNext/>
              <w:tabs>
                <w:tab w:val="left" w:pos="720"/>
              </w:tabs>
              <w:spacing w:after="0" w:line="300" w:lineRule="auto"/>
              <w:jc w:val="center"/>
              <w:rPr>
                <w:rFonts w:cs="Arial"/>
                <w:bCs/>
              </w:rPr>
            </w:pPr>
            <w:r w:rsidRPr="00172F56">
              <w:rPr>
                <w:rFonts w:cs="Arial"/>
                <w:color w:val="000000"/>
              </w:rPr>
              <w:t>38</w:t>
            </w:r>
          </w:p>
        </w:tc>
      </w:tr>
      <w:tr w:rsidR="006D0B12" w:rsidRPr="008D4A27" w14:paraId="274CFC61" w14:textId="77777777" w:rsidTr="00172F56">
        <w:trPr>
          <w:jc w:val="center"/>
        </w:trPr>
        <w:tc>
          <w:tcPr>
            <w:tcW w:w="2049" w:type="dxa"/>
            <w:hideMark/>
          </w:tcPr>
          <w:p w14:paraId="0E6EEB3E" w14:textId="77777777" w:rsidR="006D0B12" w:rsidRPr="008D4A27" w:rsidRDefault="006D0B12" w:rsidP="00826AF2">
            <w:pPr>
              <w:pStyle w:val="BodyText"/>
              <w:keepNext/>
              <w:tabs>
                <w:tab w:val="left" w:pos="720"/>
              </w:tabs>
              <w:spacing w:after="0" w:line="300" w:lineRule="auto"/>
              <w:rPr>
                <w:rFonts w:cs="Arial"/>
                <w:bCs/>
              </w:rPr>
            </w:pPr>
            <w:r w:rsidRPr="008D4A27">
              <w:rPr>
                <w:rFonts w:cs="Arial"/>
                <w:color w:val="000000"/>
              </w:rPr>
              <w:t>FB Periphery</w:t>
            </w:r>
          </w:p>
        </w:tc>
        <w:tc>
          <w:tcPr>
            <w:tcW w:w="2050" w:type="dxa"/>
            <w:vAlign w:val="bottom"/>
            <w:hideMark/>
          </w:tcPr>
          <w:p w14:paraId="50435701" w14:textId="5D6EB301" w:rsidR="006D0B12" w:rsidRPr="006D0B12" w:rsidRDefault="006D0B12" w:rsidP="00826AF2">
            <w:pPr>
              <w:pStyle w:val="BodyText"/>
              <w:keepNext/>
              <w:tabs>
                <w:tab w:val="left" w:pos="720"/>
              </w:tabs>
              <w:spacing w:after="0" w:line="300" w:lineRule="auto"/>
              <w:jc w:val="center"/>
              <w:rPr>
                <w:rFonts w:cs="Arial"/>
                <w:bCs/>
              </w:rPr>
            </w:pPr>
            <w:r w:rsidRPr="00172F56">
              <w:rPr>
                <w:rFonts w:cs="Arial"/>
                <w:color w:val="000000"/>
              </w:rPr>
              <w:t>20</w:t>
            </w:r>
          </w:p>
        </w:tc>
        <w:tc>
          <w:tcPr>
            <w:tcW w:w="2050" w:type="dxa"/>
            <w:vAlign w:val="bottom"/>
            <w:hideMark/>
          </w:tcPr>
          <w:p w14:paraId="426DA505" w14:textId="7AD61715" w:rsidR="006D0B12" w:rsidRPr="006D0B12" w:rsidRDefault="006D0B12" w:rsidP="00826AF2">
            <w:pPr>
              <w:pStyle w:val="BodyText"/>
              <w:keepNext/>
              <w:tabs>
                <w:tab w:val="left" w:pos="720"/>
              </w:tabs>
              <w:spacing w:after="0" w:line="300" w:lineRule="auto"/>
              <w:jc w:val="center"/>
              <w:rPr>
                <w:rFonts w:cs="Arial"/>
                <w:bCs/>
              </w:rPr>
            </w:pPr>
            <w:r w:rsidRPr="00172F56">
              <w:rPr>
                <w:rFonts w:cs="Arial"/>
                <w:color w:val="000000"/>
              </w:rPr>
              <w:t>35.9%</w:t>
            </w:r>
          </w:p>
        </w:tc>
        <w:tc>
          <w:tcPr>
            <w:tcW w:w="2050" w:type="dxa"/>
            <w:vAlign w:val="bottom"/>
            <w:hideMark/>
          </w:tcPr>
          <w:p w14:paraId="03607AA0" w14:textId="02408C26" w:rsidR="006D0B12" w:rsidRPr="006D0B12" w:rsidRDefault="006D0B12" w:rsidP="00826AF2">
            <w:pPr>
              <w:pStyle w:val="BodyText"/>
              <w:keepNext/>
              <w:tabs>
                <w:tab w:val="left" w:pos="720"/>
              </w:tabs>
              <w:spacing w:after="0" w:line="300" w:lineRule="auto"/>
              <w:jc w:val="center"/>
              <w:rPr>
                <w:rFonts w:cs="Arial"/>
                <w:bCs/>
              </w:rPr>
            </w:pPr>
            <w:r w:rsidRPr="00172F56">
              <w:rPr>
                <w:rFonts w:cs="Arial"/>
                <w:color w:val="000000"/>
              </w:rPr>
              <w:t>7</w:t>
            </w:r>
          </w:p>
        </w:tc>
      </w:tr>
      <w:tr w:rsidR="006D0B12" w:rsidRPr="008D4A27" w14:paraId="76D87198" w14:textId="77777777" w:rsidTr="00172F56">
        <w:trPr>
          <w:jc w:val="center"/>
        </w:trPr>
        <w:tc>
          <w:tcPr>
            <w:tcW w:w="2049" w:type="dxa"/>
          </w:tcPr>
          <w:p w14:paraId="4F7AEE2D" w14:textId="77777777" w:rsidR="006D0B12" w:rsidRPr="008D4A27" w:rsidRDefault="006D0B12" w:rsidP="00826AF2">
            <w:pPr>
              <w:pStyle w:val="BodyText"/>
              <w:keepNext/>
              <w:tabs>
                <w:tab w:val="left" w:pos="720"/>
              </w:tabs>
              <w:spacing w:after="0" w:line="300" w:lineRule="auto"/>
              <w:rPr>
                <w:rFonts w:cs="Arial"/>
              </w:rPr>
            </w:pPr>
            <w:r w:rsidRPr="008D4A27">
              <w:rPr>
                <w:rFonts w:cs="Arial"/>
                <w:color w:val="000000"/>
              </w:rPr>
              <w:t>Kirkham</w:t>
            </w:r>
          </w:p>
        </w:tc>
        <w:tc>
          <w:tcPr>
            <w:tcW w:w="2050" w:type="dxa"/>
            <w:vAlign w:val="bottom"/>
          </w:tcPr>
          <w:p w14:paraId="3A10257D" w14:textId="014D49AD" w:rsidR="006D0B12" w:rsidRPr="006D0B12" w:rsidRDefault="006D0B12" w:rsidP="00826AF2">
            <w:pPr>
              <w:pStyle w:val="BodyText"/>
              <w:keepNext/>
              <w:tabs>
                <w:tab w:val="left" w:pos="720"/>
              </w:tabs>
              <w:spacing w:after="0" w:line="300" w:lineRule="auto"/>
              <w:jc w:val="center"/>
              <w:rPr>
                <w:rFonts w:cs="Arial"/>
              </w:rPr>
            </w:pPr>
            <w:r w:rsidRPr="00172F56">
              <w:rPr>
                <w:rFonts w:cs="Arial"/>
                <w:color w:val="000000"/>
              </w:rPr>
              <w:t>348</w:t>
            </w:r>
          </w:p>
        </w:tc>
        <w:tc>
          <w:tcPr>
            <w:tcW w:w="2050" w:type="dxa"/>
            <w:vAlign w:val="bottom"/>
          </w:tcPr>
          <w:p w14:paraId="187B10E4" w14:textId="0D102A59" w:rsidR="006D0B12" w:rsidRPr="006D0B12" w:rsidRDefault="006D0B12" w:rsidP="00826AF2">
            <w:pPr>
              <w:pStyle w:val="BodyText"/>
              <w:keepNext/>
              <w:tabs>
                <w:tab w:val="left" w:pos="720"/>
              </w:tabs>
              <w:spacing w:after="0" w:line="300" w:lineRule="auto"/>
              <w:jc w:val="center"/>
              <w:rPr>
                <w:rFonts w:cs="Arial"/>
              </w:rPr>
            </w:pPr>
            <w:r w:rsidRPr="00172F56">
              <w:rPr>
                <w:rFonts w:cs="Arial"/>
                <w:color w:val="000000"/>
              </w:rPr>
              <w:t>32.3%</w:t>
            </w:r>
          </w:p>
        </w:tc>
        <w:tc>
          <w:tcPr>
            <w:tcW w:w="2050" w:type="dxa"/>
            <w:vAlign w:val="bottom"/>
          </w:tcPr>
          <w:p w14:paraId="4443C48F" w14:textId="40356128" w:rsidR="006D0B12" w:rsidRPr="006D0B12" w:rsidRDefault="006D0B12" w:rsidP="00826AF2">
            <w:pPr>
              <w:pStyle w:val="BodyText"/>
              <w:keepNext/>
              <w:tabs>
                <w:tab w:val="left" w:pos="720"/>
              </w:tabs>
              <w:spacing w:after="0" w:line="300" w:lineRule="auto"/>
              <w:jc w:val="center"/>
              <w:rPr>
                <w:rFonts w:cs="Arial"/>
              </w:rPr>
            </w:pPr>
            <w:r w:rsidRPr="00172F56">
              <w:rPr>
                <w:rFonts w:cs="Arial"/>
                <w:color w:val="000000"/>
              </w:rPr>
              <w:t>112</w:t>
            </w:r>
          </w:p>
        </w:tc>
      </w:tr>
      <w:tr w:rsidR="006D0B12" w:rsidRPr="008D4A27" w14:paraId="5C3FFC24" w14:textId="77777777" w:rsidTr="00172F56">
        <w:trPr>
          <w:jc w:val="center"/>
        </w:trPr>
        <w:tc>
          <w:tcPr>
            <w:tcW w:w="2049" w:type="dxa"/>
          </w:tcPr>
          <w:p w14:paraId="688AD7A4" w14:textId="77777777" w:rsidR="006D0B12" w:rsidRPr="008D4A27" w:rsidRDefault="006D0B12" w:rsidP="00826AF2">
            <w:pPr>
              <w:pStyle w:val="BodyText"/>
              <w:keepNext/>
              <w:tabs>
                <w:tab w:val="left" w:pos="720"/>
              </w:tabs>
              <w:spacing w:after="0" w:line="300" w:lineRule="auto"/>
              <w:rPr>
                <w:rFonts w:cs="Arial"/>
                <w:color w:val="000000"/>
              </w:rPr>
            </w:pPr>
            <w:r w:rsidRPr="008D4A27">
              <w:rPr>
                <w:rFonts w:cs="Arial"/>
                <w:color w:val="000000"/>
              </w:rPr>
              <w:t>Wesham</w:t>
            </w:r>
          </w:p>
        </w:tc>
        <w:tc>
          <w:tcPr>
            <w:tcW w:w="2050" w:type="dxa"/>
            <w:vAlign w:val="bottom"/>
          </w:tcPr>
          <w:p w14:paraId="317F9F7F" w14:textId="5ADD1786"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152</w:t>
            </w:r>
          </w:p>
        </w:tc>
        <w:tc>
          <w:tcPr>
            <w:tcW w:w="2050" w:type="dxa"/>
            <w:vAlign w:val="bottom"/>
          </w:tcPr>
          <w:p w14:paraId="08169AB7" w14:textId="6EDC537B"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18.7%</w:t>
            </w:r>
          </w:p>
        </w:tc>
        <w:tc>
          <w:tcPr>
            <w:tcW w:w="2050" w:type="dxa"/>
            <w:vAlign w:val="bottom"/>
          </w:tcPr>
          <w:p w14:paraId="663A0E35" w14:textId="157B93CA"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28</w:t>
            </w:r>
          </w:p>
        </w:tc>
      </w:tr>
      <w:tr w:rsidR="006D0B12" w:rsidRPr="008D4A27" w14:paraId="5C515172" w14:textId="77777777" w:rsidTr="00172F56">
        <w:trPr>
          <w:jc w:val="center"/>
        </w:trPr>
        <w:tc>
          <w:tcPr>
            <w:tcW w:w="2049" w:type="dxa"/>
          </w:tcPr>
          <w:p w14:paraId="1DB8D8B5" w14:textId="77777777" w:rsidR="006D0B12" w:rsidRPr="008D4A27" w:rsidRDefault="006D0B12" w:rsidP="00826AF2">
            <w:pPr>
              <w:pStyle w:val="BodyText"/>
              <w:keepNext/>
              <w:tabs>
                <w:tab w:val="left" w:pos="720"/>
              </w:tabs>
              <w:spacing w:after="0" w:line="300" w:lineRule="auto"/>
              <w:rPr>
                <w:rFonts w:cs="Arial"/>
                <w:color w:val="000000"/>
              </w:rPr>
            </w:pPr>
            <w:r w:rsidRPr="008D4A27">
              <w:rPr>
                <w:rFonts w:cs="Arial"/>
                <w:color w:val="000000"/>
              </w:rPr>
              <w:t>Freckleton</w:t>
            </w:r>
          </w:p>
        </w:tc>
        <w:tc>
          <w:tcPr>
            <w:tcW w:w="2050" w:type="dxa"/>
            <w:vAlign w:val="bottom"/>
          </w:tcPr>
          <w:p w14:paraId="575E533F" w14:textId="40E17AD5"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179</w:t>
            </w:r>
          </w:p>
        </w:tc>
        <w:tc>
          <w:tcPr>
            <w:tcW w:w="2050" w:type="dxa"/>
            <w:vAlign w:val="bottom"/>
          </w:tcPr>
          <w:p w14:paraId="58AC7A44" w14:textId="25321E0A"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11.7%</w:t>
            </w:r>
          </w:p>
        </w:tc>
        <w:tc>
          <w:tcPr>
            <w:tcW w:w="2050" w:type="dxa"/>
            <w:vAlign w:val="bottom"/>
          </w:tcPr>
          <w:p w14:paraId="6BDB6F7F" w14:textId="0EB72540"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21</w:t>
            </w:r>
          </w:p>
        </w:tc>
      </w:tr>
      <w:tr w:rsidR="006D0B12" w:rsidRPr="008D4A27" w14:paraId="71C9C044" w14:textId="77777777" w:rsidTr="00172F56">
        <w:trPr>
          <w:jc w:val="center"/>
        </w:trPr>
        <w:tc>
          <w:tcPr>
            <w:tcW w:w="2049" w:type="dxa"/>
          </w:tcPr>
          <w:p w14:paraId="36AE7B6D" w14:textId="77777777" w:rsidR="006D0B12" w:rsidRPr="008D4A27" w:rsidRDefault="006D0B12" w:rsidP="00826AF2">
            <w:pPr>
              <w:pStyle w:val="BodyText"/>
              <w:keepNext/>
              <w:tabs>
                <w:tab w:val="left" w:pos="720"/>
              </w:tabs>
              <w:spacing w:after="0" w:line="300" w:lineRule="auto"/>
              <w:rPr>
                <w:rFonts w:cs="Arial"/>
                <w:color w:val="000000"/>
              </w:rPr>
            </w:pPr>
            <w:r w:rsidRPr="008D4A27">
              <w:rPr>
                <w:rFonts w:cs="Arial"/>
                <w:color w:val="000000"/>
              </w:rPr>
              <w:t>Rural North</w:t>
            </w:r>
          </w:p>
        </w:tc>
        <w:tc>
          <w:tcPr>
            <w:tcW w:w="2050" w:type="dxa"/>
            <w:vAlign w:val="bottom"/>
          </w:tcPr>
          <w:p w14:paraId="5EC1C57C" w14:textId="231CC3E5"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222</w:t>
            </w:r>
          </w:p>
        </w:tc>
        <w:tc>
          <w:tcPr>
            <w:tcW w:w="2050" w:type="dxa"/>
            <w:vAlign w:val="bottom"/>
          </w:tcPr>
          <w:p w14:paraId="4AC20B6D" w14:textId="2193F226"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43.0%</w:t>
            </w:r>
          </w:p>
        </w:tc>
        <w:tc>
          <w:tcPr>
            <w:tcW w:w="2050" w:type="dxa"/>
            <w:vAlign w:val="bottom"/>
          </w:tcPr>
          <w:p w14:paraId="113D2539" w14:textId="43BD59FF"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95</w:t>
            </w:r>
          </w:p>
        </w:tc>
      </w:tr>
      <w:tr w:rsidR="006D0B12" w:rsidRPr="008D4A27" w14:paraId="5457DE97" w14:textId="77777777" w:rsidTr="00172F56">
        <w:trPr>
          <w:jc w:val="center"/>
        </w:trPr>
        <w:tc>
          <w:tcPr>
            <w:tcW w:w="2049" w:type="dxa"/>
          </w:tcPr>
          <w:p w14:paraId="63E1D242" w14:textId="77777777" w:rsidR="006D0B12" w:rsidRPr="008D4A27" w:rsidRDefault="006D0B12" w:rsidP="00826AF2">
            <w:pPr>
              <w:pStyle w:val="BodyText"/>
              <w:keepNext/>
              <w:tabs>
                <w:tab w:val="left" w:pos="720"/>
              </w:tabs>
              <w:spacing w:after="0" w:line="300" w:lineRule="auto"/>
              <w:rPr>
                <w:rFonts w:cs="Arial"/>
                <w:color w:val="000000"/>
              </w:rPr>
            </w:pPr>
            <w:r w:rsidRPr="008D4A27">
              <w:rPr>
                <w:rFonts w:cs="Arial"/>
                <w:color w:val="000000"/>
              </w:rPr>
              <w:t>Rural West</w:t>
            </w:r>
          </w:p>
        </w:tc>
        <w:tc>
          <w:tcPr>
            <w:tcW w:w="2050" w:type="dxa"/>
            <w:vAlign w:val="bottom"/>
          </w:tcPr>
          <w:p w14:paraId="694C1AFF" w14:textId="52325C55"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97</w:t>
            </w:r>
          </w:p>
        </w:tc>
        <w:tc>
          <w:tcPr>
            <w:tcW w:w="2050" w:type="dxa"/>
            <w:vAlign w:val="bottom"/>
          </w:tcPr>
          <w:p w14:paraId="27B48D7E" w14:textId="710D1AC4"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40.5%</w:t>
            </w:r>
          </w:p>
        </w:tc>
        <w:tc>
          <w:tcPr>
            <w:tcW w:w="2050" w:type="dxa"/>
            <w:vAlign w:val="bottom"/>
          </w:tcPr>
          <w:p w14:paraId="54A4E0FB" w14:textId="1EC8D501"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39</w:t>
            </w:r>
          </w:p>
        </w:tc>
      </w:tr>
      <w:tr w:rsidR="006D0B12" w:rsidRPr="008D4A27" w14:paraId="3105B30F" w14:textId="77777777" w:rsidTr="00172F56">
        <w:trPr>
          <w:jc w:val="center"/>
        </w:trPr>
        <w:tc>
          <w:tcPr>
            <w:tcW w:w="2049" w:type="dxa"/>
          </w:tcPr>
          <w:p w14:paraId="4A0325CA" w14:textId="77777777" w:rsidR="006D0B12" w:rsidRPr="008D4A27" w:rsidRDefault="006D0B12" w:rsidP="00826AF2">
            <w:pPr>
              <w:pStyle w:val="BodyText"/>
              <w:keepNext/>
              <w:tabs>
                <w:tab w:val="left" w:pos="720"/>
              </w:tabs>
              <w:spacing w:after="0" w:line="300" w:lineRule="auto"/>
              <w:rPr>
                <w:rFonts w:cs="Arial"/>
                <w:color w:val="000000"/>
              </w:rPr>
            </w:pPr>
            <w:r w:rsidRPr="008D4A27">
              <w:rPr>
                <w:rFonts w:cs="Arial"/>
                <w:color w:val="000000"/>
              </w:rPr>
              <w:t>Rural East</w:t>
            </w:r>
          </w:p>
        </w:tc>
        <w:tc>
          <w:tcPr>
            <w:tcW w:w="2050" w:type="dxa"/>
            <w:vAlign w:val="bottom"/>
          </w:tcPr>
          <w:p w14:paraId="75CD958A" w14:textId="19A04E53"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109</w:t>
            </w:r>
          </w:p>
        </w:tc>
        <w:tc>
          <w:tcPr>
            <w:tcW w:w="2050" w:type="dxa"/>
            <w:vAlign w:val="bottom"/>
          </w:tcPr>
          <w:p w14:paraId="6AEEC332" w14:textId="35E97A27"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25.2%</w:t>
            </w:r>
          </w:p>
        </w:tc>
        <w:tc>
          <w:tcPr>
            <w:tcW w:w="2050" w:type="dxa"/>
            <w:vAlign w:val="bottom"/>
          </w:tcPr>
          <w:p w14:paraId="64C33CF0" w14:textId="59000641"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28</w:t>
            </w:r>
          </w:p>
        </w:tc>
      </w:tr>
      <w:tr w:rsidR="006D0B12" w:rsidRPr="008D4A27" w14:paraId="06124EFC" w14:textId="77777777" w:rsidTr="00172F56">
        <w:trPr>
          <w:jc w:val="center"/>
        </w:trPr>
        <w:tc>
          <w:tcPr>
            <w:tcW w:w="2049" w:type="dxa"/>
          </w:tcPr>
          <w:p w14:paraId="42B30131" w14:textId="77777777" w:rsidR="006D0B12" w:rsidRPr="008D4A27" w:rsidRDefault="006D0B12" w:rsidP="00826AF2">
            <w:pPr>
              <w:pStyle w:val="BodyText"/>
              <w:keepNext/>
              <w:tabs>
                <w:tab w:val="left" w:pos="720"/>
              </w:tabs>
              <w:spacing w:after="0" w:line="300" w:lineRule="auto"/>
              <w:rPr>
                <w:rFonts w:cs="Arial"/>
                <w:color w:val="000000"/>
              </w:rPr>
            </w:pPr>
            <w:r w:rsidRPr="008D4A27">
              <w:rPr>
                <w:rFonts w:cs="Arial"/>
                <w:color w:val="000000"/>
              </w:rPr>
              <w:t>TOTAL</w:t>
            </w:r>
          </w:p>
        </w:tc>
        <w:tc>
          <w:tcPr>
            <w:tcW w:w="2050" w:type="dxa"/>
            <w:vAlign w:val="bottom"/>
          </w:tcPr>
          <w:p w14:paraId="68419E39" w14:textId="70FCCE84"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2,797</w:t>
            </w:r>
          </w:p>
        </w:tc>
        <w:tc>
          <w:tcPr>
            <w:tcW w:w="2050" w:type="dxa"/>
            <w:vAlign w:val="bottom"/>
          </w:tcPr>
          <w:p w14:paraId="385FE05A" w14:textId="2D8B952A"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27.9%</w:t>
            </w:r>
          </w:p>
        </w:tc>
        <w:tc>
          <w:tcPr>
            <w:tcW w:w="2050" w:type="dxa"/>
            <w:vAlign w:val="bottom"/>
          </w:tcPr>
          <w:p w14:paraId="512EA8E6" w14:textId="5EE645CC" w:rsidR="006D0B12" w:rsidRPr="006D0B12" w:rsidRDefault="006D0B12" w:rsidP="00826AF2">
            <w:pPr>
              <w:pStyle w:val="BodyText"/>
              <w:keepNext/>
              <w:tabs>
                <w:tab w:val="left" w:pos="720"/>
              </w:tabs>
              <w:spacing w:after="0" w:line="300" w:lineRule="auto"/>
              <w:jc w:val="center"/>
              <w:rPr>
                <w:rFonts w:cs="Arial"/>
                <w:color w:val="000000"/>
              </w:rPr>
            </w:pPr>
            <w:r w:rsidRPr="00172F56">
              <w:rPr>
                <w:rFonts w:cs="Arial"/>
                <w:color w:val="000000"/>
              </w:rPr>
              <w:t>782</w:t>
            </w:r>
          </w:p>
        </w:tc>
      </w:tr>
    </w:tbl>
    <w:p w14:paraId="076CBB58" w14:textId="43107F45" w:rsidR="0007167E" w:rsidRDefault="0007167E" w:rsidP="00826AF2">
      <w:pPr>
        <w:spacing w:line="300" w:lineRule="auto"/>
        <w:jc w:val="center"/>
        <w:rPr>
          <w:rFonts w:ascii="Arial" w:hAnsi="Arial" w:cs="Arial"/>
          <w:sz w:val="20"/>
          <w:szCs w:val="20"/>
        </w:rPr>
      </w:pPr>
      <w:r w:rsidRPr="008D4A27">
        <w:rPr>
          <w:rFonts w:ascii="Arial" w:hAnsi="Arial" w:cs="Arial"/>
          <w:sz w:val="20"/>
          <w:szCs w:val="20"/>
        </w:rPr>
        <w:t xml:space="preserve">Source: </w:t>
      </w:r>
      <w:r w:rsidR="00826AF2">
        <w:rPr>
          <w:rFonts w:ascii="Arial" w:hAnsi="Arial" w:cs="Arial"/>
          <w:sz w:val="20"/>
          <w:szCs w:val="20"/>
        </w:rPr>
        <w:t>Households survey</w:t>
      </w:r>
    </w:p>
    <w:p w14:paraId="44C622E1" w14:textId="77777777" w:rsidR="00620FE9" w:rsidRDefault="00620FE9" w:rsidP="00172F56">
      <w:pPr>
        <w:pStyle w:val="11Bodytext"/>
        <w:numPr>
          <w:ilvl w:val="0"/>
          <w:numId w:val="0"/>
        </w:numPr>
        <w:spacing w:before="0" w:after="0" w:line="300" w:lineRule="auto"/>
      </w:pPr>
    </w:p>
    <w:p w14:paraId="20F8DBC1" w14:textId="6705E92C" w:rsidR="00DA7C15" w:rsidRPr="00657095" w:rsidRDefault="00DA7C15" w:rsidP="00172F56">
      <w:pPr>
        <w:pStyle w:val="11Bodytext"/>
        <w:numPr>
          <w:ilvl w:val="0"/>
          <w:numId w:val="0"/>
        </w:numPr>
        <w:spacing w:before="0" w:after="0" w:line="300" w:lineRule="auto"/>
        <w:rPr>
          <w:b/>
          <w:bCs w:val="0"/>
        </w:rPr>
      </w:pPr>
      <w:r>
        <w:rPr>
          <w:b/>
          <w:bCs w:val="0"/>
        </w:rPr>
        <w:t xml:space="preserve">Existing Households Falling into </w:t>
      </w:r>
      <w:r w:rsidR="00432414">
        <w:rPr>
          <w:b/>
          <w:bCs w:val="0"/>
        </w:rPr>
        <w:t>Affordable</w:t>
      </w:r>
      <w:r>
        <w:rPr>
          <w:b/>
          <w:bCs w:val="0"/>
        </w:rPr>
        <w:t xml:space="preserve"> Housing Need</w:t>
      </w:r>
    </w:p>
    <w:p w14:paraId="061335F0" w14:textId="77777777" w:rsidR="00DA7C15" w:rsidRPr="00657095" w:rsidRDefault="00DA7C15" w:rsidP="00172F56">
      <w:pPr>
        <w:pStyle w:val="11Bodytext"/>
        <w:numPr>
          <w:ilvl w:val="0"/>
          <w:numId w:val="0"/>
        </w:numPr>
        <w:spacing w:before="0" w:after="0" w:line="300" w:lineRule="auto"/>
        <w:rPr>
          <w:color w:val="auto"/>
        </w:rPr>
      </w:pPr>
    </w:p>
    <w:p w14:paraId="4DFFFE62" w14:textId="6AEF63F0" w:rsidR="00941247" w:rsidRPr="00172F56" w:rsidRDefault="0007167E">
      <w:pPr>
        <w:pStyle w:val="11Bodytext"/>
        <w:numPr>
          <w:ilvl w:val="1"/>
          <w:numId w:val="76"/>
        </w:numPr>
        <w:spacing w:before="0" w:after="0" w:line="300" w:lineRule="auto"/>
        <w:ind w:left="720" w:hanging="720"/>
        <w:rPr>
          <w:color w:val="auto"/>
        </w:rPr>
      </w:pPr>
      <w:r>
        <w:t xml:space="preserve">The second element of newly arising need is existing households falling into need. To assess this, </w:t>
      </w:r>
      <w:r w:rsidR="00F22E75">
        <w:t xml:space="preserve">survey data </w:t>
      </w:r>
      <w:r>
        <w:t>about past households</w:t>
      </w:r>
      <w:r w:rsidR="00D667C2">
        <w:t>’</w:t>
      </w:r>
      <w:r>
        <w:t xml:space="preserve"> moves into the social rented sector and benefit supported private rented sector has been used</w:t>
      </w:r>
      <w:r w:rsidR="00941247">
        <w:t xml:space="preserve"> (along with a locally based affordability test)</w:t>
      </w:r>
      <w:r>
        <w:t>.</w:t>
      </w:r>
      <w:r w:rsidR="00941247">
        <w:t xml:space="preserve"> The method uses data on past moves as a proxy for the nature and scale of households moves likely in the future. The method used can be set out as a number of stages:</w:t>
      </w:r>
    </w:p>
    <w:p w14:paraId="72158ED7" w14:textId="5BFF4E22" w:rsidR="00941247" w:rsidRDefault="00941247" w:rsidP="00941247">
      <w:pPr>
        <w:pStyle w:val="11Bodytext"/>
        <w:numPr>
          <w:ilvl w:val="0"/>
          <w:numId w:val="0"/>
        </w:numPr>
        <w:spacing w:before="0" w:after="0" w:line="300" w:lineRule="auto"/>
      </w:pPr>
    </w:p>
    <w:p w14:paraId="6C654D35" w14:textId="600CF537" w:rsidR="00941247" w:rsidRDefault="00941247">
      <w:pPr>
        <w:pStyle w:val="11Bodytext"/>
        <w:numPr>
          <w:ilvl w:val="0"/>
          <w:numId w:val="77"/>
        </w:numPr>
        <w:spacing w:before="0" w:after="0" w:line="300" w:lineRule="auto"/>
        <w:rPr>
          <w:color w:val="auto"/>
        </w:rPr>
      </w:pPr>
      <w:r>
        <w:rPr>
          <w:color w:val="auto"/>
        </w:rPr>
        <w:t>Identifying households moving over the past 5-years;</w:t>
      </w:r>
    </w:p>
    <w:p w14:paraId="57D022A7" w14:textId="551EC231" w:rsidR="00941247" w:rsidRDefault="00941247">
      <w:pPr>
        <w:pStyle w:val="11Bodytext"/>
        <w:numPr>
          <w:ilvl w:val="0"/>
          <w:numId w:val="77"/>
        </w:numPr>
        <w:spacing w:before="0" w:after="0" w:line="300" w:lineRule="auto"/>
        <w:rPr>
          <w:color w:val="auto"/>
        </w:rPr>
      </w:pPr>
      <w:r>
        <w:rPr>
          <w:color w:val="auto"/>
        </w:rPr>
        <w:t>Filtering out households who moved to owner-occupied accommodation (assumed to be able to afford housing);</w:t>
      </w:r>
    </w:p>
    <w:p w14:paraId="180CC44B" w14:textId="55BC4A7E" w:rsidR="00941247" w:rsidRDefault="00941247">
      <w:pPr>
        <w:pStyle w:val="11Bodytext"/>
        <w:numPr>
          <w:ilvl w:val="0"/>
          <w:numId w:val="77"/>
        </w:numPr>
        <w:spacing w:before="0" w:after="0" w:line="300" w:lineRule="auto"/>
        <w:rPr>
          <w:color w:val="auto"/>
        </w:rPr>
      </w:pPr>
      <w:r>
        <w:rPr>
          <w:color w:val="auto"/>
        </w:rPr>
        <w:t>Filtering out households moving within the social rented sector (as homes released would be available for use by another households);</w:t>
      </w:r>
    </w:p>
    <w:p w14:paraId="33829F0A" w14:textId="5C9D408C" w:rsidR="00941247" w:rsidRDefault="00941247">
      <w:pPr>
        <w:pStyle w:val="11Bodytext"/>
        <w:numPr>
          <w:ilvl w:val="0"/>
          <w:numId w:val="77"/>
        </w:numPr>
        <w:spacing w:before="0" w:after="0" w:line="300" w:lineRule="auto"/>
        <w:rPr>
          <w:color w:val="auto"/>
        </w:rPr>
      </w:pPr>
      <w:r>
        <w:rPr>
          <w:color w:val="auto"/>
        </w:rPr>
        <w:t>Filtering out moves to the private rented sector where Housing Benefit (or Universal Credit with a housing element) is not claimed – again assuming households were deemed able to afford at the point of moving; and</w:t>
      </w:r>
    </w:p>
    <w:p w14:paraId="7F8FC48B" w14:textId="24025E94" w:rsidR="00941247" w:rsidRPr="00172F56" w:rsidRDefault="00941247">
      <w:pPr>
        <w:pStyle w:val="11Bodytext"/>
        <w:numPr>
          <w:ilvl w:val="0"/>
          <w:numId w:val="77"/>
        </w:numPr>
        <w:spacing w:before="0" w:after="0" w:line="300" w:lineRule="auto"/>
        <w:rPr>
          <w:color w:val="auto"/>
        </w:rPr>
      </w:pPr>
      <w:r>
        <w:rPr>
          <w:color w:val="auto"/>
        </w:rPr>
        <w:t>Applying an affordability test to check if any households could afford market housing (a very low number but included for completeness of analysis).</w:t>
      </w:r>
    </w:p>
    <w:p w14:paraId="39B152D4" w14:textId="1939B705" w:rsidR="00941247" w:rsidRDefault="00941247" w:rsidP="00941247">
      <w:pPr>
        <w:pStyle w:val="11Bodytext"/>
        <w:numPr>
          <w:ilvl w:val="0"/>
          <w:numId w:val="0"/>
        </w:numPr>
        <w:spacing w:before="0" w:after="0" w:line="300" w:lineRule="auto"/>
        <w:rPr>
          <w:color w:val="auto"/>
        </w:rPr>
      </w:pPr>
    </w:p>
    <w:p w14:paraId="6A2F5663" w14:textId="7CD9E146" w:rsidR="0007167E" w:rsidRPr="00172F56" w:rsidRDefault="0007167E">
      <w:pPr>
        <w:pStyle w:val="11Bodytext"/>
        <w:numPr>
          <w:ilvl w:val="1"/>
          <w:numId w:val="76"/>
        </w:numPr>
        <w:spacing w:before="0" w:after="0" w:line="300" w:lineRule="auto"/>
        <w:ind w:left="720" w:hanging="720"/>
        <w:rPr>
          <w:color w:val="auto"/>
        </w:rPr>
      </w:pPr>
      <w:r w:rsidRPr="2804310E">
        <w:rPr>
          <w:rFonts w:eastAsiaTheme="majorEastAsia"/>
        </w:rPr>
        <w:t>F</w:t>
      </w:r>
      <w:r>
        <w:t>ollowing the analysis through suggests a need arising from 267 existing households each year across the Borough plus 171 who can afford to rent but not buy. The tables below break this down by sub-area.</w:t>
      </w:r>
    </w:p>
    <w:p w14:paraId="11C1ED0D" w14:textId="0FBE3943" w:rsidR="00941247" w:rsidRDefault="00941247">
      <w:pPr>
        <w:pStyle w:val="11Bodytext"/>
        <w:numPr>
          <w:ilvl w:val="0"/>
          <w:numId w:val="0"/>
        </w:numPr>
        <w:spacing w:before="0" w:after="0" w:line="300" w:lineRule="auto"/>
        <w:rPr>
          <w:color w:val="auto"/>
        </w:rPr>
      </w:pPr>
    </w:p>
    <w:p w14:paraId="0FA78374" w14:textId="74D4A070" w:rsidR="00177D13" w:rsidRDefault="00177D13">
      <w:pPr>
        <w:pStyle w:val="11Bodytext"/>
        <w:numPr>
          <w:ilvl w:val="0"/>
          <w:numId w:val="0"/>
        </w:numPr>
        <w:spacing w:before="0" w:after="0" w:line="300" w:lineRule="auto"/>
        <w:rPr>
          <w:color w:val="auto"/>
        </w:rPr>
      </w:pPr>
    </w:p>
    <w:p w14:paraId="1C1BDF9A" w14:textId="329C8504" w:rsidR="00177D13" w:rsidRDefault="00177D13">
      <w:pPr>
        <w:pStyle w:val="11Bodytext"/>
        <w:numPr>
          <w:ilvl w:val="0"/>
          <w:numId w:val="0"/>
        </w:numPr>
        <w:spacing w:before="0" w:after="0" w:line="300" w:lineRule="auto"/>
        <w:rPr>
          <w:color w:val="auto"/>
        </w:rPr>
      </w:pPr>
    </w:p>
    <w:p w14:paraId="39A7C0C5" w14:textId="77777777" w:rsidR="00177D13" w:rsidRPr="00172F56" w:rsidRDefault="00177D13" w:rsidP="00172F56">
      <w:pPr>
        <w:pStyle w:val="11Bodytext"/>
        <w:numPr>
          <w:ilvl w:val="0"/>
          <w:numId w:val="0"/>
        </w:numPr>
        <w:spacing w:before="0" w:after="0" w:line="300" w:lineRule="auto"/>
        <w:rPr>
          <w:color w:val="auto"/>
        </w:rPr>
      </w:pPr>
    </w:p>
    <w:p w14:paraId="1175DC69" w14:textId="4C9A350C" w:rsidR="00941247" w:rsidRDefault="00941247">
      <w:pPr>
        <w:pStyle w:val="11Bodytext"/>
        <w:numPr>
          <w:ilvl w:val="1"/>
          <w:numId w:val="76"/>
        </w:numPr>
        <w:spacing w:before="0" w:after="0" w:line="300" w:lineRule="auto"/>
        <w:ind w:left="720" w:hanging="720"/>
        <w:rPr>
          <w:color w:val="auto"/>
        </w:rPr>
      </w:pPr>
      <w:r>
        <w:rPr>
          <w:color w:val="auto"/>
        </w:rPr>
        <w:t xml:space="preserve">These figures need to be understood in the </w:t>
      </w:r>
      <w:r w:rsidR="00931AE7">
        <w:rPr>
          <w:color w:val="auto"/>
        </w:rPr>
        <w:t>context</w:t>
      </w:r>
      <w:r>
        <w:rPr>
          <w:color w:val="auto"/>
        </w:rPr>
        <w:t xml:space="preserve"> of the households being picked up as in need as a large proportion are households moving within the benefit supported private rented sector, which has quite a ‘churn’. As these households need to claim benefits the analysis assumes that they would </w:t>
      </w:r>
      <w:r w:rsidR="00931AE7">
        <w:rPr>
          <w:color w:val="auto"/>
        </w:rPr>
        <w:t>ideally</w:t>
      </w:r>
      <w:r>
        <w:rPr>
          <w:color w:val="auto"/>
        </w:rPr>
        <w:t xml:space="preserve"> be place in social housing rather than continuing to move within the PRS. Social housing would be expected to provide a security of tenure, a lower rent and quite likely more </w:t>
      </w:r>
      <w:r w:rsidR="00931AE7">
        <w:rPr>
          <w:color w:val="auto"/>
        </w:rPr>
        <w:t>suitable</w:t>
      </w:r>
      <w:r>
        <w:rPr>
          <w:color w:val="auto"/>
        </w:rPr>
        <w:t xml:space="preserve"> accommodation (in terms of size and condition).</w:t>
      </w:r>
    </w:p>
    <w:p w14:paraId="41B71660" w14:textId="77777777" w:rsidR="00941247" w:rsidRDefault="00941247" w:rsidP="00172F56">
      <w:pPr>
        <w:pStyle w:val="11Bodytext"/>
        <w:numPr>
          <w:ilvl w:val="0"/>
          <w:numId w:val="0"/>
        </w:numPr>
        <w:spacing w:before="0" w:after="0" w:line="300" w:lineRule="auto"/>
        <w:rPr>
          <w:color w:val="auto"/>
        </w:rPr>
      </w:pPr>
    </w:p>
    <w:p w14:paraId="02AA49E5" w14:textId="39375291" w:rsidR="00941247" w:rsidRPr="00DA7C15" w:rsidRDefault="00941247">
      <w:pPr>
        <w:pStyle w:val="11Bodytext"/>
        <w:numPr>
          <w:ilvl w:val="1"/>
          <w:numId w:val="76"/>
        </w:numPr>
        <w:spacing w:before="0" w:after="0" w:line="300" w:lineRule="auto"/>
        <w:ind w:left="720" w:hanging="720"/>
        <w:rPr>
          <w:color w:val="auto"/>
        </w:rPr>
      </w:pPr>
      <w:r>
        <w:rPr>
          <w:color w:val="auto"/>
        </w:rPr>
        <w:t xml:space="preserve">One key advantage of the survey based approach to looking at affordable need is being able to pick up the role played by the private rented sector as it is quite likely that many of these </w:t>
      </w:r>
      <w:r w:rsidR="00931AE7">
        <w:rPr>
          <w:color w:val="auto"/>
        </w:rPr>
        <w:t>households</w:t>
      </w:r>
      <w:r>
        <w:rPr>
          <w:color w:val="auto"/>
        </w:rPr>
        <w:t>, despite clearly having needs, will never have approached the Council regarding their needs. This may in part be due to eligibility restrictions such as rent arrears. Further data about trends in benefit claimants in the private rented sector can be found later in this section.</w:t>
      </w:r>
    </w:p>
    <w:p w14:paraId="25C9D910" w14:textId="77777777" w:rsidR="00DA7C15" w:rsidRPr="00DA7C15" w:rsidRDefault="00DA7C15" w:rsidP="00172F56">
      <w:pPr>
        <w:pStyle w:val="11Bodytext"/>
        <w:numPr>
          <w:ilvl w:val="0"/>
          <w:numId w:val="0"/>
        </w:numPr>
        <w:spacing w:before="0" w:after="0" w:line="300" w:lineRule="auto"/>
        <w:rPr>
          <w:color w:val="auto"/>
        </w:rPr>
      </w:pPr>
    </w:p>
    <w:tbl>
      <w:tblPr>
        <w:tblStyle w:val="TableTheme"/>
        <w:tblW w:w="9628" w:type="dxa"/>
        <w:jc w:val="center"/>
        <w:tblLook w:val="04A0" w:firstRow="1" w:lastRow="0" w:firstColumn="1" w:lastColumn="0" w:noHBand="0" w:noVBand="1"/>
      </w:tblPr>
      <w:tblGrid>
        <w:gridCol w:w="1604"/>
        <w:gridCol w:w="1605"/>
        <w:gridCol w:w="1605"/>
        <w:gridCol w:w="1604"/>
        <w:gridCol w:w="1605"/>
        <w:gridCol w:w="1605"/>
      </w:tblGrid>
      <w:tr w:rsidR="008B14B1" w:rsidRPr="00DA7C15" w14:paraId="16F193AC" w14:textId="223777AA" w:rsidTr="00172F56">
        <w:trPr>
          <w:jc w:val="center"/>
        </w:trPr>
        <w:tc>
          <w:tcPr>
            <w:tcW w:w="9628" w:type="dxa"/>
            <w:gridSpan w:val="6"/>
            <w:vAlign w:val="center"/>
          </w:tcPr>
          <w:p w14:paraId="44F66FA7" w14:textId="306A2A99" w:rsidR="008B14B1" w:rsidRPr="2804310E" w:rsidRDefault="008B14B1" w:rsidP="00172F56">
            <w:pPr>
              <w:pStyle w:val="BodyText"/>
              <w:keepNext/>
              <w:tabs>
                <w:tab w:val="left" w:pos="720"/>
              </w:tabs>
              <w:spacing w:after="0" w:line="300" w:lineRule="auto"/>
              <w:jc w:val="center"/>
              <w:rPr>
                <w:rFonts w:cs="Arial"/>
                <w:b/>
                <w:bCs/>
              </w:rPr>
            </w:pPr>
            <w:r w:rsidRPr="2804310E">
              <w:rPr>
                <w:rFonts w:cs="Arial"/>
                <w:b/>
                <w:bCs/>
              </w:rPr>
              <w:t>Figure 3.</w:t>
            </w:r>
            <w:r w:rsidR="00DF6242">
              <w:rPr>
                <w:rFonts w:cs="Arial"/>
                <w:b/>
                <w:bCs/>
              </w:rPr>
              <w:t>7</w:t>
            </w:r>
            <w:r w:rsidRPr="2804310E">
              <w:rPr>
                <w:rFonts w:cs="Arial"/>
                <w:b/>
                <w:bCs/>
              </w:rPr>
              <w:t>: Estimated Need for Social/Affordable Rented Housing from Existing Households Falling into Need (</w:t>
            </w:r>
            <w:r>
              <w:rPr>
                <w:rFonts w:cs="Arial"/>
                <w:b/>
                <w:bCs/>
              </w:rPr>
              <w:t>5-years</w:t>
            </w:r>
            <w:r w:rsidRPr="2804310E">
              <w:rPr>
                <w:rFonts w:cs="Arial"/>
                <w:b/>
                <w:bCs/>
              </w:rPr>
              <w:t>)</w:t>
            </w:r>
          </w:p>
        </w:tc>
      </w:tr>
      <w:tr w:rsidR="001814CE" w:rsidRPr="008D4A27" w14:paraId="564F466A" w14:textId="3D262AAA" w:rsidTr="00172F56">
        <w:trPr>
          <w:jc w:val="center"/>
        </w:trPr>
        <w:tc>
          <w:tcPr>
            <w:tcW w:w="1604" w:type="dxa"/>
            <w:vAlign w:val="center"/>
          </w:tcPr>
          <w:p w14:paraId="0E216F63" w14:textId="77777777" w:rsidR="001814CE" w:rsidRPr="008D4A27" w:rsidRDefault="001814CE" w:rsidP="00826AF2">
            <w:pPr>
              <w:keepNext/>
              <w:spacing w:line="300" w:lineRule="auto"/>
              <w:rPr>
                <w:rFonts w:ascii="Arial" w:hAnsi="Arial" w:cs="Arial"/>
                <w:bCs/>
                <w:sz w:val="20"/>
                <w:szCs w:val="20"/>
              </w:rPr>
            </w:pPr>
          </w:p>
        </w:tc>
        <w:tc>
          <w:tcPr>
            <w:tcW w:w="1605" w:type="dxa"/>
            <w:vAlign w:val="center"/>
            <w:hideMark/>
          </w:tcPr>
          <w:p w14:paraId="33BAE788" w14:textId="77777777" w:rsidR="001814CE" w:rsidRPr="008D4A27" w:rsidRDefault="001814CE" w:rsidP="00826AF2">
            <w:pPr>
              <w:pStyle w:val="BodyText"/>
              <w:keepNext/>
              <w:tabs>
                <w:tab w:val="left" w:pos="720"/>
              </w:tabs>
              <w:spacing w:after="0" w:line="300" w:lineRule="auto"/>
              <w:jc w:val="center"/>
              <w:rPr>
                <w:rFonts w:cs="Arial"/>
                <w:bCs/>
              </w:rPr>
            </w:pPr>
            <w:r w:rsidRPr="008D4A27">
              <w:rPr>
                <w:rFonts w:cs="Arial"/>
                <w:bCs/>
              </w:rPr>
              <w:t>Total Additional Need</w:t>
            </w:r>
          </w:p>
        </w:tc>
        <w:tc>
          <w:tcPr>
            <w:tcW w:w="1605" w:type="dxa"/>
            <w:vAlign w:val="center"/>
            <w:hideMark/>
          </w:tcPr>
          <w:p w14:paraId="24511996" w14:textId="77777777" w:rsidR="001814CE" w:rsidRPr="008D4A27" w:rsidRDefault="001814CE" w:rsidP="00826AF2">
            <w:pPr>
              <w:pStyle w:val="BodyText"/>
              <w:keepNext/>
              <w:tabs>
                <w:tab w:val="left" w:pos="720"/>
              </w:tabs>
              <w:spacing w:after="0" w:line="300" w:lineRule="auto"/>
              <w:jc w:val="center"/>
              <w:rPr>
                <w:rFonts w:cs="Arial"/>
                <w:bCs/>
              </w:rPr>
            </w:pPr>
            <w:r w:rsidRPr="008D4A27">
              <w:rPr>
                <w:rFonts w:cs="Arial"/>
                <w:bCs/>
              </w:rPr>
              <w:t>% of Total</w:t>
            </w:r>
          </w:p>
        </w:tc>
        <w:tc>
          <w:tcPr>
            <w:tcW w:w="1604" w:type="dxa"/>
            <w:vAlign w:val="center"/>
          </w:tcPr>
          <w:p w14:paraId="544B7057" w14:textId="408DF0E2" w:rsidR="001814CE" w:rsidRPr="008D4A27" w:rsidRDefault="001814CE" w:rsidP="00172F56">
            <w:pPr>
              <w:pStyle w:val="BodyText"/>
              <w:keepNext/>
              <w:tabs>
                <w:tab w:val="left" w:pos="720"/>
              </w:tabs>
              <w:spacing w:after="0" w:line="300" w:lineRule="auto"/>
              <w:jc w:val="center"/>
              <w:rPr>
                <w:rFonts w:cs="Arial"/>
                <w:bCs/>
              </w:rPr>
            </w:pPr>
            <w:r>
              <w:rPr>
                <w:rFonts w:cs="Arial"/>
                <w:bCs/>
              </w:rPr>
              <w:t>1-bedroom</w:t>
            </w:r>
          </w:p>
        </w:tc>
        <w:tc>
          <w:tcPr>
            <w:tcW w:w="1605" w:type="dxa"/>
            <w:vAlign w:val="center"/>
          </w:tcPr>
          <w:p w14:paraId="0C8B818A" w14:textId="35F7A1E2" w:rsidR="001814CE" w:rsidRPr="008D4A27" w:rsidRDefault="001814CE" w:rsidP="00172F56">
            <w:pPr>
              <w:pStyle w:val="BodyText"/>
              <w:keepNext/>
              <w:tabs>
                <w:tab w:val="left" w:pos="720"/>
              </w:tabs>
              <w:spacing w:after="0" w:line="300" w:lineRule="auto"/>
              <w:jc w:val="center"/>
              <w:rPr>
                <w:rFonts w:cs="Arial"/>
                <w:bCs/>
              </w:rPr>
            </w:pPr>
            <w:r>
              <w:rPr>
                <w:rFonts w:cs="Arial"/>
                <w:bCs/>
              </w:rPr>
              <w:t>2-bedrooms</w:t>
            </w:r>
          </w:p>
        </w:tc>
        <w:tc>
          <w:tcPr>
            <w:tcW w:w="1605" w:type="dxa"/>
            <w:vAlign w:val="center"/>
          </w:tcPr>
          <w:p w14:paraId="7C3FA328" w14:textId="62A44F74" w:rsidR="001814CE" w:rsidRPr="008D4A27" w:rsidRDefault="001814CE" w:rsidP="00172F56">
            <w:pPr>
              <w:pStyle w:val="BodyText"/>
              <w:keepNext/>
              <w:tabs>
                <w:tab w:val="left" w:pos="720"/>
              </w:tabs>
              <w:spacing w:after="0" w:line="300" w:lineRule="auto"/>
              <w:jc w:val="center"/>
              <w:rPr>
                <w:rFonts w:cs="Arial"/>
                <w:bCs/>
              </w:rPr>
            </w:pPr>
            <w:r>
              <w:rPr>
                <w:rFonts w:cs="Arial"/>
                <w:bCs/>
              </w:rPr>
              <w:t>3+-bedrooms</w:t>
            </w:r>
          </w:p>
        </w:tc>
      </w:tr>
      <w:tr w:rsidR="001814CE" w:rsidRPr="008D4A27" w14:paraId="46E27624" w14:textId="306328D9" w:rsidTr="00172F56">
        <w:trPr>
          <w:jc w:val="center"/>
        </w:trPr>
        <w:tc>
          <w:tcPr>
            <w:tcW w:w="1604" w:type="dxa"/>
            <w:vAlign w:val="center"/>
          </w:tcPr>
          <w:p w14:paraId="3A4D2FD1" w14:textId="510A2DED" w:rsidR="001814CE" w:rsidRPr="008D4A27" w:rsidRDefault="001814CE" w:rsidP="00826AF2">
            <w:pPr>
              <w:pStyle w:val="BodyText"/>
              <w:keepNext/>
              <w:tabs>
                <w:tab w:val="left" w:pos="720"/>
              </w:tabs>
              <w:spacing w:after="0" w:line="300" w:lineRule="auto"/>
              <w:rPr>
                <w:rFonts w:cs="Arial"/>
                <w:b/>
                <w:bCs/>
              </w:rPr>
            </w:pPr>
            <w:r>
              <w:rPr>
                <w:rFonts w:cs="Arial"/>
                <w:color w:val="000000"/>
              </w:rPr>
              <w:t>St. Annes</w:t>
            </w:r>
          </w:p>
        </w:tc>
        <w:tc>
          <w:tcPr>
            <w:tcW w:w="1605" w:type="dxa"/>
            <w:vAlign w:val="center"/>
          </w:tcPr>
          <w:p w14:paraId="3E304090" w14:textId="73F10FF0" w:rsidR="001814CE" w:rsidRPr="001814CE" w:rsidRDefault="001814CE" w:rsidP="00826AF2">
            <w:pPr>
              <w:pStyle w:val="BodyText"/>
              <w:keepNext/>
              <w:tabs>
                <w:tab w:val="left" w:pos="720"/>
              </w:tabs>
              <w:spacing w:after="0" w:line="300" w:lineRule="auto"/>
              <w:jc w:val="center"/>
              <w:rPr>
                <w:rFonts w:cs="Arial"/>
              </w:rPr>
            </w:pPr>
            <w:r w:rsidRPr="00172F56">
              <w:rPr>
                <w:rFonts w:cs="Arial"/>
                <w:color w:val="000000"/>
              </w:rPr>
              <w:t>328</w:t>
            </w:r>
          </w:p>
        </w:tc>
        <w:tc>
          <w:tcPr>
            <w:tcW w:w="1605" w:type="dxa"/>
            <w:vAlign w:val="center"/>
          </w:tcPr>
          <w:p w14:paraId="5C29B3C5" w14:textId="77777777" w:rsidR="001814CE" w:rsidRPr="001814CE" w:rsidRDefault="001814CE" w:rsidP="00826AF2">
            <w:pPr>
              <w:pStyle w:val="BodyText"/>
              <w:keepNext/>
              <w:tabs>
                <w:tab w:val="left" w:pos="720"/>
              </w:tabs>
              <w:spacing w:after="0" w:line="300" w:lineRule="auto"/>
              <w:jc w:val="center"/>
              <w:rPr>
                <w:rFonts w:cs="Arial"/>
              </w:rPr>
            </w:pPr>
            <w:r w:rsidRPr="001814CE">
              <w:rPr>
                <w:rFonts w:cs="Arial"/>
                <w:color w:val="000000"/>
              </w:rPr>
              <w:t>31.2%</w:t>
            </w:r>
          </w:p>
        </w:tc>
        <w:tc>
          <w:tcPr>
            <w:tcW w:w="1604" w:type="dxa"/>
            <w:vAlign w:val="center"/>
          </w:tcPr>
          <w:p w14:paraId="3E0263F4" w14:textId="682826D5"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204</w:t>
            </w:r>
          </w:p>
        </w:tc>
        <w:tc>
          <w:tcPr>
            <w:tcW w:w="1605" w:type="dxa"/>
            <w:vAlign w:val="center"/>
          </w:tcPr>
          <w:p w14:paraId="00788378" w14:textId="6766A56C"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124</w:t>
            </w:r>
          </w:p>
        </w:tc>
        <w:tc>
          <w:tcPr>
            <w:tcW w:w="1605" w:type="dxa"/>
            <w:vAlign w:val="center"/>
          </w:tcPr>
          <w:p w14:paraId="6722D549" w14:textId="67E51D96"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0</w:t>
            </w:r>
          </w:p>
        </w:tc>
      </w:tr>
      <w:tr w:rsidR="001814CE" w:rsidRPr="008D4A27" w14:paraId="47514CF7" w14:textId="3E5D4429" w:rsidTr="00172F56">
        <w:trPr>
          <w:jc w:val="center"/>
        </w:trPr>
        <w:tc>
          <w:tcPr>
            <w:tcW w:w="1604" w:type="dxa"/>
            <w:vAlign w:val="center"/>
          </w:tcPr>
          <w:p w14:paraId="78DB1A4B" w14:textId="77777777" w:rsidR="001814CE" w:rsidRPr="008D4A27" w:rsidRDefault="001814CE" w:rsidP="00826AF2">
            <w:pPr>
              <w:pStyle w:val="BodyText"/>
              <w:keepNext/>
              <w:tabs>
                <w:tab w:val="left" w:pos="720"/>
              </w:tabs>
              <w:spacing w:after="0" w:line="300" w:lineRule="auto"/>
              <w:rPr>
                <w:rFonts w:cs="Arial"/>
              </w:rPr>
            </w:pPr>
            <w:r w:rsidRPr="008D4A27">
              <w:rPr>
                <w:rFonts w:cs="Arial"/>
                <w:color w:val="000000"/>
              </w:rPr>
              <w:t>Lytham</w:t>
            </w:r>
          </w:p>
        </w:tc>
        <w:tc>
          <w:tcPr>
            <w:tcW w:w="1605" w:type="dxa"/>
            <w:vAlign w:val="center"/>
          </w:tcPr>
          <w:p w14:paraId="088C9993" w14:textId="01FD5AA9" w:rsidR="001814CE" w:rsidRPr="001814CE" w:rsidRDefault="001814CE" w:rsidP="00826AF2">
            <w:pPr>
              <w:pStyle w:val="BodyText"/>
              <w:keepNext/>
              <w:tabs>
                <w:tab w:val="left" w:pos="720"/>
              </w:tabs>
              <w:spacing w:after="0" w:line="300" w:lineRule="auto"/>
              <w:jc w:val="center"/>
              <w:rPr>
                <w:rFonts w:cs="Arial"/>
              </w:rPr>
            </w:pPr>
            <w:r w:rsidRPr="00172F56">
              <w:rPr>
                <w:rFonts w:cs="Arial"/>
                <w:color w:val="000000"/>
              </w:rPr>
              <w:t>395</w:t>
            </w:r>
          </w:p>
        </w:tc>
        <w:tc>
          <w:tcPr>
            <w:tcW w:w="1605" w:type="dxa"/>
            <w:vAlign w:val="center"/>
          </w:tcPr>
          <w:p w14:paraId="14EC464A" w14:textId="77777777" w:rsidR="001814CE" w:rsidRPr="001814CE" w:rsidRDefault="001814CE" w:rsidP="00826AF2">
            <w:pPr>
              <w:pStyle w:val="BodyText"/>
              <w:keepNext/>
              <w:tabs>
                <w:tab w:val="left" w:pos="720"/>
              </w:tabs>
              <w:spacing w:after="0" w:line="300" w:lineRule="auto"/>
              <w:jc w:val="center"/>
              <w:rPr>
                <w:rFonts w:cs="Arial"/>
              </w:rPr>
            </w:pPr>
            <w:r w:rsidRPr="001814CE">
              <w:rPr>
                <w:rFonts w:cs="Arial"/>
                <w:color w:val="000000"/>
              </w:rPr>
              <w:t>33.3%</w:t>
            </w:r>
          </w:p>
        </w:tc>
        <w:tc>
          <w:tcPr>
            <w:tcW w:w="1604" w:type="dxa"/>
            <w:vAlign w:val="center"/>
          </w:tcPr>
          <w:p w14:paraId="20DF87B4" w14:textId="5BACFF46"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138</w:t>
            </w:r>
          </w:p>
        </w:tc>
        <w:tc>
          <w:tcPr>
            <w:tcW w:w="1605" w:type="dxa"/>
            <w:vAlign w:val="center"/>
          </w:tcPr>
          <w:p w14:paraId="18D26337" w14:textId="16C9FCF8"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185</w:t>
            </w:r>
          </w:p>
        </w:tc>
        <w:tc>
          <w:tcPr>
            <w:tcW w:w="1605" w:type="dxa"/>
            <w:vAlign w:val="center"/>
          </w:tcPr>
          <w:p w14:paraId="1B0CAF4A" w14:textId="5DFA7615"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72</w:t>
            </w:r>
          </w:p>
        </w:tc>
      </w:tr>
      <w:tr w:rsidR="001814CE" w:rsidRPr="008D4A27" w14:paraId="7F97B047" w14:textId="50AD6DEB" w:rsidTr="00172F56">
        <w:trPr>
          <w:jc w:val="center"/>
        </w:trPr>
        <w:tc>
          <w:tcPr>
            <w:tcW w:w="1604" w:type="dxa"/>
            <w:vAlign w:val="center"/>
          </w:tcPr>
          <w:p w14:paraId="15026F88" w14:textId="77777777" w:rsidR="001814CE" w:rsidRPr="008D4A27" w:rsidRDefault="001814CE" w:rsidP="00826AF2">
            <w:pPr>
              <w:pStyle w:val="BodyText"/>
              <w:keepNext/>
              <w:tabs>
                <w:tab w:val="left" w:pos="720"/>
              </w:tabs>
              <w:spacing w:after="0" w:line="300" w:lineRule="auto"/>
              <w:rPr>
                <w:rFonts w:cs="Arial"/>
              </w:rPr>
            </w:pPr>
            <w:r w:rsidRPr="008D4A27">
              <w:rPr>
                <w:rFonts w:cs="Arial"/>
                <w:color w:val="000000"/>
              </w:rPr>
              <w:t>Warton</w:t>
            </w:r>
          </w:p>
        </w:tc>
        <w:tc>
          <w:tcPr>
            <w:tcW w:w="1605" w:type="dxa"/>
            <w:vAlign w:val="center"/>
          </w:tcPr>
          <w:p w14:paraId="197D790B" w14:textId="6F8BAB3B" w:rsidR="001814CE" w:rsidRPr="001814CE" w:rsidRDefault="001814CE" w:rsidP="00826AF2">
            <w:pPr>
              <w:pStyle w:val="BodyText"/>
              <w:keepNext/>
              <w:tabs>
                <w:tab w:val="left" w:pos="720"/>
              </w:tabs>
              <w:spacing w:after="0" w:line="300" w:lineRule="auto"/>
              <w:jc w:val="center"/>
              <w:rPr>
                <w:rFonts w:cs="Arial"/>
              </w:rPr>
            </w:pPr>
            <w:r w:rsidRPr="00172F56">
              <w:rPr>
                <w:rFonts w:cs="Arial"/>
                <w:color w:val="000000"/>
              </w:rPr>
              <w:t>101</w:t>
            </w:r>
          </w:p>
        </w:tc>
        <w:tc>
          <w:tcPr>
            <w:tcW w:w="1605" w:type="dxa"/>
            <w:vAlign w:val="center"/>
          </w:tcPr>
          <w:p w14:paraId="7D995D28" w14:textId="77777777" w:rsidR="001814CE" w:rsidRPr="001814CE" w:rsidRDefault="001814CE" w:rsidP="00826AF2">
            <w:pPr>
              <w:pStyle w:val="BodyText"/>
              <w:keepNext/>
              <w:tabs>
                <w:tab w:val="left" w:pos="720"/>
              </w:tabs>
              <w:spacing w:after="0" w:line="300" w:lineRule="auto"/>
              <w:jc w:val="center"/>
              <w:rPr>
                <w:rFonts w:cs="Arial"/>
              </w:rPr>
            </w:pPr>
            <w:r w:rsidRPr="001814CE">
              <w:rPr>
                <w:rFonts w:cs="Arial"/>
                <w:color w:val="000000"/>
              </w:rPr>
              <w:t>7.6%</w:t>
            </w:r>
          </w:p>
        </w:tc>
        <w:tc>
          <w:tcPr>
            <w:tcW w:w="1604" w:type="dxa"/>
            <w:vAlign w:val="center"/>
          </w:tcPr>
          <w:p w14:paraId="6EA9EA85" w14:textId="6C90E21C"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22</w:t>
            </w:r>
          </w:p>
        </w:tc>
        <w:tc>
          <w:tcPr>
            <w:tcW w:w="1605" w:type="dxa"/>
            <w:vAlign w:val="center"/>
          </w:tcPr>
          <w:p w14:paraId="39C83D9F" w14:textId="0D3F4E40"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40</w:t>
            </w:r>
          </w:p>
        </w:tc>
        <w:tc>
          <w:tcPr>
            <w:tcW w:w="1605" w:type="dxa"/>
            <w:vAlign w:val="center"/>
          </w:tcPr>
          <w:p w14:paraId="285EA784" w14:textId="50A9AD50"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39</w:t>
            </w:r>
          </w:p>
        </w:tc>
      </w:tr>
      <w:tr w:rsidR="001814CE" w:rsidRPr="008D4A27" w14:paraId="2C559AEE" w14:textId="524D2FF2" w:rsidTr="00172F56">
        <w:trPr>
          <w:jc w:val="center"/>
        </w:trPr>
        <w:tc>
          <w:tcPr>
            <w:tcW w:w="1604" w:type="dxa"/>
            <w:vAlign w:val="center"/>
          </w:tcPr>
          <w:p w14:paraId="79529198" w14:textId="77777777" w:rsidR="001814CE" w:rsidRPr="008D4A27" w:rsidRDefault="001814CE" w:rsidP="00826AF2">
            <w:pPr>
              <w:pStyle w:val="BodyText"/>
              <w:keepNext/>
              <w:tabs>
                <w:tab w:val="left" w:pos="720"/>
              </w:tabs>
              <w:spacing w:after="0" w:line="300" w:lineRule="auto"/>
              <w:rPr>
                <w:rFonts w:cs="Arial"/>
              </w:rPr>
            </w:pPr>
            <w:r w:rsidRPr="008D4A27">
              <w:rPr>
                <w:rFonts w:cs="Arial"/>
                <w:color w:val="000000"/>
              </w:rPr>
              <w:t>FB Periphery</w:t>
            </w:r>
          </w:p>
        </w:tc>
        <w:tc>
          <w:tcPr>
            <w:tcW w:w="1605" w:type="dxa"/>
            <w:vAlign w:val="center"/>
          </w:tcPr>
          <w:p w14:paraId="6FA87385" w14:textId="5C34EC39" w:rsidR="001814CE" w:rsidRPr="001814CE" w:rsidRDefault="001814CE" w:rsidP="00826AF2">
            <w:pPr>
              <w:pStyle w:val="BodyText"/>
              <w:keepNext/>
              <w:tabs>
                <w:tab w:val="left" w:pos="720"/>
              </w:tabs>
              <w:spacing w:after="0" w:line="300" w:lineRule="auto"/>
              <w:jc w:val="center"/>
              <w:rPr>
                <w:rFonts w:cs="Arial"/>
              </w:rPr>
            </w:pPr>
            <w:r w:rsidRPr="00172F56">
              <w:rPr>
                <w:rFonts w:cs="Arial"/>
                <w:color w:val="000000"/>
              </w:rPr>
              <w:t>79</w:t>
            </w:r>
          </w:p>
        </w:tc>
        <w:tc>
          <w:tcPr>
            <w:tcW w:w="1605" w:type="dxa"/>
            <w:vAlign w:val="center"/>
          </w:tcPr>
          <w:p w14:paraId="2C64A689" w14:textId="77777777" w:rsidR="001814CE" w:rsidRPr="001814CE" w:rsidRDefault="001814CE" w:rsidP="00826AF2">
            <w:pPr>
              <w:pStyle w:val="BodyText"/>
              <w:keepNext/>
              <w:tabs>
                <w:tab w:val="left" w:pos="720"/>
              </w:tabs>
              <w:spacing w:after="0" w:line="300" w:lineRule="auto"/>
              <w:jc w:val="center"/>
              <w:rPr>
                <w:rFonts w:cs="Arial"/>
              </w:rPr>
            </w:pPr>
            <w:r w:rsidRPr="001814CE">
              <w:rPr>
                <w:rFonts w:cs="Arial"/>
                <w:color w:val="000000"/>
              </w:rPr>
              <w:t>7.7%</w:t>
            </w:r>
          </w:p>
        </w:tc>
        <w:tc>
          <w:tcPr>
            <w:tcW w:w="1604" w:type="dxa"/>
            <w:vAlign w:val="center"/>
          </w:tcPr>
          <w:p w14:paraId="43373FD7" w14:textId="186ABB85"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12</w:t>
            </w:r>
          </w:p>
        </w:tc>
        <w:tc>
          <w:tcPr>
            <w:tcW w:w="1605" w:type="dxa"/>
            <w:vAlign w:val="center"/>
          </w:tcPr>
          <w:p w14:paraId="1F5D0402" w14:textId="51A88E8B"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42</w:t>
            </w:r>
          </w:p>
        </w:tc>
        <w:tc>
          <w:tcPr>
            <w:tcW w:w="1605" w:type="dxa"/>
            <w:vAlign w:val="center"/>
          </w:tcPr>
          <w:p w14:paraId="76352B35" w14:textId="4A71514C"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25</w:t>
            </w:r>
          </w:p>
        </w:tc>
      </w:tr>
      <w:tr w:rsidR="001814CE" w:rsidRPr="008D4A27" w14:paraId="080B1F17" w14:textId="70C7775A" w:rsidTr="00172F56">
        <w:trPr>
          <w:jc w:val="center"/>
        </w:trPr>
        <w:tc>
          <w:tcPr>
            <w:tcW w:w="1604" w:type="dxa"/>
            <w:vAlign w:val="center"/>
          </w:tcPr>
          <w:p w14:paraId="6B256909" w14:textId="77777777" w:rsidR="001814CE" w:rsidRPr="008D4A27" w:rsidRDefault="001814CE" w:rsidP="00826AF2">
            <w:pPr>
              <w:pStyle w:val="BodyText"/>
              <w:keepNext/>
              <w:tabs>
                <w:tab w:val="left" w:pos="720"/>
              </w:tabs>
              <w:spacing w:after="0" w:line="300" w:lineRule="auto"/>
              <w:rPr>
                <w:rFonts w:cs="Arial"/>
              </w:rPr>
            </w:pPr>
            <w:r w:rsidRPr="008D4A27">
              <w:rPr>
                <w:rFonts w:cs="Arial"/>
                <w:color w:val="000000"/>
              </w:rPr>
              <w:t>Kirkham</w:t>
            </w:r>
          </w:p>
        </w:tc>
        <w:tc>
          <w:tcPr>
            <w:tcW w:w="1605" w:type="dxa"/>
            <w:vAlign w:val="center"/>
          </w:tcPr>
          <w:p w14:paraId="153B708A" w14:textId="755725F0" w:rsidR="001814CE" w:rsidRPr="001814CE" w:rsidRDefault="001814CE" w:rsidP="00826AF2">
            <w:pPr>
              <w:pStyle w:val="BodyText"/>
              <w:keepNext/>
              <w:tabs>
                <w:tab w:val="left" w:pos="720"/>
              </w:tabs>
              <w:spacing w:after="0" w:line="300" w:lineRule="auto"/>
              <w:jc w:val="center"/>
              <w:rPr>
                <w:rFonts w:cs="Arial"/>
              </w:rPr>
            </w:pPr>
            <w:r w:rsidRPr="00172F56">
              <w:rPr>
                <w:rFonts w:cs="Arial"/>
                <w:color w:val="000000"/>
              </w:rPr>
              <w:t>75</w:t>
            </w:r>
          </w:p>
        </w:tc>
        <w:tc>
          <w:tcPr>
            <w:tcW w:w="1605" w:type="dxa"/>
            <w:vAlign w:val="center"/>
          </w:tcPr>
          <w:p w14:paraId="245911C3" w14:textId="77777777" w:rsidR="001814CE" w:rsidRPr="001814CE" w:rsidRDefault="001814CE" w:rsidP="00826AF2">
            <w:pPr>
              <w:pStyle w:val="BodyText"/>
              <w:keepNext/>
              <w:tabs>
                <w:tab w:val="left" w:pos="720"/>
              </w:tabs>
              <w:spacing w:after="0" w:line="300" w:lineRule="auto"/>
              <w:jc w:val="center"/>
              <w:rPr>
                <w:rFonts w:cs="Arial"/>
              </w:rPr>
            </w:pPr>
            <w:r w:rsidRPr="001814CE">
              <w:rPr>
                <w:rFonts w:cs="Arial"/>
                <w:color w:val="000000"/>
              </w:rPr>
              <w:t>5.6%</w:t>
            </w:r>
          </w:p>
        </w:tc>
        <w:tc>
          <w:tcPr>
            <w:tcW w:w="1604" w:type="dxa"/>
            <w:vAlign w:val="center"/>
          </w:tcPr>
          <w:p w14:paraId="3D8F075A" w14:textId="7848B28A"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30</w:t>
            </w:r>
          </w:p>
        </w:tc>
        <w:tc>
          <w:tcPr>
            <w:tcW w:w="1605" w:type="dxa"/>
            <w:vAlign w:val="center"/>
          </w:tcPr>
          <w:p w14:paraId="2692CC00" w14:textId="17F6417C"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45</w:t>
            </w:r>
          </w:p>
        </w:tc>
        <w:tc>
          <w:tcPr>
            <w:tcW w:w="1605" w:type="dxa"/>
            <w:vAlign w:val="center"/>
          </w:tcPr>
          <w:p w14:paraId="2F3AB580" w14:textId="5D3AF482"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0</w:t>
            </w:r>
          </w:p>
        </w:tc>
      </w:tr>
      <w:tr w:rsidR="001814CE" w:rsidRPr="008D4A27" w14:paraId="11945851" w14:textId="7A51C870" w:rsidTr="00172F56">
        <w:trPr>
          <w:jc w:val="center"/>
        </w:trPr>
        <w:tc>
          <w:tcPr>
            <w:tcW w:w="1604" w:type="dxa"/>
            <w:vAlign w:val="center"/>
          </w:tcPr>
          <w:p w14:paraId="2DB46024" w14:textId="77777777" w:rsidR="001814CE" w:rsidRPr="008D4A27" w:rsidRDefault="001814CE" w:rsidP="00826AF2">
            <w:pPr>
              <w:pStyle w:val="BodyText"/>
              <w:keepNext/>
              <w:tabs>
                <w:tab w:val="left" w:pos="720"/>
              </w:tabs>
              <w:spacing w:after="0" w:line="300" w:lineRule="auto"/>
              <w:rPr>
                <w:rFonts w:cs="Arial"/>
                <w:color w:val="000000"/>
              </w:rPr>
            </w:pPr>
            <w:r w:rsidRPr="008D4A27">
              <w:rPr>
                <w:rFonts w:cs="Arial"/>
                <w:color w:val="000000"/>
              </w:rPr>
              <w:t>Wesham</w:t>
            </w:r>
          </w:p>
        </w:tc>
        <w:tc>
          <w:tcPr>
            <w:tcW w:w="1605" w:type="dxa"/>
            <w:vAlign w:val="center"/>
          </w:tcPr>
          <w:p w14:paraId="7BD9140D" w14:textId="2B576339" w:rsidR="001814CE" w:rsidRPr="001814CE" w:rsidRDefault="001814CE" w:rsidP="00826AF2">
            <w:pPr>
              <w:pStyle w:val="BodyText"/>
              <w:keepNext/>
              <w:tabs>
                <w:tab w:val="left" w:pos="720"/>
              </w:tabs>
              <w:spacing w:after="0" w:line="300" w:lineRule="auto"/>
              <w:jc w:val="center"/>
              <w:rPr>
                <w:rFonts w:cs="Arial"/>
                <w:color w:val="000000"/>
              </w:rPr>
            </w:pPr>
            <w:r w:rsidRPr="00172F56">
              <w:rPr>
                <w:rFonts w:cs="Arial"/>
                <w:color w:val="000000"/>
              </w:rPr>
              <w:t>74</w:t>
            </w:r>
          </w:p>
        </w:tc>
        <w:tc>
          <w:tcPr>
            <w:tcW w:w="1605" w:type="dxa"/>
            <w:vAlign w:val="center"/>
          </w:tcPr>
          <w:p w14:paraId="51E321CB" w14:textId="77777777" w:rsidR="001814CE" w:rsidRPr="001814CE" w:rsidRDefault="001814CE" w:rsidP="00826AF2">
            <w:pPr>
              <w:pStyle w:val="BodyText"/>
              <w:keepNext/>
              <w:tabs>
                <w:tab w:val="left" w:pos="720"/>
              </w:tabs>
              <w:spacing w:after="0" w:line="300" w:lineRule="auto"/>
              <w:jc w:val="center"/>
              <w:rPr>
                <w:rFonts w:cs="Arial"/>
                <w:color w:val="000000"/>
              </w:rPr>
            </w:pPr>
            <w:r w:rsidRPr="001814CE">
              <w:rPr>
                <w:rFonts w:cs="Arial"/>
                <w:color w:val="000000"/>
              </w:rPr>
              <w:t>5.5%</w:t>
            </w:r>
          </w:p>
        </w:tc>
        <w:tc>
          <w:tcPr>
            <w:tcW w:w="1604" w:type="dxa"/>
            <w:vAlign w:val="center"/>
          </w:tcPr>
          <w:p w14:paraId="020540EC" w14:textId="39C2FD7D"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23</w:t>
            </w:r>
          </w:p>
        </w:tc>
        <w:tc>
          <w:tcPr>
            <w:tcW w:w="1605" w:type="dxa"/>
            <w:vAlign w:val="center"/>
          </w:tcPr>
          <w:p w14:paraId="3464F0DB" w14:textId="08836B39"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50</w:t>
            </w:r>
          </w:p>
        </w:tc>
        <w:tc>
          <w:tcPr>
            <w:tcW w:w="1605" w:type="dxa"/>
            <w:vAlign w:val="center"/>
          </w:tcPr>
          <w:p w14:paraId="2E8361D5" w14:textId="34B50FC6"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0</w:t>
            </w:r>
          </w:p>
        </w:tc>
      </w:tr>
      <w:tr w:rsidR="001814CE" w:rsidRPr="008D4A27" w14:paraId="511D152B" w14:textId="014CE6A6" w:rsidTr="00172F56">
        <w:trPr>
          <w:jc w:val="center"/>
        </w:trPr>
        <w:tc>
          <w:tcPr>
            <w:tcW w:w="1604" w:type="dxa"/>
            <w:vAlign w:val="center"/>
          </w:tcPr>
          <w:p w14:paraId="030CE0AA" w14:textId="77777777" w:rsidR="001814CE" w:rsidRPr="008D4A27" w:rsidRDefault="001814CE" w:rsidP="00826AF2">
            <w:pPr>
              <w:pStyle w:val="BodyText"/>
              <w:keepNext/>
              <w:tabs>
                <w:tab w:val="left" w:pos="720"/>
              </w:tabs>
              <w:spacing w:after="0" w:line="300" w:lineRule="auto"/>
              <w:rPr>
                <w:rFonts w:cs="Arial"/>
                <w:color w:val="000000"/>
              </w:rPr>
            </w:pPr>
            <w:r w:rsidRPr="008D4A27">
              <w:rPr>
                <w:rFonts w:cs="Arial"/>
                <w:color w:val="000000"/>
              </w:rPr>
              <w:t>Freckleton</w:t>
            </w:r>
          </w:p>
        </w:tc>
        <w:tc>
          <w:tcPr>
            <w:tcW w:w="1605" w:type="dxa"/>
            <w:vAlign w:val="center"/>
          </w:tcPr>
          <w:p w14:paraId="201386F1" w14:textId="52863F13" w:rsidR="001814CE" w:rsidRPr="001814CE" w:rsidRDefault="001814CE" w:rsidP="00826AF2">
            <w:pPr>
              <w:pStyle w:val="BodyText"/>
              <w:keepNext/>
              <w:tabs>
                <w:tab w:val="left" w:pos="720"/>
              </w:tabs>
              <w:spacing w:after="0" w:line="300" w:lineRule="auto"/>
              <w:jc w:val="center"/>
              <w:rPr>
                <w:rFonts w:cs="Arial"/>
                <w:color w:val="000000"/>
              </w:rPr>
            </w:pPr>
            <w:r w:rsidRPr="00172F56">
              <w:rPr>
                <w:rFonts w:cs="Arial"/>
                <w:color w:val="000000"/>
              </w:rPr>
              <w:t>58</w:t>
            </w:r>
          </w:p>
        </w:tc>
        <w:tc>
          <w:tcPr>
            <w:tcW w:w="1605" w:type="dxa"/>
            <w:vAlign w:val="center"/>
          </w:tcPr>
          <w:p w14:paraId="282C9356" w14:textId="77777777" w:rsidR="001814CE" w:rsidRPr="001814CE" w:rsidRDefault="001814CE" w:rsidP="00826AF2">
            <w:pPr>
              <w:pStyle w:val="BodyText"/>
              <w:keepNext/>
              <w:tabs>
                <w:tab w:val="left" w:pos="720"/>
              </w:tabs>
              <w:spacing w:after="0" w:line="300" w:lineRule="auto"/>
              <w:jc w:val="center"/>
              <w:rPr>
                <w:rFonts w:cs="Arial"/>
                <w:color w:val="000000"/>
              </w:rPr>
            </w:pPr>
            <w:r w:rsidRPr="001814CE">
              <w:rPr>
                <w:rFonts w:cs="Arial"/>
                <w:color w:val="000000"/>
              </w:rPr>
              <w:t>4.3%</w:t>
            </w:r>
          </w:p>
        </w:tc>
        <w:tc>
          <w:tcPr>
            <w:tcW w:w="1604" w:type="dxa"/>
            <w:vAlign w:val="center"/>
          </w:tcPr>
          <w:p w14:paraId="52A74ADA" w14:textId="212ADCE6"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0</w:t>
            </w:r>
          </w:p>
        </w:tc>
        <w:tc>
          <w:tcPr>
            <w:tcW w:w="1605" w:type="dxa"/>
            <w:vAlign w:val="center"/>
          </w:tcPr>
          <w:p w14:paraId="7ABC4744" w14:textId="04691F5A"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36</w:t>
            </w:r>
          </w:p>
        </w:tc>
        <w:tc>
          <w:tcPr>
            <w:tcW w:w="1605" w:type="dxa"/>
            <w:vAlign w:val="center"/>
          </w:tcPr>
          <w:p w14:paraId="7E391F9B" w14:textId="4FE47139"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22</w:t>
            </w:r>
          </w:p>
        </w:tc>
      </w:tr>
      <w:tr w:rsidR="001814CE" w:rsidRPr="008D4A27" w14:paraId="70BBCC69" w14:textId="707E6B14" w:rsidTr="00172F56">
        <w:trPr>
          <w:jc w:val="center"/>
        </w:trPr>
        <w:tc>
          <w:tcPr>
            <w:tcW w:w="1604" w:type="dxa"/>
            <w:vAlign w:val="center"/>
          </w:tcPr>
          <w:p w14:paraId="63C20509" w14:textId="77777777" w:rsidR="001814CE" w:rsidRPr="008D4A27" w:rsidRDefault="001814CE" w:rsidP="00826AF2">
            <w:pPr>
              <w:pStyle w:val="BodyText"/>
              <w:keepNext/>
              <w:tabs>
                <w:tab w:val="left" w:pos="720"/>
              </w:tabs>
              <w:spacing w:after="0" w:line="300" w:lineRule="auto"/>
              <w:rPr>
                <w:rFonts w:cs="Arial"/>
                <w:color w:val="000000"/>
              </w:rPr>
            </w:pPr>
            <w:r w:rsidRPr="008D4A27">
              <w:rPr>
                <w:rFonts w:cs="Arial"/>
                <w:color w:val="000000"/>
              </w:rPr>
              <w:t>Rural North</w:t>
            </w:r>
          </w:p>
        </w:tc>
        <w:tc>
          <w:tcPr>
            <w:tcW w:w="1605" w:type="dxa"/>
            <w:vAlign w:val="center"/>
          </w:tcPr>
          <w:p w14:paraId="2548121F" w14:textId="032E8CAE" w:rsidR="001814CE" w:rsidRPr="001814CE" w:rsidRDefault="001814CE" w:rsidP="00826AF2">
            <w:pPr>
              <w:pStyle w:val="BodyText"/>
              <w:keepNext/>
              <w:tabs>
                <w:tab w:val="left" w:pos="720"/>
              </w:tabs>
              <w:spacing w:after="0" w:line="300" w:lineRule="auto"/>
              <w:jc w:val="center"/>
              <w:rPr>
                <w:rFonts w:cs="Arial"/>
                <w:color w:val="000000"/>
              </w:rPr>
            </w:pPr>
            <w:r w:rsidRPr="00172F56">
              <w:rPr>
                <w:rFonts w:cs="Arial"/>
                <w:color w:val="000000"/>
              </w:rPr>
              <w:t>25</w:t>
            </w:r>
          </w:p>
        </w:tc>
        <w:tc>
          <w:tcPr>
            <w:tcW w:w="1605" w:type="dxa"/>
            <w:vAlign w:val="center"/>
          </w:tcPr>
          <w:p w14:paraId="58EBFFA9" w14:textId="77777777" w:rsidR="001814CE" w:rsidRPr="001814CE" w:rsidRDefault="001814CE" w:rsidP="00826AF2">
            <w:pPr>
              <w:pStyle w:val="BodyText"/>
              <w:keepNext/>
              <w:tabs>
                <w:tab w:val="left" w:pos="720"/>
              </w:tabs>
              <w:spacing w:after="0" w:line="300" w:lineRule="auto"/>
              <w:jc w:val="center"/>
              <w:rPr>
                <w:rFonts w:cs="Arial"/>
                <w:color w:val="000000"/>
              </w:rPr>
            </w:pPr>
            <w:r w:rsidRPr="001814CE">
              <w:rPr>
                <w:rFonts w:cs="Arial"/>
                <w:color w:val="000000"/>
              </w:rPr>
              <w:t>2.5%</w:t>
            </w:r>
          </w:p>
        </w:tc>
        <w:tc>
          <w:tcPr>
            <w:tcW w:w="1604" w:type="dxa"/>
            <w:vAlign w:val="center"/>
          </w:tcPr>
          <w:p w14:paraId="5D27A9B6" w14:textId="09D87406"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13</w:t>
            </w:r>
          </w:p>
        </w:tc>
        <w:tc>
          <w:tcPr>
            <w:tcW w:w="1605" w:type="dxa"/>
            <w:vAlign w:val="center"/>
          </w:tcPr>
          <w:p w14:paraId="3AAD2872" w14:textId="4FE7B543"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8</w:t>
            </w:r>
          </w:p>
        </w:tc>
        <w:tc>
          <w:tcPr>
            <w:tcW w:w="1605" w:type="dxa"/>
            <w:vAlign w:val="center"/>
          </w:tcPr>
          <w:p w14:paraId="3CDEC7B1" w14:textId="0721B631"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5</w:t>
            </w:r>
          </w:p>
        </w:tc>
      </w:tr>
      <w:tr w:rsidR="001814CE" w:rsidRPr="008D4A27" w14:paraId="1C2FD5A1" w14:textId="499F9AA8" w:rsidTr="00172F56">
        <w:trPr>
          <w:jc w:val="center"/>
        </w:trPr>
        <w:tc>
          <w:tcPr>
            <w:tcW w:w="1604" w:type="dxa"/>
            <w:vAlign w:val="center"/>
          </w:tcPr>
          <w:p w14:paraId="6F9DC610" w14:textId="77777777" w:rsidR="001814CE" w:rsidRPr="008D4A27" w:rsidRDefault="001814CE" w:rsidP="00826AF2">
            <w:pPr>
              <w:pStyle w:val="BodyText"/>
              <w:keepNext/>
              <w:tabs>
                <w:tab w:val="left" w:pos="720"/>
              </w:tabs>
              <w:spacing w:after="0" w:line="300" w:lineRule="auto"/>
              <w:rPr>
                <w:rFonts w:cs="Arial"/>
                <w:color w:val="000000"/>
              </w:rPr>
            </w:pPr>
            <w:r w:rsidRPr="008D4A27">
              <w:rPr>
                <w:rFonts w:cs="Arial"/>
                <w:color w:val="000000"/>
              </w:rPr>
              <w:t>Rural West</w:t>
            </w:r>
          </w:p>
        </w:tc>
        <w:tc>
          <w:tcPr>
            <w:tcW w:w="1605" w:type="dxa"/>
            <w:vAlign w:val="center"/>
          </w:tcPr>
          <w:p w14:paraId="12C43FA3" w14:textId="2BD79B58" w:rsidR="001814CE" w:rsidRPr="001814CE" w:rsidRDefault="001814CE" w:rsidP="00826AF2">
            <w:pPr>
              <w:pStyle w:val="BodyText"/>
              <w:keepNext/>
              <w:tabs>
                <w:tab w:val="left" w:pos="720"/>
              </w:tabs>
              <w:spacing w:after="0" w:line="300" w:lineRule="auto"/>
              <w:jc w:val="center"/>
              <w:rPr>
                <w:rFonts w:cs="Arial"/>
                <w:color w:val="000000"/>
              </w:rPr>
            </w:pPr>
            <w:r w:rsidRPr="00172F56">
              <w:rPr>
                <w:rFonts w:cs="Arial"/>
                <w:color w:val="000000"/>
              </w:rPr>
              <w:t>18</w:t>
            </w:r>
          </w:p>
        </w:tc>
        <w:tc>
          <w:tcPr>
            <w:tcW w:w="1605" w:type="dxa"/>
            <w:vAlign w:val="center"/>
          </w:tcPr>
          <w:p w14:paraId="0DCA1261" w14:textId="77777777" w:rsidR="001814CE" w:rsidRPr="001814CE" w:rsidRDefault="001814CE" w:rsidP="00826AF2">
            <w:pPr>
              <w:pStyle w:val="BodyText"/>
              <w:keepNext/>
              <w:tabs>
                <w:tab w:val="left" w:pos="720"/>
              </w:tabs>
              <w:spacing w:after="0" w:line="300" w:lineRule="auto"/>
              <w:jc w:val="center"/>
              <w:rPr>
                <w:rFonts w:cs="Arial"/>
                <w:color w:val="000000"/>
              </w:rPr>
            </w:pPr>
            <w:r w:rsidRPr="001814CE">
              <w:rPr>
                <w:rFonts w:cs="Arial"/>
                <w:color w:val="000000"/>
              </w:rPr>
              <w:t>1.3%</w:t>
            </w:r>
          </w:p>
        </w:tc>
        <w:tc>
          <w:tcPr>
            <w:tcW w:w="1604" w:type="dxa"/>
            <w:vAlign w:val="center"/>
          </w:tcPr>
          <w:p w14:paraId="71B76C1F" w14:textId="33572A07"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3</w:t>
            </w:r>
          </w:p>
        </w:tc>
        <w:tc>
          <w:tcPr>
            <w:tcW w:w="1605" w:type="dxa"/>
            <w:vAlign w:val="center"/>
          </w:tcPr>
          <w:p w14:paraId="2648F1A9" w14:textId="31F4192C"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15</w:t>
            </w:r>
          </w:p>
        </w:tc>
        <w:tc>
          <w:tcPr>
            <w:tcW w:w="1605" w:type="dxa"/>
            <w:vAlign w:val="center"/>
          </w:tcPr>
          <w:p w14:paraId="0AFCF235" w14:textId="7C768386"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0</w:t>
            </w:r>
          </w:p>
        </w:tc>
      </w:tr>
      <w:tr w:rsidR="001814CE" w:rsidRPr="008D4A27" w14:paraId="5DB09587" w14:textId="24E48032" w:rsidTr="00172F56">
        <w:trPr>
          <w:jc w:val="center"/>
        </w:trPr>
        <w:tc>
          <w:tcPr>
            <w:tcW w:w="1604" w:type="dxa"/>
            <w:vAlign w:val="center"/>
          </w:tcPr>
          <w:p w14:paraId="7223326A" w14:textId="77777777" w:rsidR="001814CE" w:rsidRPr="008D4A27" w:rsidRDefault="001814CE" w:rsidP="00826AF2">
            <w:pPr>
              <w:pStyle w:val="BodyText"/>
              <w:keepNext/>
              <w:tabs>
                <w:tab w:val="left" w:pos="720"/>
              </w:tabs>
              <w:spacing w:after="0" w:line="300" w:lineRule="auto"/>
              <w:rPr>
                <w:rFonts w:cs="Arial"/>
                <w:color w:val="000000"/>
              </w:rPr>
            </w:pPr>
            <w:r w:rsidRPr="008D4A27">
              <w:rPr>
                <w:rFonts w:cs="Arial"/>
                <w:color w:val="000000"/>
              </w:rPr>
              <w:t>Rural East</w:t>
            </w:r>
          </w:p>
        </w:tc>
        <w:tc>
          <w:tcPr>
            <w:tcW w:w="1605" w:type="dxa"/>
            <w:vAlign w:val="center"/>
          </w:tcPr>
          <w:p w14:paraId="4B51FDCD" w14:textId="096F584A" w:rsidR="001814CE" w:rsidRPr="001814CE" w:rsidRDefault="001814CE" w:rsidP="00826AF2">
            <w:pPr>
              <w:pStyle w:val="BodyText"/>
              <w:keepNext/>
              <w:tabs>
                <w:tab w:val="left" w:pos="720"/>
              </w:tabs>
              <w:spacing w:after="0" w:line="300" w:lineRule="auto"/>
              <w:jc w:val="center"/>
              <w:rPr>
                <w:rFonts w:cs="Arial"/>
                <w:color w:val="000000"/>
              </w:rPr>
            </w:pPr>
            <w:r w:rsidRPr="00172F56">
              <w:rPr>
                <w:rFonts w:cs="Arial"/>
                <w:color w:val="000000"/>
              </w:rPr>
              <w:t>12</w:t>
            </w:r>
          </w:p>
        </w:tc>
        <w:tc>
          <w:tcPr>
            <w:tcW w:w="1605" w:type="dxa"/>
            <w:vAlign w:val="center"/>
          </w:tcPr>
          <w:p w14:paraId="23826D87" w14:textId="77777777" w:rsidR="001814CE" w:rsidRPr="001814CE" w:rsidRDefault="001814CE" w:rsidP="00826AF2">
            <w:pPr>
              <w:pStyle w:val="BodyText"/>
              <w:keepNext/>
              <w:tabs>
                <w:tab w:val="left" w:pos="720"/>
              </w:tabs>
              <w:spacing w:after="0" w:line="300" w:lineRule="auto"/>
              <w:jc w:val="center"/>
              <w:rPr>
                <w:rFonts w:cs="Arial"/>
                <w:color w:val="000000"/>
              </w:rPr>
            </w:pPr>
            <w:r w:rsidRPr="001814CE">
              <w:rPr>
                <w:rFonts w:cs="Arial"/>
                <w:color w:val="000000"/>
              </w:rPr>
              <w:t>0.9%</w:t>
            </w:r>
          </w:p>
        </w:tc>
        <w:tc>
          <w:tcPr>
            <w:tcW w:w="1604" w:type="dxa"/>
            <w:vAlign w:val="center"/>
          </w:tcPr>
          <w:p w14:paraId="5264566A" w14:textId="69A0A403"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8</w:t>
            </w:r>
          </w:p>
        </w:tc>
        <w:tc>
          <w:tcPr>
            <w:tcW w:w="1605" w:type="dxa"/>
            <w:vAlign w:val="center"/>
          </w:tcPr>
          <w:p w14:paraId="55B87C50" w14:textId="52C0FC80"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0</w:t>
            </w:r>
          </w:p>
        </w:tc>
        <w:tc>
          <w:tcPr>
            <w:tcW w:w="1605" w:type="dxa"/>
            <w:vAlign w:val="center"/>
          </w:tcPr>
          <w:p w14:paraId="6D16C6B1" w14:textId="50A3AC8A"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5</w:t>
            </w:r>
          </w:p>
        </w:tc>
      </w:tr>
      <w:tr w:rsidR="001814CE" w:rsidRPr="008D4A27" w14:paraId="2696C75C" w14:textId="1DD16DE9" w:rsidTr="00172F56">
        <w:trPr>
          <w:jc w:val="center"/>
        </w:trPr>
        <w:tc>
          <w:tcPr>
            <w:tcW w:w="1604" w:type="dxa"/>
            <w:vAlign w:val="center"/>
          </w:tcPr>
          <w:p w14:paraId="5A6552CE" w14:textId="77777777" w:rsidR="001814CE" w:rsidRPr="008D4A27" w:rsidRDefault="001814CE" w:rsidP="00826AF2">
            <w:pPr>
              <w:pStyle w:val="BodyText"/>
              <w:keepNext/>
              <w:tabs>
                <w:tab w:val="left" w:pos="720"/>
              </w:tabs>
              <w:spacing w:after="0" w:line="300" w:lineRule="auto"/>
              <w:rPr>
                <w:rFonts w:cs="Arial"/>
                <w:color w:val="000000"/>
              </w:rPr>
            </w:pPr>
            <w:r w:rsidRPr="008D4A27">
              <w:rPr>
                <w:rFonts w:cs="Arial"/>
                <w:color w:val="000000"/>
              </w:rPr>
              <w:t>TOTAL</w:t>
            </w:r>
          </w:p>
        </w:tc>
        <w:tc>
          <w:tcPr>
            <w:tcW w:w="1605" w:type="dxa"/>
            <w:vAlign w:val="center"/>
          </w:tcPr>
          <w:p w14:paraId="7C267EDA" w14:textId="0F9AC6C8" w:rsidR="001814CE" w:rsidRPr="001814CE" w:rsidRDefault="001814CE" w:rsidP="00826AF2">
            <w:pPr>
              <w:pStyle w:val="BodyText"/>
              <w:keepNext/>
              <w:tabs>
                <w:tab w:val="left" w:pos="720"/>
              </w:tabs>
              <w:spacing w:after="0" w:line="300" w:lineRule="auto"/>
              <w:jc w:val="center"/>
              <w:rPr>
                <w:rFonts w:cs="Arial"/>
                <w:color w:val="000000"/>
              </w:rPr>
            </w:pPr>
            <w:r w:rsidRPr="00172F56">
              <w:rPr>
                <w:rFonts w:cs="Arial"/>
                <w:color w:val="000000"/>
              </w:rPr>
              <w:t>1,165</w:t>
            </w:r>
          </w:p>
        </w:tc>
        <w:tc>
          <w:tcPr>
            <w:tcW w:w="1605" w:type="dxa"/>
            <w:vAlign w:val="center"/>
          </w:tcPr>
          <w:p w14:paraId="6BDD5F1D" w14:textId="77777777" w:rsidR="001814CE" w:rsidRPr="001814CE" w:rsidRDefault="001814CE" w:rsidP="00826AF2">
            <w:pPr>
              <w:pStyle w:val="BodyText"/>
              <w:keepNext/>
              <w:tabs>
                <w:tab w:val="left" w:pos="720"/>
              </w:tabs>
              <w:spacing w:after="0" w:line="300" w:lineRule="auto"/>
              <w:jc w:val="center"/>
              <w:rPr>
                <w:rFonts w:cs="Arial"/>
                <w:color w:val="000000"/>
              </w:rPr>
            </w:pPr>
            <w:r w:rsidRPr="001814CE">
              <w:rPr>
                <w:rFonts w:cs="Arial"/>
                <w:color w:val="000000"/>
              </w:rPr>
              <w:t>100.0%</w:t>
            </w:r>
          </w:p>
        </w:tc>
        <w:tc>
          <w:tcPr>
            <w:tcW w:w="1604" w:type="dxa"/>
            <w:vAlign w:val="center"/>
          </w:tcPr>
          <w:p w14:paraId="2716D5BD" w14:textId="321F1582"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454</w:t>
            </w:r>
          </w:p>
        </w:tc>
        <w:tc>
          <w:tcPr>
            <w:tcW w:w="1605" w:type="dxa"/>
            <w:vAlign w:val="center"/>
          </w:tcPr>
          <w:p w14:paraId="27983284" w14:textId="6D88DADD"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544</w:t>
            </w:r>
          </w:p>
        </w:tc>
        <w:tc>
          <w:tcPr>
            <w:tcW w:w="1605" w:type="dxa"/>
            <w:vAlign w:val="center"/>
          </w:tcPr>
          <w:p w14:paraId="067255FF" w14:textId="36414ACB" w:rsidR="001814CE" w:rsidRPr="001814CE" w:rsidRDefault="001814CE" w:rsidP="00172F56">
            <w:pPr>
              <w:pStyle w:val="BodyText"/>
              <w:keepNext/>
              <w:tabs>
                <w:tab w:val="left" w:pos="720"/>
              </w:tabs>
              <w:spacing w:after="0" w:line="300" w:lineRule="auto"/>
              <w:jc w:val="center"/>
              <w:rPr>
                <w:rFonts w:cs="Arial"/>
                <w:color w:val="000000"/>
              </w:rPr>
            </w:pPr>
            <w:r w:rsidRPr="00172F56">
              <w:rPr>
                <w:rFonts w:cs="Arial"/>
                <w:color w:val="000000"/>
              </w:rPr>
              <w:t>168</w:t>
            </w:r>
          </w:p>
        </w:tc>
      </w:tr>
    </w:tbl>
    <w:p w14:paraId="016AD696" w14:textId="6722CB35" w:rsidR="0007167E" w:rsidRDefault="0007167E" w:rsidP="00826AF2">
      <w:pPr>
        <w:spacing w:line="300" w:lineRule="auto"/>
        <w:jc w:val="center"/>
        <w:rPr>
          <w:rFonts w:ascii="Arial" w:hAnsi="Arial" w:cs="Arial"/>
          <w:sz w:val="20"/>
          <w:szCs w:val="20"/>
        </w:rPr>
      </w:pPr>
      <w:r w:rsidRPr="008D4A27">
        <w:rPr>
          <w:rFonts w:ascii="Arial" w:hAnsi="Arial" w:cs="Arial"/>
          <w:sz w:val="20"/>
          <w:szCs w:val="20"/>
        </w:rPr>
        <w:t>Source: Derived from a range of sources as described in text</w:t>
      </w:r>
    </w:p>
    <w:p w14:paraId="3CDAAF2F" w14:textId="77777777" w:rsidR="00DA7C15" w:rsidRPr="008D4A27" w:rsidRDefault="00DA7C15" w:rsidP="00172F56">
      <w:pPr>
        <w:spacing w:line="300" w:lineRule="auto"/>
        <w:jc w:val="both"/>
        <w:rPr>
          <w:rFonts w:ascii="Arial" w:hAnsi="Arial" w:cs="Arial"/>
          <w:sz w:val="20"/>
          <w:szCs w:val="20"/>
        </w:rPr>
      </w:pPr>
    </w:p>
    <w:tbl>
      <w:tblPr>
        <w:tblStyle w:val="TableTheme"/>
        <w:tblW w:w="8199" w:type="dxa"/>
        <w:jc w:val="center"/>
        <w:tblLook w:val="04A0" w:firstRow="1" w:lastRow="0" w:firstColumn="1" w:lastColumn="0" w:noHBand="0" w:noVBand="1"/>
      </w:tblPr>
      <w:tblGrid>
        <w:gridCol w:w="2743"/>
        <w:gridCol w:w="2738"/>
        <w:gridCol w:w="2718"/>
      </w:tblGrid>
      <w:tr w:rsidR="00DA7C15" w:rsidRPr="00DA7C15" w14:paraId="43364EAC" w14:textId="77777777" w:rsidTr="008469E3">
        <w:trPr>
          <w:jc w:val="center"/>
        </w:trPr>
        <w:tc>
          <w:tcPr>
            <w:tcW w:w="8199" w:type="dxa"/>
            <w:gridSpan w:val="3"/>
          </w:tcPr>
          <w:p w14:paraId="32C4CE97" w14:textId="10B37AA9" w:rsidR="00DA7C15" w:rsidRPr="00DA7C15" w:rsidRDefault="00DA7C15" w:rsidP="00826AF2">
            <w:pPr>
              <w:pStyle w:val="BodyText"/>
              <w:keepNext/>
              <w:tabs>
                <w:tab w:val="left" w:pos="720"/>
              </w:tabs>
              <w:spacing w:after="0" w:line="300" w:lineRule="auto"/>
              <w:jc w:val="center"/>
              <w:rPr>
                <w:rFonts w:cs="Arial"/>
                <w:b/>
              </w:rPr>
            </w:pPr>
            <w:r w:rsidRPr="00DA7C15">
              <w:rPr>
                <w:rFonts w:cs="Arial"/>
                <w:b/>
              </w:rPr>
              <w:t>Figure 3.</w:t>
            </w:r>
            <w:r w:rsidR="00DF6242">
              <w:rPr>
                <w:rFonts w:cs="Arial"/>
                <w:b/>
              </w:rPr>
              <w:t>8</w:t>
            </w:r>
            <w:r w:rsidRPr="00DA7C15">
              <w:rPr>
                <w:rFonts w:cs="Arial"/>
                <w:b/>
              </w:rPr>
              <w:t>: Estimated Need for affordable home ownership from Existing Households Falling into Need (</w:t>
            </w:r>
            <w:r w:rsidR="001814CE">
              <w:rPr>
                <w:rFonts w:cs="Arial"/>
                <w:b/>
              </w:rPr>
              <w:t>5-years</w:t>
            </w:r>
            <w:r w:rsidRPr="00DA7C15">
              <w:rPr>
                <w:rFonts w:cs="Arial"/>
                <w:b/>
              </w:rPr>
              <w:t>)</w:t>
            </w:r>
          </w:p>
        </w:tc>
      </w:tr>
      <w:tr w:rsidR="0007167E" w:rsidRPr="008D4A27" w14:paraId="0F4543A7" w14:textId="77777777" w:rsidTr="00DA7C15">
        <w:trPr>
          <w:jc w:val="center"/>
        </w:trPr>
        <w:tc>
          <w:tcPr>
            <w:tcW w:w="2743" w:type="dxa"/>
          </w:tcPr>
          <w:p w14:paraId="58C36108" w14:textId="77777777" w:rsidR="0007167E" w:rsidRPr="008D4A27" w:rsidRDefault="0007167E" w:rsidP="00172F56">
            <w:pPr>
              <w:keepNext/>
              <w:spacing w:before="60" w:after="60" w:line="300" w:lineRule="auto"/>
              <w:rPr>
                <w:rFonts w:ascii="Arial" w:hAnsi="Arial" w:cs="Arial"/>
                <w:bCs/>
                <w:sz w:val="20"/>
                <w:szCs w:val="20"/>
              </w:rPr>
            </w:pPr>
          </w:p>
        </w:tc>
        <w:tc>
          <w:tcPr>
            <w:tcW w:w="2738" w:type="dxa"/>
            <w:hideMark/>
          </w:tcPr>
          <w:p w14:paraId="5A6E4672" w14:textId="77777777" w:rsidR="0007167E" w:rsidRPr="008D4A27" w:rsidRDefault="0007167E" w:rsidP="00172F56">
            <w:pPr>
              <w:pStyle w:val="BodyText"/>
              <w:keepNext/>
              <w:tabs>
                <w:tab w:val="left" w:pos="720"/>
              </w:tabs>
              <w:spacing w:before="60" w:after="60" w:line="300" w:lineRule="auto"/>
              <w:jc w:val="center"/>
              <w:rPr>
                <w:rFonts w:cs="Arial"/>
                <w:bCs/>
              </w:rPr>
            </w:pPr>
            <w:r w:rsidRPr="008D4A27">
              <w:rPr>
                <w:rFonts w:cs="Arial"/>
                <w:bCs/>
              </w:rPr>
              <w:t>Total Additional Need</w:t>
            </w:r>
          </w:p>
        </w:tc>
        <w:tc>
          <w:tcPr>
            <w:tcW w:w="2718" w:type="dxa"/>
            <w:hideMark/>
          </w:tcPr>
          <w:p w14:paraId="53917BBF" w14:textId="77777777" w:rsidR="0007167E" w:rsidRPr="008D4A27" w:rsidRDefault="0007167E" w:rsidP="00172F56">
            <w:pPr>
              <w:pStyle w:val="BodyText"/>
              <w:keepNext/>
              <w:tabs>
                <w:tab w:val="left" w:pos="720"/>
              </w:tabs>
              <w:spacing w:before="60" w:after="60" w:line="300" w:lineRule="auto"/>
              <w:jc w:val="center"/>
              <w:rPr>
                <w:rFonts w:cs="Arial"/>
                <w:bCs/>
              </w:rPr>
            </w:pPr>
            <w:r w:rsidRPr="008D4A27">
              <w:rPr>
                <w:rFonts w:cs="Arial"/>
                <w:bCs/>
              </w:rPr>
              <w:t>% of Total</w:t>
            </w:r>
          </w:p>
        </w:tc>
      </w:tr>
      <w:tr w:rsidR="001814CE" w:rsidRPr="008D4A27" w14:paraId="793044F8" w14:textId="77777777" w:rsidTr="00172F56">
        <w:trPr>
          <w:jc w:val="center"/>
        </w:trPr>
        <w:tc>
          <w:tcPr>
            <w:tcW w:w="2743" w:type="dxa"/>
          </w:tcPr>
          <w:p w14:paraId="6F411B68" w14:textId="612E6234" w:rsidR="001814CE" w:rsidRPr="008D4A27" w:rsidRDefault="001814CE" w:rsidP="00826AF2">
            <w:pPr>
              <w:pStyle w:val="BodyText"/>
              <w:keepNext/>
              <w:tabs>
                <w:tab w:val="left" w:pos="720"/>
              </w:tabs>
              <w:spacing w:after="0" w:line="300" w:lineRule="auto"/>
              <w:rPr>
                <w:rFonts w:cs="Arial"/>
                <w:b/>
                <w:bCs/>
              </w:rPr>
            </w:pPr>
            <w:r>
              <w:rPr>
                <w:rFonts w:cs="Arial"/>
                <w:color w:val="000000"/>
              </w:rPr>
              <w:t>St. Annes</w:t>
            </w:r>
          </w:p>
        </w:tc>
        <w:tc>
          <w:tcPr>
            <w:tcW w:w="2738" w:type="dxa"/>
            <w:vAlign w:val="bottom"/>
          </w:tcPr>
          <w:p w14:paraId="2FC55866" w14:textId="5075635C" w:rsidR="001814CE" w:rsidRPr="001814CE" w:rsidRDefault="001814CE" w:rsidP="00826AF2">
            <w:pPr>
              <w:pStyle w:val="BodyText"/>
              <w:keepNext/>
              <w:tabs>
                <w:tab w:val="left" w:pos="720"/>
              </w:tabs>
              <w:spacing w:after="0" w:line="300" w:lineRule="auto"/>
              <w:jc w:val="center"/>
              <w:rPr>
                <w:rFonts w:cs="Arial"/>
              </w:rPr>
            </w:pPr>
            <w:r w:rsidRPr="00172F56">
              <w:rPr>
                <w:rFonts w:cs="Arial"/>
                <w:color w:val="000000"/>
              </w:rPr>
              <w:t>600</w:t>
            </w:r>
          </w:p>
        </w:tc>
        <w:tc>
          <w:tcPr>
            <w:tcW w:w="2718" w:type="dxa"/>
          </w:tcPr>
          <w:p w14:paraId="40DCFF05" w14:textId="77777777" w:rsidR="001814CE" w:rsidRPr="008D4A27" w:rsidRDefault="001814CE" w:rsidP="00826AF2">
            <w:pPr>
              <w:pStyle w:val="BodyText"/>
              <w:keepNext/>
              <w:tabs>
                <w:tab w:val="left" w:pos="720"/>
              </w:tabs>
              <w:spacing w:after="0" w:line="300" w:lineRule="auto"/>
              <w:jc w:val="center"/>
              <w:rPr>
                <w:rFonts w:cs="Arial"/>
              </w:rPr>
            </w:pPr>
            <w:r w:rsidRPr="00591E41">
              <w:rPr>
                <w:rFonts w:cs="Arial"/>
                <w:color w:val="000000"/>
              </w:rPr>
              <w:t>70.0%</w:t>
            </w:r>
          </w:p>
        </w:tc>
      </w:tr>
      <w:tr w:rsidR="001814CE" w:rsidRPr="008D4A27" w14:paraId="702137B3" w14:textId="77777777" w:rsidTr="00172F56">
        <w:trPr>
          <w:jc w:val="center"/>
        </w:trPr>
        <w:tc>
          <w:tcPr>
            <w:tcW w:w="2743" w:type="dxa"/>
          </w:tcPr>
          <w:p w14:paraId="4BD2DC59" w14:textId="77777777" w:rsidR="001814CE" w:rsidRPr="008D4A27" w:rsidRDefault="001814CE" w:rsidP="00826AF2">
            <w:pPr>
              <w:pStyle w:val="BodyText"/>
              <w:keepNext/>
              <w:tabs>
                <w:tab w:val="left" w:pos="720"/>
              </w:tabs>
              <w:spacing w:after="0" w:line="300" w:lineRule="auto"/>
              <w:rPr>
                <w:rFonts w:cs="Arial"/>
              </w:rPr>
            </w:pPr>
            <w:r w:rsidRPr="008D4A27">
              <w:rPr>
                <w:rFonts w:cs="Arial"/>
                <w:color w:val="000000"/>
              </w:rPr>
              <w:t>Lytham</w:t>
            </w:r>
          </w:p>
        </w:tc>
        <w:tc>
          <w:tcPr>
            <w:tcW w:w="2738" w:type="dxa"/>
            <w:vAlign w:val="bottom"/>
          </w:tcPr>
          <w:p w14:paraId="735C1EB7" w14:textId="4271A294" w:rsidR="001814CE" w:rsidRPr="001814CE" w:rsidRDefault="001814CE" w:rsidP="00826AF2">
            <w:pPr>
              <w:pStyle w:val="BodyText"/>
              <w:keepNext/>
              <w:tabs>
                <w:tab w:val="left" w:pos="720"/>
              </w:tabs>
              <w:spacing w:after="0" w:line="300" w:lineRule="auto"/>
              <w:jc w:val="center"/>
              <w:rPr>
                <w:rFonts w:cs="Arial"/>
              </w:rPr>
            </w:pPr>
            <w:r w:rsidRPr="00172F56">
              <w:rPr>
                <w:rFonts w:cs="Arial"/>
                <w:color w:val="000000"/>
              </w:rPr>
              <w:t>141</w:t>
            </w:r>
          </w:p>
        </w:tc>
        <w:tc>
          <w:tcPr>
            <w:tcW w:w="2718" w:type="dxa"/>
          </w:tcPr>
          <w:p w14:paraId="30135143" w14:textId="77777777" w:rsidR="001814CE" w:rsidRPr="008D4A27" w:rsidRDefault="001814CE" w:rsidP="00826AF2">
            <w:pPr>
              <w:pStyle w:val="BodyText"/>
              <w:keepNext/>
              <w:tabs>
                <w:tab w:val="left" w:pos="720"/>
              </w:tabs>
              <w:spacing w:after="0" w:line="300" w:lineRule="auto"/>
              <w:jc w:val="center"/>
              <w:rPr>
                <w:rFonts w:cs="Arial"/>
              </w:rPr>
            </w:pPr>
            <w:r w:rsidRPr="00591E41">
              <w:rPr>
                <w:rFonts w:cs="Arial"/>
                <w:color w:val="000000"/>
              </w:rPr>
              <w:t>16.5%</w:t>
            </w:r>
          </w:p>
        </w:tc>
      </w:tr>
      <w:tr w:rsidR="001814CE" w:rsidRPr="008D4A27" w14:paraId="2EDFE1BA" w14:textId="77777777" w:rsidTr="00172F56">
        <w:trPr>
          <w:jc w:val="center"/>
        </w:trPr>
        <w:tc>
          <w:tcPr>
            <w:tcW w:w="2743" w:type="dxa"/>
          </w:tcPr>
          <w:p w14:paraId="4562CF5B" w14:textId="77777777" w:rsidR="001814CE" w:rsidRPr="008D4A27" w:rsidRDefault="001814CE" w:rsidP="00826AF2">
            <w:pPr>
              <w:pStyle w:val="BodyText"/>
              <w:keepNext/>
              <w:tabs>
                <w:tab w:val="left" w:pos="720"/>
              </w:tabs>
              <w:spacing w:after="0" w:line="300" w:lineRule="auto"/>
              <w:rPr>
                <w:rFonts w:cs="Arial"/>
              </w:rPr>
            </w:pPr>
            <w:r w:rsidRPr="008D4A27">
              <w:rPr>
                <w:rFonts w:cs="Arial"/>
                <w:color w:val="000000"/>
              </w:rPr>
              <w:t>Warton</w:t>
            </w:r>
          </w:p>
        </w:tc>
        <w:tc>
          <w:tcPr>
            <w:tcW w:w="2738" w:type="dxa"/>
            <w:vAlign w:val="bottom"/>
          </w:tcPr>
          <w:p w14:paraId="7AB99D50" w14:textId="1C76DFA9" w:rsidR="001814CE" w:rsidRPr="001814CE" w:rsidRDefault="001814CE" w:rsidP="00826AF2">
            <w:pPr>
              <w:pStyle w:val="BodyText"/>
              <w:keepNext/>
              <w:tabs>
                <w:tab w:val="left" w:pos="720"/>
              </w:tabs>
              <w:spacing w:after="0" w:line="300" w:lineRule="auto"/>
              <w:jc w:val="center"/>
              <w:rPr>
                <w:rFonts w:cs="Arial"/>
              </w:rPr>
            </w:pPr>
            <w:r w:rsidRPr="00172F56">
              <w:rPr>
                <w:rFonts w:cs="Arial"/>
                <w:color w:val="000000"/>
              </w:rPr>
              <w:t>14</w:t>
            </w:r>
          </w:p>
        </w:tc>
        <w:tc>
          <w:tcPr>
            <w:tcW w:w="2718" w:type="dxa"/>
          </w:tcPr>
          <w:p w14:paraId="3DD4FC4D" w14:textId="77777777" w:rsidR="001814CE" w:rsidRPr="008D4A27" w:rsidRDefault="001814CE" w:rsidP="00826AF2">
            <w:pPr>
              <w:pStyle w:val="BodyText"/>
              <w:keepNext/>
              <w:tabs>
                <w:tab w:val="left" w:pos="720"/>
              </w:tabs>
              <w:spacing w:after="0" w:line="300" w:lineRule="auto"/>
              <w:jc w:val="center"/>
              <w:rPr>
                <w:rFonts w:cs="Arial"/>
              </w:rPr>
            </w:pPr>
            <w:r w:rsidRPr="00591E41">
              <w:rPr>
                <w:rFonts w:cs="Arial"/>
                <w:color w:val="000000"/>
              </w:rPr>
              <w:t>1.6%</w:t>
            </w:r>
          </w:p>
        </w:tc>
      </w:tr>
      <w:tr w:rsidR="001814CE" w:rsidRPr="008D4A27" w14:paraId="02859E25" w14:textId="77777777" w:rsidTr="00172F56">
        <w:trPr>
          <w:jc w:val="center"/>
        </w:trPr>
        <w:tc>
          <w:tcPr>
            <w:tcW w:w="2743" w:type="dxa"/>
          </w:tcPr>
          <w:p w14:paraId="5DE3688C" w14:textId="77777777" w:rsidR="001814CE" w:rsidRPr="008D4A27" w:rsidRDefault="001814CE" w:rsidP="00826AF2">
            <w:pPr>
              <w:pStyle w:val="BodyText"/>
              <w:keepNext/>
              <w:tabs>
                <w:tab w:val="left" w:pos="720"/>
              </w:tabs>
              <w:spacing w:after="0" w:line="300" w:lineRule="auto"/>
              <w:rPr>
                <w:rFonts w:cs="Arial"/>
              </w:rPr>
            </w:pPr>
            <w:r w:rsidRPr="008D4A27">
              <w:rPr>
                <w:rFonts w:cs="Arial"/>
                <w:color w:val="000000"/>
              </w:rPr>
              <w:t>FB Periphery</w:t>
            </w:r>
          </w:p>
        </w:tc>
        <w:tc>
          <w:tcPr>
            <w:tcW w:w="2738" w:type="dxa"/>
            <w:vAlign w:val="bottom"/>
          </w:tcPr>
          <w:p w14:paraId="782EA3BD" w14:textId="176F0C59" w:rsidR="001814CE" w:rsidRPr="001814CE" w:rsidRDefault="001814CE" w:rsidP="00826AF2">
            <w:pPr>
              <w:pStyle w:val="BodyText"/>
              <w:keepNext/>
              <w:tabs>
                <w:tab w:val="left" w:pos="720"/>
              </w:tabs>
              <w:spacing w:after="0" w:line="300" w:lineRule="auto"/>
              <w:jc w:val="center"/>
              <w:rPr>
                <w:rFonts w:cs="Arial"/>
              </w:rPr>
            </w:pPr>
            <w:r w:rsidRPr="00172F56">
              <w:rPr>
                <w:rFonts w:cs="Arial"/>
                <w:color w:val="000000"/>
              </w:rPr>
              <w:t>18</w:t>
            </w:r>
          </w:p>
        </w:tc>
        <w:tc>
          <w:tcPr>
            <w:tcW w:w="2718" w:type="dxa"/>
          </w:tcPr>
          <w:p w14:paraId="304C848B" w14:textId="77777777" w:rsidR="001814CE" w:rsidRPr="008D4A27" w:rsidRDefault="001814CE" w:rsidP="00826AF2">
            <w:pPr>
              <w:pStyle w:val="BodyText"/>
              <w:keepNext/>
              <w:tabs>
                <w:tab w:val="left" w:pos="720"/>
              </w:tabs>
              <w:spacing w:after="0" w:line="300" w:lineRule="auto"/>
              <w:jc w:val="center"/>
              <w:rPr>
                <w:rFonts w:cs="Arial"/>
              </w:rPr>
            </w:pPr>
            <w:r w:rsidRPr="00591E41">
              <w:rPr>
                <w:rFonts w:cs="Arial"/>
                <w:color w:val="000000"/>
              </w:rPr>
              <w:t>2.1%</w:t>
            </w:r>
          </w:p>
        </w:tc>
      </w:tr>
      <w:tr w:rsidR="001814CE" w:rsidRPr="008D4A27" w14:paraId="09C1CC8C" w14:textId="77777777" w:rsidTr="00172F56">
        <w:trPr>
          <w:jc w:val="center"/>
        </w:trPr>
        <w:tc>
          <w:tcPr>
            <w:tcW w:w="2743" w:type="dxa"/>
          </w:tcPr>
          <w:p w14:paraId="5B109628" w14:textId="77777777" w:rsidR="001814CE" w:rsidRPr="008D4A27" w:rsidRDefault="001814CE" w:rsidP="00826AF2">
            <w:pPr>
              <w:pStyle w:val="BodyText"/>
              <w:keepNext/>
              <w:tabs>
                <w:tab w:val="left" w:pos="720"/>
              </w:tabs>
              <w:spacing w:after="0" w:line="300" w:lineRule="auto"/>
              <w:rPr>
                <w:rFonts w:cs="Arial"/>
              </w:rPr>
            </w:pPr>
            <w:r w:rsidRPr="008D4A27">
              <w:rPr>
                <w:rFonts w:cs="Arial"/>
                <w:color w:val="000000"/>
              </w:rPr>
              <w:t>Kirkham</w:t>
            </w:r>
          </w:p>
        </w:tc>
        <w:tc>
          <w:tcPr>
            <w:tcW w:w="2738" w:type="dxa"/>
            <w:vAlign w:val="bottom"/>
          </w:tcPr>
          <w:p w14:paraId="265D5686" w14:textId="1A395D6B" w:rsidR="001814CE" w:rsidRPr="001814CE" w:rsidRDefault="001814CE" w:rsidP="00826AF2">
            <w:pPr>
              <w:pStyle w:val="BodyText"/>
              <w:keepNext/>
              <w:tabs>
                <w:tab w:val="left" w:pos="720"/>
              </w:tabs>
              <w:spacing w:after="0" w:line="300" w:lineRule="auto"/>
              <w:jc w:val="center"/>
              <w:rPr>
                <w:rFonts w:cs="Arial"/>
              </w:rPr>
            </w:pPr>
            <w:r w:rsidRPr="00172F56">
              <w:rPr>
                <w:rFonts w:cs="Arial"/>
                <w:color w:val="000000"/>
              </w:rPr>
              <w:t>61</w:t>
            </w:r>
          </w:p>
        </w:tc>
        <w:tc>
          <w:tcPr>
            <w:tcW w:w="2718" w:type="dxa"/>
          </w:tcPr>
          <w:p w14:paraId="65CD22ED" w14:textId="77777777" w:rsidR="001814CE" w:rsidRPr="008D4A27" w:rsidRDefault="001814CE" w:rsidP="00826AF2">
            <w:pPr>
              <w:pStyle w:val="BodyText"/>
              <w:keepNext/>
              <w:tabs>
                <w:tab w:val="left" w:pos="720"/>
              </w:tabs>
              <w:spacing w:after="0" w:line="300" w:lineRule="auto"/>
              <w:jc w:val="center"/>
              <w:rPr>
                <w:rFonts w:cs="Arial"/>
              </w:rPr>
            </w:pPr>
            <w:r w:rsidRPr="00591E41">
              <w:rPr>
                <w:rFonts w:cs="Arial"/>
                <w:color w:val="000000"/>
              </w:rPr>
              <w:t>7.1%</w:t>
            </w:r>
          </w:p>
        </w:tc>
      </w:tr>
      <w:tr w:rsidR="001814CE" w:rsidRPr="008D4A27" w14:paraId="1D44641D" w14:textId="77777777" w:rsidTr="00172F56">
        <w:trPr>
          <w:jc w:val="center"/>
        </w:trPr>
        <w:tc>
          <w:tcPr>
            <w:tcW w:w="2743" w:type="dxa"/>
          </w:tcPr>
          <w:p w14:paraId="6AD0C04B" w14:textId="77777777" w:rsidR="001814CE" w:rsidRPr="008D4A27" w:rsidRDefault="001814CE" w:rsidP="00826AF2">
            <w:pPr>
              <w:pStyle w:val="BodyText"/>
              <w:keepNext/>
              <w:tabs>
                <w:tab w:val="left" w:pos="720"/>
              </w:tabs>
              <w:spacing w:after="0" w:line="300" w:lineRule="auto"/>
              <w:rPr>
                <w:rFonts w:cs="Arial"/>
                <w:color w:val="000000"/>
              </w:rPr>
            </w:pPr>
            <w:r w:rsidRPr="008D4A27">
              <w:rPr>
                <w:rFonts w:cs="Arial"/>
                <w:color w:val="000000"/>
              </w:rPr>
              <w:t>Wesham</w:t>
            </w:r>
          </w:p>
        </w:tc>
        <w:tc>
          <w:tcPr>
            <w:tcW w:w="2738" w:type="dxa"/>
            <w:vAlign w:val="bottom"/>
          </w:tcPr>
          <w:p w14:paraId="656DE83E" w14:textId="25C1965C" w:rsidR="001814CE" w:rsidRPr="001814CE" w:rsidRDefault="001814CE" w:rsidP="00826AF2">
            <w:pPr>
              <w:pStyle w:val="BodyText"/>
              <w:keepNext/>
              <w:tabs>
                <w:tab w:val="left" w:pos="720"/>
              </w:tabs>
              <w:spacing w:after="0" w:line="300" w:lineRule="auto"/>
              <w:jc w:val="center"/>
              <w:rPr>
                <w:rFonts w:cs="Arial"/>
                <w:color w:val="000000"/>
              </w:rPr>
            </w:pPr>
            <w:r w:rsidRPr="00172F56">
              <w:rPr>
                <w:rFonts w:cs="Arial"/>
                <w:color w:val="000000"/>
              </w:rPr>
              <w:t>12</w:t>
            </w:r>
          </w:p>
        </w:tc>
        <w:tc>
          <w:tcPr>
            <w:tcW w:w="2718" w:type="dxa"/>
          </w:tcPr>
          <w:p w14:paraId="44737B0C" w14:textId="77777777" w:rsidR="001814CE" w:rsidRPr="008D4A27" w:rsidRDefault="001814CE" w:rsidP="00826AF2">
            <w:pPr>
              <w:pStyle w:val="BodyText"/>
              <w:keepNext/>
              <w:tabs>
                <w:tab w:val="left" w:pos="720"/>
              </w:tabs>
              <w:spacing w:after="0" w:line="300" w:lineRule="auto"/>
              <w:jc w:val="center"/>
              <w:rPr>
                <w:rFonts w:cs="Arial"/>
                <w:color w:val="000000"/>
              </w:rPr>
            </w:pPr>
            <w:r w:rsidRPr="00591E41">
              <w:rPr>
                <w:rFonts w:cs="Arial"/>
                <w:color w:val="000000"/>
              </w:rPr>
              <w:t>1.4%</w:t>
            </w:r>
          </w:p>
        </w:tc>
      </w:tr>
      <w:tr w:rsidR="001814CE" w:rsidRPr="008D4A27" w14:paraId="324CCCC4" w14:textId="77777777" w:rsidTr="00172F56">
        <w:trPr>
          <w:jc w:val="center"/>
        </w:trPr>
        <w:tc>
          <w:tcPr>
            <w:tcW w:w="2743" w:type="dxa"/>
          </w:tcPr>
          <w:p w14:paraId="63C15D76" w14:textId="77777777" w:rsidR="001814CE" w:rsidRPr="008D4A27" w:rsidRDefault="001814CE" w:rsidP="00826AF2">
            <w:pPr>
              <w:pStyle w:val="BodyText"/>
              <w:keepNext/>
              <w:tabs>
                <w:tab w:val="left" w:pos="720"/>
              </w:tabs>
              <w:spacing w:after="0" w:line="300" w:lineRule="auto"/>
              <w:rPr>
                <w:rFonts w:cs="Arial"/>
                <w:color w:val="000000"/>
              </w:rPr>
            </w:pPr>
            <w:r w:rsidRPr="008D4A27">
              <w:rPr>
                <w:rFonts w:cs="Arial"/>
                <w:color w:val="000000"/>
              </w:rPr>
              <w:t>Freckleton</w:t>
            </w:r>
          </w:p>
        </w:tc>
        <w:tc>
          <w:tcPr>
            <w:tcW w:w="2738" w:type="dxa"/>
            <w:vAlign w:val="bottom"/>
          </w:tcPr>
          <w:p w14:paraId="0C2B692A" w14:textId="0EB1FBA6" w:rsidR="001814CE" w:rsidRPr="001814CE" w:rsidRDefault="003551DF" w:rsidP="00826AF2">
            <w:pPr>
              <w:pStyle w:val="BodyText"/>
              <w:keepNext/>
              <w:tabs>
                <w:tab w:val="left" w:pos="720"/>
              </w:tabs>
              <w:spacing w:after="0" w:line="300" w:lineRule="auto"/>
              <w:jc w:val="center"/>
              <w:rPr>
                <w:rFonts w:cs="Arial"/>
                <w:color w:val="000000"/>
              </w:rPr>
            </w:pPr>
            <w:r>
              <w:rPr>
                <w:rFonts w:cs="Arial"/>
                <w:color w:val="000000"/>
              </w:rPr>
              <w:t>0</w:t>
            </w:r>
          </w:p>
        </w:tc>
        <w:tc>
          <w:tcPr>
            <w:tcW w:w="2718" w:type="dxa"/>
          </w:tcPr>
          <w:p w14:paraId="786E15F2" w14:textId="77777777" w:rsidR="001814CE" w:rsidRPr="008D4A27" w:rsidRDefault="001814CE" w:rsidP="00826AF2">
            <w:pPr>
              <w:pStyle w:val="BodyText"/>
              <w:keepNext/>
              <w:tabs>
                <w:tab w:val="left" w:pos="720"/>
              </w:tabs>
              <w:spacing w:after="0" w:line="300" w:lineRule="auto"/>
              <w:jc w:val="center"/>
              <w:rPr>
                <w:rFonts w:cs="Arial"/>
                <w:color w:val="000000"/>
              </w:rPr>
            </w:pPr>
            <w:r w:rsidRPr="00591E41">
              <w:rPr>
                <w:rFonts w:cs="Arial"/>
                <w:color w:val="000000"/>
              </w:rPr>
              <w:t>0.0%</w:t>
            </w:r>
          </w:p>
        </w:tc>
      </w:tr>
      <w:tr w:rsidR="001814CE" w:rsidRPr="008D4A27" w14:paraId="4071A3AC" w14:textId="77777777" w:rsidTr="00172F56">
        <w:trPr>
          <w:jc w:val="center"/>
        </w:trPr>
        <w:tc>
          <w:tcPr>
            <w:tcW w:w="2743" w:type="dxa"/>
          </w:tcPr>
          <w:p w14:paraId="47584BC0" w14:textId="77777777" w:rsidR="001814CE" w:rsidRPr="008D4A27" w:rsidRDefault="001814CE" w:rsidP="00826AF2">
            <w:pPr>
              <w:pStyle w:val="BodyText"/>
              <w:keepNext/>
              <w:tabs>
                <w:tab w:val="left" w:pos="720"/>
              </w:tabs>
              <w:spacing w:after="0" w:line="300" w:lineRule="auto"/>
              <w:rPr>
                <w:rFonts w:cs="Arial"/>
                <w:color w:val="000000"/>
              </w:rPr>
            </w:pPr>
            <w:r w:rsidRPr="008D4A27">
              <w:rPr>
                <w:rFonts w:cs="Arial"/>
                <w:color w:val="000000"/>
              </w:rPr>
              <w:t>Rural North</w:t>
            </w:r>
          </w:p>
        </w:tc>
        <w:tc>
          <w:tcPr>
            <w:tcW w:w="2738" w:type="dxa"/>
            <w:vAlign w:val="bottom"/>
          </w:tcPr>
          <w:p w14:paraId="215EE8B5" w14:textId="5D0FD9EF" w:rsidR="001814CE" w:rsidRPr="001814CE" w:rsidRDefault="001814CE" w:rsidP="00826AF2">
            <w:pPr>
              <w:pStyle w:val="BodyText"/>
              <w:keepNext/>
              <w:tabs>
                <w:tab w:val="left" w:pos="720"/>
              </w:tabs>
              <w:spacing w:after="0" w:line="300" w:lineRule="auto"/>
              <w:jc w:val="center"/>
              <w:rPr>
                <w:rFonts w:cs="Arial"/>
                <w:color w:val="000000"/>
              </w:rPr>
            </w:pPr>
            <w:r w:rsidRPr="00172F56">
              <w:rPr>
                <w:rFonts w:cs="Arial"/>
                <w:color w:val="000000"/>
              </w:rPr>
              <w:t>11</w:t>
            </w:r>
          </w:p>
        </w:tc>
        <w:tc>
          <w:tcPr>
            <w:tcW w:w="2718" w:type="dxa"/>
          </w:tcPr>
          <w:p w14:paraId="51122711" w14:textId="77777777" w:rsidR="001814CE" w:rsidRPr="008D4A27" w:rsidRDefault="001814CE" w:rsidP="00826AF2">
            <w:pPr>
              <w:pStyle w:val="BodyText"/>
              <w:keepNext/>
              <w:tabs>
                <w:tab w:val="left" w:pos="720"/>
              </w:tabs>
              <w:spacing w:after="0" w:line="300" w:lineRule="auto"/>
              <w:jc w:val="center"/>
              <w:rPr>
                <w:rFonts w:cs="Arial"/>
                <w:color w:val="000000"/>
              </w:rPr>
            </w:pPr>
            <w:r w:rsidRPr="00591E41">
              <w:rPr>
                <w:rFonts w:cs="Arial"/>
                <w:color w:val="000000"/>
              </w:rPr>
              <w:t>1.3%</w:t>
            </w:r>
          </w:p>
        </w:tc>
      </w:tr>
      <w:tr w:rsidR="001814CE" w:rsidRPr="008D4A27" w14:paraId="6355C9D7" w14:textId="77777777" w:rsidTr="00172F56">
        <w:trPr>
          <w:jc w:val="center"/>
        </w:trPr>
        <w:tc>
          <w:tcPr>
            <w:tcW w:w="2743" w:type="dxa"/>
          </w:tcPr>
          <w:p w14:paraId="62A0D7EC" w14:textId="77777777" w:rsidR="001814CE" w:rsidRPr="008D4A27" w:rsidRDefault="001814CE" w:rsidP="00826AF2">
            <w:pPr>
              <w:pStyle w:val="BodyText"/>
              <w:keepNext/>
              <w:tabs>
                <w:tab w:val="left" w:pos="720"/>
              </w:tabs>
              <w:spacing w:after="0" w:line="300" w:lineRule="auto"/>
              <w:rPr>
                <w:rFonts w:cs="Arial"/>
                <w:color w:val="000000"/>
              </w:rPr>
            </w:pPr>
            <w:r w:rsidRPr="008D4A27">
              <w:rPr>
                <w:rFonts w:cs="Arial"/>
                <w:color w:val="000000"/>
              </w:rPr>
              <w:t>Rural West</w:t>
            </w:r>
          </w:p>
        </w:tc>
        <w:tc>
          <w:tcPr>
            <w:tcW w:w="2738" w:type="dxa"/>
            <w:vAlign w:val="bottom"/>
          </w:tcPr>
          <w:p w14:paraId="4F885BCA" w14:textId="44287C5E" w:rsidR="001814CE" w:rsidRPr="001814CE" w:rsidRDefault="003551DF" w:rsidP="00826AF2">
            <w:pPr>
              <w:pStyle w:val="BodyText"/>
              <w:keepNext/>
              <w:tabs>
                <w:tab w:val="left" w:pos="720"/>
              </w:tabs>
              <w:spacing w:after="0" w:line="300" w:lineRule="auto"/>
              <w:jc w:val="center"/>
              <w:rPr>
                <w:rFonts w:cs="Arial"/>
                <w:color w:val="000000"/>
              </w:rPr>
            </w:pPr>
            <w:r>
              <w:rPr>
                <w:rFonts w:cs="Arial"/>
                <w:color w:val="000000"/>
              </w:rPr>
              <w:t>0</w:t>
            </w:r>
          </w:p>
        </w:tc>
        <w:tc>
          <w:tcPr>
            <w:tcW w:w="2718" w:type="dxa"/>
          </w:tcPr>
          <w:p w14:paraId="3D36332B" w14:textId="77777777" w:rsidR="001814CE" w:rsidRPr="008D4A27" w:rsidRDefault="001814CE" w:rsidP="00826AF2">
            <w:pPr>
              <w:pStyle w:val="BodyText"/>
              <w:keepNext/>
              <w:tabs>
                <w:tab w:val="left" w:pos="720"/>
              </w:tabs>
              <w:spacing w:after="0" w:line="300" w:lineRule="auto"/>
              <w:jc w:val="center"/>
              <w:rPr>
                <w:rFonts w:cs="Arial"/>
                <w:color w:val="000000"/>
              </w:rPr>
            </w:pPr>
            <w:r w:rsidRPr="00591E41">
              <w:rPr>
                <w:rFonts w:cs="Arial"/>
                <w:color w:val="000000"/>
              </w:rPr>
              <w:t>0.0%</w:t>
            </w:r>
          </w:p>
        </w:tc>
      </w:tr>
      <w:tr w:rsidR="001814CE" w:rsidRPr="008D4A27" w14:paraId="60979B6A" w14:textId="77777777" w:rsidTr="00172F56">
        <w:trPr>
          <w:jc w:val="center"/>
        </w:trPr>
        <w:tc>
          <w:tcPr>
            <w:tcW w:w="2743" w:type="dxa"/>
          </w:tcPr>
          <w:p w14:paraId="6D2D3969" w14:textId="77777777" w:rsidR="001814CE" w:rsidRPr="008D4A27" w:rsidRDefault="001814CE" w:rsidP="00826AF2">
            <w:pPr>
              <w:pStyle w:val="BodyText"/>
              <w:keepNext/>
              <w:tabs>
                <w:tab w:val="left" w:pos="720"/>
              </w:tabs>
              <w:spacing w:after="0" w:line="300" w:lineRule="auto"/>
              <w:rPr>
                <w:rFonts w:cs="Arial"/>
                <w:color w:val="000000"/>
              </w:rPr>
            </w:pPr>
            <w:r w:rsidRPr="008D4A27">
              <w:rPr>
                <w:rFonts w:cs="Arial"/>
                <w:color w:val="000000"/>
              </w:rPr>
              <w:t>Rural East</w:t>
            </w:r>
          </w:p>
        </w:tc>
        <w:tc>
          <w:tcPr>
            <w:tcW w:w="2738" w:type="dxa"/>
            <w:vAlign w:val="bottom"/>
          </w:tcPr>
          <w:p w14:paraId="7B005818" w14:textId="6037F41E" w:rsidR="001814CE" w:rsidRPr="001814CE" w:rsidRDefault="003551DF" w:rsidP="00826AF2">
            <w:pPr>
              <w:pStyle w:val="BodyText"/>
              <w:keepNext/>
              <w:tabs>
                <w:tab w:val="left" w:pos="720"/>
              </w:tabs>
              <w:spacing w:after="0" w:line="300" w:lineRule="auto"/>
              <w:jc w:val="center"/>
              <w:rPr>
                <w:rFonts w:cs="Arial"/>
                <w:color w:val="000000"/>
              </w:rPr>
            </w:pPr>
            <w:r>
              <w:rPr>
                <w:rFonts w:cs="Arial"/>
                <w:color w:val="000000"/>
              </w:rPr>
              <w:t>0</w:t>
            </w:r>
          </w:p>
        </w:tc>
        <w:tc>
          <w:tcPr>
            <w:tcW w:w="2718" w:type="dxa"/>
          </w:tcPr>
          <w:p w14:paraId="574080BC" w14:textId="77777777" w:rsidR="001814CE" w:rsidRPr="008D4A27" w:rsidRDefault="001814CE" w:rsidP="00826AF2">
            <w:pPr>
              <w:pStyle w:val="BodyText"/>
              <w:keepNext/>
              <w:tabs>
                <w:tab w:val="left" w:pos="720"/>
              </w:tabs>
              <w:spacing w:after="0" w:line="300" w:lineRule="auto"/>
              <w:jc w:val="center"/>
              <w:rPr>
                <w:rFonts w:cs="Arial"/>
                <w:color w:val="000000"/>
              </w:rPr>
            </w:pPr>
            <w:r w:rsidRPr="00591E41">
              <w:rPr>
                <w:rFonts w:cs="Arial"/>
                <w:color w:val="000000"/>
              </w:rPr>
              <w:t>0.0%</w:t>
            </w:r>
          </w:p>
        </w:tc>
      </w:tr>
      <w:tr w:rsidR="001814CE" w:rsidRPr="008D4A27" w14:paraId="6B4FD311" w14:textId="77777777" w:rsidTr="00172F56">
        <w:trPr>
          <w:jc w:val="center"/>
        </w:trPr>
        <w:tc>
          <w:tcPr>
            <w:tcW w:w="2743" w:type="dxa"/>
          </w:tcPr>
          <w:p w14:paraId="333219A9" w14:textId="77777777" w:rsidR="001814CE" w:rsidRPr="008D4A27" w:rsidRDefault="001814CE" w:rsidP="00826AF2">
            <w:pPr>
              <w:pStyle w:val="BodyText"/>
              <w:keepNext/>
              <w:tabs>
                <w:tab w:val="left" w:pos="720"/>
              </w:tabs>
              <w:spacing w:after="0" w:line="300" w:lineRule="auto"/>
              <w:rPr>
                <w:rFonts w:cs="Arial"/>
                <w:color w:val="000000"/>
              </w:rPr>
            </w:pPr>
            <w:r w:rsidRPr="008D4A27">
              <w:rPr>
                <w:rFonts w:cs="Arial"/>
                <w:color w:val="000000"/>
              </w:rPr>
              <w:t>TOTAL</w:t>
            </w:r>
          </w:p>
        </w:tc>
        <w:tc>
          <w:tcPr>
            <w:tcW w:w="2738" w:type="dxa"/>
            <w:vAlign w:val="bottom"/>
          </w:tcPr>
          <w:p w14:paraId="240F2E4E" w14:textId="5D9D1829" w:rsidR="001814CE" w:rsidRPr="001814CE" w:rsidRDefault="001814CE" w:rsidP="00826AF2">
            <w:pPr>
              <w:pStyle w:val="BodyText"/>
              <w:keepNext/>
              <w:tabs>
                <w:tab w:val="left" w:pos="720"/>
              </w:tabs>
              <w:spacing w:after="0" w:line="300" w:lineRule="auto"/>
              <w:jc w:val="center"/>
              <w:rPr>
                <w:rFonts w:cs="Arial"/>
                <w:color w:val="000000"/>
              </w:rPr>
            </w:pPr>
            <w:r w:rsidRPr="00172F56">
              <w:rPr>
                <w:rFonts w:cs="Arial"/>
                <w:color w:val="000000"/>
              </w:rPr>
              <w:t>857</w:t>
            </w:r>
          </w:p>
        </w:tc>
        <w:tc>
          <w:tcPr>
            <w:tcW w:w="2718" w:type="dxa"/>
          </w:tcPr>
          <w:p w14:paraId="75702BDE" w14:textId="77777777" w:rsidR="001814CE" w:rsidRPr="008D4A27" w:rsidRDefault="001814CE" w:rsidP="00826AF2">
            <w:pPr>
              <w:pStyle w:val="BodyText"/>
              <w:keepNext/>
              <w:tabs>
                <w:tab w:val="left" w:pos="720"/>
              </w:tabs>
              <w:spacing w:after="0" w:line="300" w:lineRule="auto"/>
              <w:jc w:val="center"/>
              <w:rPr>
                <w:rFonts w:cs="Arial"/>
                <w:color w:val="000000"/>
              </w:rPr>
            </w:pPr>
            <w:r w:rsidRPr="00591E41">
              <w:rPr>
                <w:rFonts w:cs="Arial"/>
                <w:color w:val="000000"/>
              </w:rPr>
              <w:t>100.0%</w:t>
            </w:r>
          </w:p>
        </w:tc>
      </w:tr>
    </w:tbl>
    <w:p w14:paraId="706110E9" w14:textId="4259582A" w:rsidR="0007167E" w:rsidRDefault="0007167E" w:rsidP="00826AF2">
      <w:pPr>
        <w:spacing w:line="300" w:lineRule="auto"/>
        <w:jc w:val="center"/>
        <w:rPr>
          <w:rFonts w:ascii="Arial" w:hAnsi="Arial" w:cs="Arial"/>
          <w:sz w:val="20"/>
          <w:szCs w:val="20"/>
        </w:rPr>
      </w:pPr>
      <w:r w:rsidRPr="008D4A27">
        <w:rPr>
          <w:rFonts w:ascii="Arial" w:hAnsi="Arial" w:cs="Arial"/>
          <w:sz w:val="20"/>
          <w:szCs w:val="20"/>
        </w:rPr>
        <w:t>Source: Derived from a range of sources as described in text</w:t>
      </w:r>
    </w:p>
    <w:p w14:paraId="78980AA9" w14:textId="19737281" w:rsidR="00DA7C15" w:rsidRDefault="00DA7C15" w:rsidP="00172F56">
      <w:pPr>
        <w:spacing w:line="300" w:lineRule="auto"/>
        <w:jc w:val="both"/>
        <w:rPr>
          <w:rFonts w:ascii="Arial" w:hAnsi="Arial" w:cs="Arial"/>
          <w:sz w:val="20"/>
          <w:szCs w:val="20"/>
        </w:rPr>
      </w:pPr>
    </w:p>
    <w:p w14:paraId="11C9C7A3" w14:textId="4E6640BF" w:rsidR="00DA7C15" w:rsidRPr="00657095" w:rsidRDefault="00EF0970" w:rsidP="00172F56">
      <w:pPr>
        <w:pStyle w:val="11Bodytext"/>
        <w:numPr>
          <w:ilvl w:val="0"/>
          <w:numId w:val="0"/>
        </w:numPr>
        <w:spacing w:before="0" w:after="0" w:line="300" w:lineRule="auto"/>
        <w:rPr>
          <w:b/>
          <w:bCs w:val="0"/>
        </w:rPr>
      </w:pPr>
      <w:r>
        <w:rPr>
          <w:b/>
          <w:bCs w:val="0"/>
        </w:rPr>
        <w:t>Supply of Housing Through Relets/Resales</w:t>
      </w:r>
    </w:p>
    <w:p w14:paraId="04FC8445" w14:textId="77777777" w:rsidR="00DA7C15" w:rsidRPr="00657095" w:rsidRDefault="00DA7C15" w:rsidP="00172F56">
      <w:pPr>
        <w:pStyle w:val="11Bodytext"/>
        <w:numPr>
          <w:ilvl w:val="0"/>
          <w:numId w:val="0"/>
        </w:numPr>
        <w:spacing w:before="0" w:after="0" w:line="300" w:lineRule="auto"/>
        <w:rPr>
          <w:color w:val="auto"/>
        </w:rPr>
      </w:pPr>
    </w:p>
    <w:p w14:paraId="68F01B46" w14:textId="2EF22356" w:rsidR="0007167E" w:rsidRPr="00EF0970" w:rsidRDefault="0007167E">
      <w:pPr>
        <w:pStyle w:val="11Bodytext"/>
        <w:numPr>
          <w:ilvl w:val="1"/>
          <w:numId w:val="76"/>
        </w:numPr>
        <w:spacing w:before="0" w:after="0" w:line="300" w:lineRule="auto"/>
        <w:ind w:left="720" w:hanging="720"/>
        <w:rPr>
          <w:color w:val="auto"/>
        </w:rPr>
      </w:pPr>
      <w:r>
        <w:t>The future supply of affordable housing through relets is the flow of affordable housing arising from the existing stock that is available to meet future need. This focusses on the annual supply of social/affordable rent relets.</w:t>
      </w:r>
    </w:p>
    <w:p w14:paraId="1A425FDA" w14:textId="77777777" w:rsidR="00EF0970" w:rsidRPr="00EF0970" w:rsidRDefault="00EF0970" w:rsidP="00172F56">
      <w:pPr>
        <w:pStyle w:val="11Bodytext"/>
        <w:numPr>
          <w:ilvl w:val="0"/>
          <w:numId w:val="0"/>
        </w:numPr>
        <w:spacing w:before="0" w:after="0" w:line="300" w:lineRule="auto"/>
        <w:rPr>
          <w:color w:val="auto"/>
        </w:rPr>
      </w:pPr>
    </w:p>
    <w:p w14:paraId="5E5330FB" w14:textId="6EB4C0FF" w:rsidR="0007167E" w:rsidRPr="00EF0970" w:rsidRDefault="0007167E">
      <w:pPr>
        <w:pStyle w:val="11Bodytext"/>
        <w:numPr>
          <w:ilvl w:val="1"/>
          <w:numId w:val="76"/>
        </w:numPr>
        <w:spacing w:before="0" w:after="0" w:line="300" w:lineRule="auto"/>
        <w:ind w:left="720" w:hanging="720"/>
        <w:rPr>
          <w:color w:val="auto"/>
        </w:rPr>
      </w:pPr>
      <w:r>
        <w:t>The Practice Guidance suggests that the estimate of likely future relets from the social rented stock should be based on past trend data which can be taken as a prediction for the future. Information from CoRe</w:t>
      </w:r>
      <w:r w:rsidR="001814CE">
        <w:rPr>
          <w:rStyle w:val="FootnoteReference"/>
        </w:rPr>
        <w:footnoteReference w:id="10"/>
      </w:r>
      <w:r>
        <w:t xml:space="preserve"> has been used to establish past patterns of social housing turnover. The figures are for general needs lettings but exclude lettings of new properties and also exclude an estimate of the number of transfers from other social rented homes. These exclusions are made to ensure that the figures presented reflect relets from the existing stock.</w:t>
      </w:r>
    </w:p>
    <w:p w14:paraId="6F57D689" w14:textId="77777777" w:rsidR="00EF0970" w:rsidRPr="00EF0970" w:rsidRDefault="00EF0970" w:rsidP="00172F56">
      <w:pPr>
        <w:pStyle w:val="11Bodytext"/>
        <w:numPr>
          <w:ilvl w:val="0"/>
          <w:numId w:val="0"/>
        </w:numPr>
        <w:spacing w:before="0" w:after="0" w:line="300" w:lineRule="auto"/>
        <w:rPr>
          <w:color w:val="auto"/>
        </w:rPr>
      </w:pPr>
    </w:p>
    <w:p w14:paraId="388B043F" w14:textId="0456B883" w:rsidR="0007167E" w:rsidRPr="00EF0970" w:rsidRDefault="0007167E">
      <w:pPr>
        <w:pStyle w:val="11Bodytext"/>
        <w:numPr>
          <w:ilvl w:val="1"/>
          <w:numId w:val="76"/>
        </w:numPr>
        <w:spacing w:before="0" w:after="0" w:line="300" w:lineRule="auto"/>
        <w:ind w:left="720" w:hanging="720"/>
        <w:rPr>
          <w:color w:val="auto"/>
        </w:rPr>
      </w:pPr>
      <w:r>
        <w:t xml:space="preserve">On the basis of past trend data is has been estimated that </w:t>
      </w:r>
      <w:r w:rsidR="00AB635F">
        <w:t>125</w:t>
      </w:r>
      <w:r>
        <w:t xml:space="preserve"> units of social/affordable rented housing are likely to become available each year moving forward for occupation by newly forming households and existing households falling into need from other tenures.</w:t>
      </w:r>
    </w:p>
    <w:p w14:paraId="075E9A77" w14:textId="77777777" w:rsidR="00EF0970" w:rsidRPr="00EF0970" w:rsidRDefault="00EF0970" w:rsidP="00172F56">
      <w:pPr>
        <w:pStyle w:val="11Bodytext"/>
        <w:numPr>
          <w:ilvl w:val="0"/>
          <w:numId w:val="0"/>
        </w:numPr>
        <w:spacing w:before="0" w:after="0" w:line="300" w:lineRule="auto"/>
        <w:rPr>
          <w:color w:val="auto"/>
        </w:rPr>
      </w:pPr>
    </w:p>
    <w:tbl>
      <w:tblPr>
        <w:tblStyle w:val="TableTheme"/>
        <w:tblW w:w="8199" w:type="dxa"/>
        <w:jc w:val="center"/>
        <w:tblLayout w:type="fixed"/>
        <w:tblLook w:val="04A0" w:firstRow="1" w:lastRow="0" w:firstColumn="1" w:lastColumn="0" w:noHBand="0" w:noVBand="1"/>
      </w:tblPr>
      <w:tblGrid>
        <w:gridCol w:w="1366"/>
        <w:gridCol w:w="1367"/>
        <w:gridCol w:w="1366"/>
        <w:gridCol w:w="1367"/>
        <w:gridCol w:w="1366"/>
        <w:gridCol w:w="1367"/>
      </w:tblGrid>
      <w:tr w:rsidR="00EF0970" w:rsidRPr="00EF0970" w14:paraId="08829FFB" w14:textId="77777777" w:rsidTr="00172F56">
        <w:trPr>
          <w:jc w:val="center"/>
        </w:trPr>
        <w:tc>
          <w:tcPr>
            <w:tcW w:w="8199" w:type="dxa"/>
            <w:gridSpan w:val="6"/>
          </w:tcPr>
          <w:p w14:paraId="1ED2653D" w14:textId="42A94F70" w:rsidR="00EF0970" w:rsidRPr="00EF0970" w:rsidRDefault="00EF0970" w:rsidP="00826AF2">
            <w:pPr>
              <w:pStyle w:val="BodyText"/>
              <w:keepNext/>
              <w:spacing w:after="0" w:line="300" w:lineRule="auto"/>
              <w:jc w:val="center"/>
              <w:rPr>
                <w:rFonts w:cs="Arial"/>
                <w:b/>
                <w:bCs/>
              </w:rPr>
            </w:pPr>
            <w:r w:rsidRPr="00EF0970">
              <w:rPr>
                <w:rFonts w:cs="Arial"/>
                <w:b/>
                <w:bCs/>
              </w:rPr>
              <w:t>Figure 3.</w:t>
            </w:r>
            <w:r w:rsidR="00DF6242">
              <w:rPr>
                <w:rFonts w:cs="Arial"/>
                <w:b/>
                <w:bCs/>
              </w:rPr>
              <w:t>9</w:t>
            </w:r>
            <w:r w:rsidRPr="00EF0970">
              <w:rPr>
                <w:rFonts w:cs="Arial"/>
                <w:b/>
                <w:bCs/>
              </w:rPr>
              <w:t xml:space="preserve">: Analysis of Past Social/Affordable Rented Housing Supply, </w:t>
            </w:r>
            <w:r w:rsidR="00826AF2" w:rsidRPr="00EF0970">
              <w:rPr>
                <w:rFonts w:cs="Arial"/>
                <w:b/>
                <w:bCs/>
              </w:rPr>
              <w:t>201</w:t>
            </w:r>
            <w:r w:rsidR="00826AF2">
              <w:rPr>
                <w:rFonts w:cs="Arial"/>
                <w:b/>
                <w:bCs/>
              </w:rPr>
              <w:t>8</w:t>
            </w:r>
            <w:r w:rsidRPr="00EF0970">
              <w:rPr>
                <w:rFonts w:cs="Arial"/>
                <w:b/>
                <w:bCs/>
              </w:rPr>
              <w:t>/1</w:t>
            </w:r>
            <w:r w:rsidR="00826AF2">
              <w:rPr>
                <w:rFonts w:cs="Arial"/>
                <w:b/>
                <w:bCs/>
              </w:rPr>
              <w:t>9</w:t>
            </w:r>
            <w:r w:rsidRPr="00EF0970">
              <w:rPr>
                <w:rFonts w:cs="Arial"/>
                <w:b/>
                <w:bCs/>
              </w:rPr>
              <w:t xml:space="preserve"> – 20</w:t>
            </w:r>
            <w:r w:rsidR="00826AF2">
              <w:rPr>
                <w:rFonts w:cs="Arial"/>
                <w:b/>
                <w:bCs/>
              </w:rPr>
              <w:t>20</w:t>
            </w:r>
            <w:r w:rsidRPr="00EF0970">
              <w:rPr>
                <w:rFonts w:cs="Arial"/>
                <w:b/>
                <w:bCs/>
              </w:rPr>
              <w:t>/2</w:t>
            </w:r>
            <w:r w:rsidR="00826AF2">
              <w:rPr>
                <w:rFonts w:cs="Arial"/>
                <w:b/>
                <w:bCs/>
              </w:rPr>
              <w:t>1</w:t>
            </w:r>
            <w:r w:rsidRPr="00EF0970">
              <w:rPr>
                <w:rFonts w:cs="Arial"/>
                <w:b/>
                <w:bCs/>
              </w:rPr>
              <w:t xml:space="preserve"> (average per annum) – Fylde</w:t>
            </w:r>
          </w:p>
        </w:tc>
      </w:tr>
      <w:tr w:rsidR="0007167E" w:rsidRPr="008D4A27" w14:paraId="58EF345A" w14:textId="77777777" w:rsidTr="00172F56">
        <w:trPr>
          <w:jc w:val="center"/>
        </w:trPr>
        <w:tc>
          <w:tcPr>
            <w:tcW w:w="1366" w:type="dxa"/>
          </w:tcPr>
          <w:p w14:paraId="4232AFF2" w14:textId="4A2B27FD" w:rsidR="0007167E" w:rsidRPr="008D4A27" w:rsidRDefault="00877668" w:rsidP="00826AF2">
            <w:pPr>
              <w:keepNext/>
              <w:spacing w:line="300" w:lineRule="auto"/>
              <w:rPr>
                <w:rFonts w:ascii="Arial" w:hAnsi="Arial" w:cs="Arial"/>
                <w:sz w:val="20"/>
                <w:szCs w:val="20"/>
              </w:rPr>
            </w:pPr>
            <w:r>
              <w:rPr>
                <w:rFonts w:ascii="Arial" w:hAnsi="Arial" w:cs="Arial"/>
                <w:sz w:val="20"/>
                <w:szCs w:val="20"/>
              </w:rPr>
              <w:t>Year</w:t>
            </w:r>
          </w:p>
        </w:tc>
        <w:tc>
          <w:tcPr>
            <w:tcW w:w="1367" w:type="dxa"/>
          </w:tcPr>
          <w:p w14:paraId="2D949DCC" w14:textId="77777777" w:rsidR="0007167E" w:rsidRPr="001814CE" w:rsidRDefault="0007167E" w:rsidP="00826AF2">
            <w:pPr>
              <w:pStyle w:val="BodyText"/>
              <w:keepNext/>
              <w:spacing w:after="0" w:line="300" w:lineRule="auto"/>
              <w:jc w:val="center"/>
              <w:rPr>
                <w:rFonts w:cs="Arial"/>
              </w:rPr>
            </w:pPr>
            <w:r w:rsidRPr="001814CE">
              <w:rPr>
                <w:rFonts w:cs="Arial"/>
              </w:rPr>
              <w:t>Total Lettings</w:t>
            </w:r>
          </w:p>
        </w:tc>
        <w:tc>
          <w:tcPr>
            <w:tcW w:w="1366" w:type="dxa"/>
          </w:tcPr>
          <w:p w14:paraId="39766E81" w14:textId="77777777" w:rsidR="0007167E" w:rsidRPr="001814CE" w:rsidRDefault="0007167E" w:rsidP="00826AF2">
            <w:pPr>
              <w:pStyle w:val="BodyText"/>
              <w:keepNext/>
              <w:spacing w:after="0" w:line="300" w:lineRule="auto"/>
              <w:jc w:val="center"/>
              <w:rPr>
                <w:rFonts w:cs="Arial"/>
              </w:rPr>
            </w:pPr>
            <w:r w:rsidRPr="001814CE">
              <w:rPr>
                <w:rFonts w:cs="Arial"/>
              </w:rPr>
              <w:t>% as Non-New Build</w:t>
            </w:r>
          </w:p>
        </w:tc>
        <w:tc>
          <w:tcPr>
            <w:tcW w:w="1367" w:type="dxa"/>
          </w:tcPr>
          <w:p w14:paraId="0F7A2B13" w14:textId="77777777" w:rsidR="0007167E" w:rsidRPr="001814CE" w:rsidRDefault="0007167E" w:rsidP="00826AF2">
            <w:pPr>
              <w:pStyle w:val="BodyText"/>
              <w:keepNext/>
              <w:spacing w:after="0" w:line="300" w:lineRule="auto"/>
              <w:jc w:val="center"/>
              <w:rPr>
                <w:rFonts w:cs="Arial"/>
              </w:rPr>
            </w:pPr>
            <w:r w:rsidRPr="001814CE">
              <w:rPr>
                <w:rFonts w:cs="Arial"/>
              </w:rPr>
              <w:t>Lettings in Existing Stock</w:t>
            </w:r>
          </w:p>
        </w:tc>
        <w:tc>
          <w:tcPr>
            <w:tcW w:w="1366" w:type="dxa"/>
          </w:tcPr>
          <w:p w14:paraId="5CD33411" w14:textId="77777777" w:rsidR="0007167E" w:rsidRPr="001814CE" w:rsidRDefault="0007167E" w:rsidP="00826AF2">
            <w:pPr>
              <w:pStyle w:val="BodyText"/>
              <w:keepNext/>
              <w:spacing w:after="0" w:line="300" w:lineRule="auto"/>
              <w:jc w:val="center"/>
              <w:rPr>
                <w:rFonts w:cs="Arial"/>
              </w:rPr>
            </w:pPr>
            <w:r w:rsidRPr="001814CE">
              <w:rPr>
                <w:rFonts w:cs="Arial"/>
              </w:rPr>
              <w:t>% Non-Transfers</w:t>
            </w:r>
          </w:p>
        </w:tc>
        <w:tc>
          <w:tcPr>
            <w:tcW w:w="1367" w:type="dxa"/>
          </w:tcPr>
          <w:p w14:paraId="2D816AE9" w14:textId="4CA206BE" w:rsidR="0007167E" w:rsidRPr="001814CE" w:rsidRDefault="0007167E" w:rsidP="00826AF2">
            <w:pPr>
              <w:pStyle w:val="BodyText"/>
              <w:keepNext/>
              <w:spacing w:after="0" w:line="300" w:lineRule="auto"/>
              <w:jc w:val="center"/>
              <w:rPr>
                <w:rFonts w:cs="Arial"/>
              </w:rPr>
            </w:pPr>
            <w:r w:rsidRPr="001814CE">
              <w:rPr>
                <w:rFonts w:cs="Arial"/>
              </w:rPr>
              <w:t>Lettings to New Tenants</w:t>
            </w:r>
          </w:p>
        </w:tc>
      </w:tr>
      <w:tr w:rsidR="00AB635F" w:rsidRPr="008D4A27" w14:paraId="1C73BD20" w14:textId="77777777" w:rsidTr="00172F56">
        <w:trPr>
          <w:jc w:val="center"/>
        </w:trPr>
        <w:tc>
          <w:tcPr>
            <w:tcW w:w="1366" w:type="dxa"/>
          </w:tcPr>
          <w:p w14:paraId="05AFC03F" w14:textId="74594D22" w:rsidR="00AB635F" w:rsidRPr="008D4A27" w:rsidRDefault="00AB635F" w:rsidP="00AB635F">
            <w:pPr>
              <w:pStyle w:val="BodyText"/>
              <w:keepNext/>
              <w:spacing w:after="0" w:line="300" w:lineRule="auto"/>
              <w:rPr>
                <w:rFonts w:cs="Arial"/>
                <w:bCs/>
              </w:rPr>
            </w:pPr>
            <w:r w:rsidRPr="008D4A27">
              <w:rPr>
                <w:rFonts w:cs="Arial"/>
                <w:bCs/>
              </w:rPr>
              <w:t>2018/19</w:t>
            </w:r>
          </w:p>
        </w:tc>
        <w:tc>
          <w:tcPr>
            <w:tcW w:w="1367" w:type="dxa"/>
            <w:vAlign w:val="bottom"/>
          </w:tcPr>
          <w:p w14:paraId="426ED454" w14:textId="4E064DBA" w:rsidR="00AB635F" w:rsidRPr="00AB635F" w:rsidRDefault="00AB635F" w:rsidP="00AB635F">
            <w:pPr>
              <w:pStyle w:val="BodyText"/>
              <w:keepNext/>
              <w:spacing w:after="0" w:line="300" w:lineRule="auto"/>
              <w:jc w:val="center"/>
              <w:rPr>
                <w:rFonts w:cs="Arial"/>
                <w:color w:val="000000"/>
              </w:rPr>
            </w:pPr>
            <w:r w:rsidRPr="00AB635F">
              <w:rPr>
                <w:rFonts w:cs="Arial"/>
                <w:color w:val="000000"/>
              </w:rPr>
              <w:t>327</w:t>
            </w:r>
          </w:p>
        </w:tc>
        <w:tc>
          <w:tcPr>
            <w:tcW w:w="1366" w:type="dxa"/>
            <w:vAlign w:val="bottom"/>
          </w:tcPr>
          <w:p w14:paraId="30D47122" w14:textId="61DB6FCC" w:rsidR="00AB635F" w:rsidRPr="00AB635F" w:rsidRDefault="00AB635F" w:rsidP="00AB635F">
            <w:pPr>
              <w:pStyle w:val="BodyText"/>
              <w:keepNext/>
              <w:spacing w:after="0" w:line="300" w:lineRule="auto"/>
              <w:jc w:val="center"/>
              <w:rPr>
                <w:rFonts w:cs="Arial"/>
                <w:color w:val="000000"/>
              </w:rPr>
            </w:pPr>
            <w:r w:rsidRPr="00AB635F">
              <w:rPr>
                <w:rFonts w:cs="Arial"/>
                <w:color w:val="000000"/>
              </w:rPr>
              <w:t>73.1%</w:t>
            </w:r>
          </w:p>
        </w:tc>
        <w:tc>
          <w:tcPr>
            <w:tcW w:w="1367" w:type="dxa"/>
            <w:vAlign w:val="bottom"/>
          </w:tcPr>
          <w:p w14:paraId="6104FE4A" w14:textId="14F92C3A" w:rsidR="00AB635F" w:rsidRPr="00AB635F" w:rsidRDefault="00AB635F" w:rsidP="00AB635F">
            <w:pPr>
              <w:pStyle w:val="BodyText"/>
              <w:keepNext/>
              <w:spacing w:after="0" w:line="300" w:lineRule="auto"/>
              <w:jc w:val="center"/>
              <w:rPr>
                <w:rFonts w:cs="Arial"/>
                <w:color w:val="000000"/>
              </w:rPr>
            </w:pPr>
            <w:r w:rsidRPr="00AB635F">
              <w:rPr>
                <w:rFonts w:cs="Arial"/>
                <w:color w:val="000000"/>
              </w:rPr>
              <w:t>239</w:t>
            </w:r>
          </w:p>
        </w:tc>
        <w:tc>
          <w:tcPr>
            <w:tcW w:w="1366" w:type="dxa"/>
            <w:vAlign w:val="bottom"/>
          </w:tcPr>
          <w:p w14:paraId="179C4E07" w14:textId="5F887069" w:rsidR="00AB635F" w:rsidRPr="00AB635F" w:rsidRDefault="00AB635F" w:rsidP="00AB635F">
            <w:pPr>
              <w:pStyle w:val="BodyText"/>
              <w:keepNext/>
              <w:spacing w:after="0" w:line="300" w:lineRule="auto"/>
              <w:jc w:val="center"/>
              <w:rPr>
                <w:rFonts w:cs="Arial"/>
                <w:color w:val="000000"/>
              </w:rPr>
            </w:pPr>
            <w:r w:rsidRPr="00AB635F">
              <w:rPr>
                <w:rFonts w:cs="Arial"/>
                <w:color w:val="000000"/>
              </w:rPr>
              <w:t>53.6%</w:t>
            </w:r>
          </w:p>
        </w:tc>
        <w:tc>
          <w:tcPr>
            <w:tcW w:w="1367" w:type="dxa"/>
            <w:vAlign w:val="bottom"/>
          </w:tcPr>
          <w:p w14:paraId="626A20A8" w14:textId="00B91841" w:rsidR="00AB635F" w:rsidRPr="00AB635F" w:rsidRDefault="00AB635F" w:rsidP="00AB635F">
            <w:pPr>
              <w:pStyle w:val="BodyText"/>
              <w:keepNext/>
              <w:spacing w:after="0" w:line="300" w:lineRule="auto"/>
              <w:jc w:val="center"/>
              <w:rPr>
                <w:rFonts w:cs="Arial"/>
                <w:bCs/>
              </w:rPr>
            </w:pPr>
            <w:r w:rsidRPr="00AB635F">
              <w:rPr>
                <w:rFonts w:cs="Arial"/>
                <w:color w:val="000000"/>
              </w:rPr>
              <w:t>128</w:t>
            </w:r>
          </w:p>
        </w:tc>
      </w:tr>
      <w:tr w:rsidR="00AB635F" w:rsidRPr="008D4A27" w14:paraId="1B9B4CDD" w14:textId="77777777" w:rsidTr="00172F56">
        <w:trPr>
          <w:jc w:val="center"/>
        </w:trPr>
        <w:tc>
          <w:tcPr>
            <w:tcW w:w="1366" w:type="dxa"/>
          </w:tcPr>
          <w:p w14:paraId="1F2B4447" w14:textId="555AAFDE" w:rsidR="00AB635F" w:rsidRPr="008D4A27" w:rsidRDefault="00AB635F" w:rsidP="00AB635F">
            <w:pPr>
              <w:pStyle w:val="BodyText"/>
              <w:keepNext/>
              <w:spacing w:after="0" w:line="300" w:lineRule="auto"/>
              <w:rPr>
                <w:rFonts w:cs="Arial"/>
              </w:rPr>
            </w:pPr>
            <w:r w:rsidRPr="2804310E">
              <w:rPr>
                <w:rFonts w:cs="Arial"/>
              </w:rPr>
              <w:t>2019/20</w:t>
            </w:r>
          </w:p>
        </w:tc>
        <w:tc>
          <w:tcPr>
            <w:tcW w:w="1367" w:type="dxa"/>
            <w:vAlign w:val="bottom"/>
          </w:tcPr>
          <w:p w14:paraId="59E70E7D" w14:textId="69424F6B" w:rsidR="00AB635F" w:rsidRPr="00AB635F" w:rsidRDefault="00AB635F" w:rsidP="00AB635F">
            <w:pPr>
              <w:pStyle w:val="BodyText"/>
              <w:keepNext/>
              <w:spacing w:after="0" w:line="300" w:lineRule="auto"/>
              <w:jc w:val="center"/>
              <w:rPr>
                <w:rFonts w:cs="Arial"/>
                <w:color w:val="000000"/>
              </w:rPr>
            </w:pPr>
            <w:r w:rsidRPr="00AB635F">
              <w:rPr>
                <w:rFonts w:cs="Arial"/>
                <w:color w:val="000000"/>
              </w:rPr>
              <w:t>373</w:t>
            </w:r>
          </w:p>
        </w:tc>
        <w:tc>
          <w:tcPr>
            <w:tcW w:w="1366" w:type="dxa"/>
            <w:vAlign w:val="bottom"/>
          </w:tcPr>
          <w:p w14:paraId="1023C22E" w14:textId="4E6ED569" w:rsidR="00AB635F" w:rsidRPr="00AB635F" w:rsidRDefault="00AB635F" w:rsidP="00AB635F">
            <w:pPr>
              <w:pStyle w:val="BodyText"/>
              <w:keepNext/>
              <w:spacing w:after="0" w:line="300" w:lineRule="auto"/>
              <w:jc w:val="center"/>
              <w:rPr>
                <w:rFonts w:cs="Arial"/>
                <w:color w:val="000000"/>
              </w:rPr>
            </w:pPr>
            <w:r w:rsidRPr="00AB635F">
              <w:rPr>
                <w:rFonts w:cs="Arial"/>
                <w:color w:val="000000"/>
              </w:rPr>
              <w:t>60.1%</w:t>
            </w:r>
          </w:p>
        </w:tc>
        <w:tc>
          <w:tcPr>
            <w:tcW w:w="1367" w:type="dxa"/>
            <w:vAlign w:val="bottom"/>
          </w:tcPr>
          <w:p w14:paraId="46DD2059" w14:textId="061891CD" w:rsidR="00AB635F" w:rsidRPr="00AB635F" w:rsidRDefault="00AB635F" w:rsidP="00AB635F">
            <w:pPr>
              <w:pStyle w:val="BodyText"/>
              <w:keepNext/>
              <w:spacing w:after="0" w:line="300" w:lineRule="auto"/>
              <w:jc w:val="center"/>
              <w:rPr>
                <w:rFonts w:cs="Arial"/>
                <w:color w:val="000000"/>
              </w:rPr>
            </w:pPr>
            <w:r w:rsidRPr="00AB635F">
              <w:rPr>
                <w:rFonts w:cs="Arial"/>
                <w:color w:val="000000"/>
              </w:rPr>
              <w:t>224</w:t>
            </w:r>
          </w:p>
        </w:tc>
        <w:tc>
          <w:tcPr>
            <w:tcW w:w="1366" w:type="dxa"/>
            <w:vAlign w:val="bottom"/>
          </w:tcPr>
          <w:p w14:paraId="2C2ED4AB" w14:textId="061360C2" w:rsidR="00AB635F" w:rsidRPr="00AB635F" w:rsidRDefault="00AB635F" w:rsidP="00AB635F">
            <w:pPr>
              <w:pStyle w:val="BodyText"/>
              <w:keepNext/>
              <w:spacing w:after="0" w:line="300" w:lineRule="auto"/>
              <w:jc w:val="center"/>
              <w:rPr>
                <w:rFonts w:cs="Arial"/>
                <w:color w:val="000000"/>
              </w:rPr>
            </w:pPr>
            <w:r w:rsidRPr="00AB635F">
              <w:rPr>
                <w:rFonts w:cs="Arial"/>
                <w:color w:val="000000"/>
              </w:rPr>
              <w:t>67.4%</w:t>
            </w:r>
          </w:p>
        </w:tc>
        <w:tc>
          <w:tcPr>
            <w:tcW w:w="1367" w:type="dxa"/>
            <w:vAlign w:val="bottom"/>
          </w:tcPr>
          <w:p w14:paraId="1BA171E6" w14:textId="5D8A6C24" w:rsidR="00AB635F" w:rsidRPr="00AB635F" w:rsidRDefault="00AB635F" w:rsidP="00AB635F">
            <w:pPr>
              <w:pStyle w:val="BodyText"/>
              <w:keepNext/>
              <w:spacing w:after="0" w:line="300" w:lineRule="auto"/>
              <w:jc w:val="center"/>
              <w:rPr>
                <w:rFonts w:cs="Arial"/>
              </w:rPr>
            </w:pPr>
            <w:r w:rsidRPr="00AB635F">
              <w:rPr>
                <w:rFonts w:cs="Arial"/>
                <w:color w:val="000000"/>
              </w:rPr>
              <w:t>151</w:t>
            </w:r>
          </w:p>
        </w:tc>
      </w:tr>
      <w:tr w:rsidR="00AB635F" w:rsidRPr="008D4A27" w14:paraId="52FC06AF" w14:textId="77777777" w:rsidTr="00172F56">
        <w:trPr>
          <w:jc w:val="center"/>
        </w:trPr>
        <w:tc>
          <w:tcPr>
            <w:tcW w:w="1366" w:type="dxa"/>
          </w:tcPr>
          <w:p w14:paraId="2FE078A0" w14:textId="4F96FCE6" w:rsidR="00AB635F" w:rsidRPr="008D4A27" w:rsidRDefault="00AB635F" w:rsidP="00AB635F">
            <w:pPr>
              <w:pStyle w:val="BodyText"/>
              <w:keepNext/>
              <w:spacing w:after="0" w:line="300" w:lineRule="auto"/>
              <w:rPr>
                <w:rFonts w:cs="Arial"/>
                <w:bCs/>
              </w:rPr>
            </w:pPr>
            <w:r>
              <w:rPr>
                <w:rFonts w:cs="Arial"/>
                <w:bCs/>
              </w:rPr>
              <w:t>2020/21</w:t>
            </w:r>
          </w:p>
        </w:tc>
        <w:tc>
          <w:tcPr>
            <w:tcW w:w="1367" w:type="dxa"/>
            <w:vAlign w:val="bottom"/>
          </w:tcPr>
          <w:p w14:paraId="518070C2" w14:textId="60F5F26F" w:rsidR="00AB635F" w:rsidRPr="00AB635F" w:rsidRDefault="00AB635F" w:rsidP="00AB635F">
            <w:pPr>
              <w:pStyle w:val="BodyText"/>
              <w:keepNext/>
              <w:spacing w:after="0" w:line="300" w:lineRule="auto"/>
              <w:jc w:val="center"/>
              <w:rPr>
                <w:rFonts w:cs="Arial"/>
                <w:color w:val="000000"/>
              </w:rPr>
            </w:pPr>
            <w:r w:rsidRPr="00AB635F">
              <w:rPr>
                <w:rFonts w:cs="Arial"/>
                <w:color w:val="000000"/>
              </w:rPr>
              <w:t>184</w:t>
            </w:r>
          </w:p>
        </w:tc>
        <w:tc>
          <w:tcPr>
            <w:tcW w:w="1366" w:type="dxa"/>
            <w:vAlign w:val="bottom"/>
          </w:tcPr>
          <w:p w14:paraId="4772AC20" w14:textId="197199DC" w:rsidR="00AB635F" w:rsidRPr="00AB635F" w:rsidRDefault="00AB635F" w:rsidP="00AB635F">
            <w:pPr>
              <w:pStyle w:val="BodyText"/>
              <w:keepNext/>
              <w:spacing w:after="0" w:line="300" w:lineRule="auto"/>
              <w:jc w:val="center"/>
              <w:rPr>
                <w:rFonts w:cs="Arial"/>
                <w:color w:val="000000"/>
              </w:rPr>
            </w:pPr>
            <w:r w:rsidRPr="00AB635F">
              <w:rPr>
                <w:rFonts w:cs="Arial"/>
                <w:color w:val="000000"/>
              </w:rPr>
              <w:t>66.8%</w:t>
            </w:r>
          </w:p>
        </w:tc>
        <w:tc>
          <w:tcPr>
            <w:tcW w:w="1367" w:type="dxa"/>
            <w:vAlign w:val="bottom"/>
          </w:tcPr>
          <w:p w14:paraId="154225D0" w14:textId="45E16530" w:rsidR="00AB635F" w:rsidRPr="00AB635F" w:rsidRDefault="00AB635F" w:rsidP="00AB635F">
            <w:pPr>
              <w:pStyle w:val="BodyText"/>
              <w:keepNext/>
              <w:spacing w:after="0" w:line="300" w:lineRule="auto"/>
              <w:jc w:val="center"/>
              <w:rPr>
                <w:rFonts w:cs="Arial"/>
                <w:color w:val="000000"/>
              </w:rPr>
            </w:pPr>
            <w:r w:rsidRPr="00AB635F">
              <w:rPr>
                <w:rFonts w:cs="Arial"/>
                <w:color w:val="000000"/>
              </w:rPr>
              <w:t>123</w:t>
            </w:r>
          </w:p>
        </w:tc>
        <w:tc>
          <w:tcPr>
            <w:tcW w:w="1366" w:type="dxa"/>
            <w:vAlign w:val="bottom"/>
          </w:tcPr>
          <w:p w14:paraId="25B15C67" w14:textId="08C1E18B" w:rsidR="00AB635F" w:rsidRPr="00AB635F" w:rsidRDefault="00AB635F" w:rsidP="00AB635F">
            <w:pPr>
              <w:pStyle w:val="BodyText"/>
              <w:keepNext/>
              <w:spacing w:after="0" w:line="300" w:lineRule="auto"/>
              <w:jc w:val="center"/>
              <w:rPr>
                <w:rFonts w:cs="Arial"/>
                <w:color w:val="000000"/>
              </w:rPr>
            </w:pPr>
            <w:r w:rsidRPr="00AB635F">
              <w:rPr>
                <w:rFonts w:cs="Arial"/>
                <w:color w:val="000000"/>
              </w:rPr>
              <w:t>78.9%</w:t>
            </w:r>
          </w:p>
        </w:tc>
        <w:tc>
          <w:tcPr>
            <w:tcW w:w="1367" w:type="dxa"/>
            <w:vAlign w:val="bottom"/>
          </w:tcPr>
          <w:p w14:paraId="2032ABF8" w14:textId="50A46E71" w:rsidR="00AB635F" w:rsidRPr="00AB635F" w:rsidRDefault="00AB635F" w:rsidP="00AB635F">
            <w:pPr>
              <w:pStyle w:val="BodyText"/>
              <w:keepNext/>
              <w:spacing w:after="0" w:line="300" w:lineRule="auto"/>
              <w:jc w:val="center"/>
              <w:rPr>
                <w:rFonts w:cs="Arial"/>
                <w:color w:val="000000"/>
              </w:rPr>
            </w:pPr>
            <w:r w:rsidRPr="00AB635F">
              <w:rPr>
                <w:rFonts w:cs="Arial"/>
                <w:color w:val="000000"/>
              </w:rPr>
              <w:t>97</w:t>
            </w:r>
          </w:p>
        </w:tc>
      </w:tr>
      <w:tr w:rsidR="00AB635F" w:rsidRPr="008D4A27" w14:paraId="5299835A" w14:textId="77777777" w:rsidTr="00172F56">
        <w:trPr>
          <w:jc w:val="center"/>
        </w:trPr>
        <w:tc>
          <w:tcPr>
            <w:tcW w:w="1366" w:type="dxa"/>
          </w:tcPr>
          <w:p w14:paraId="71A50D2D" w14:textId="5F3865DE" w:rsidR="00AB635F" w:rsidRPr="008D4A27" w:rsidRDefault="00AB635F" w:rsidP="00AB635F">
            <w:pPr>
              <w:pStyle w:val="BodyText"/>
              <w:keepNext/>
              <w:spacing w:after="0" w:line="300" w:lineRule="auto"/>
              <w:rPr>
                <w:rFonts w:cs="Arial"/>
                <w:bCs/>
              </w:rPr>
            </w:pPr>
            <w:r w:rsidRPr="008D4A27">
              <w:rPr>
                <w:rFonts w:cs="Arial"/>
                <w:bCs/>
              </w:rPr>
              <w:t>Average</w:t>
            </w:r>
          </w:p>
        </w:tc>
        <w:tc>
          <w:tcPr>
            <w:tcW w:w="1367" w:type="dxa"/>
            <w:vAlign w:val="bottom"/>
          </w:tcPr>
          <w:p w14:paraId="63F77048" w14:textId="2A0F3658" w:rsidR="00AB635F" w:rsidRPr="00AB635F" w:rsidRDefault="00AB635F" w:rsidP="00AB635F">
            <w:pPr>
              <w:pStyle w:val="BodyText"/>
              <w:keepNext/>
              <w:spacing w:after="0" w:line="300" w:lineRule="auto"/>
              <w:jc w:val="center"/>
              <w:rPr>
                <w:rFonts w:cs="Arial"/>
                <w:color w:val="000000"/>
              </w:rPr>
            </w:pPr>
            <w:r w:rsidRPr="00AB635F">
              <w:rPr>
                <w:rFonts w:cs="Arial"/>
                <w:color w:val="000000"/>
              </w:rPr>
              <w:t>295</w:t>
            </w:r>
          </w:p>
        </w:tc>
        <w:tc>
          <w:tcPr>
            <w:tcW w:w="1366" w:type="dxa"/>
            <w:vAlign w:val="bottom"/>
          </w:tcPr>
          <w:p w14:paraId="269B5A97" w14:textId="5B25891D" w:rsidR="00AB635F" w:rsidRPr="00AB635F" w:rsidRDefault="00AB635F" w:rsidP="00AB635F">
            <w:pPr>
              <w:pStyle w:val="BodyText"/>
              <w:keepNext/>
              <w:spacing w:after="0" w:line="300" w:lineRule="auto"/>
              <w:jc w:val="center"/>
              <w:rPr>
                <w:rFonts w:cs="Arial"/>
                <w:color w:val="000000"/>
              </w:rPr>
            </w:pPr>
            <w:r w:rsidRPr="00AB635F">
              <w:rPr>
                <w:rFonts w:cs="Arial"/>
                <w:color w:val="000000"/>
              </w:rPr>
              <w:t>66.3%</w:t>
            </w:r>
          </w:p>
        </w:tc>
        <w:tc>
          <w:tcPr>
            <w:tcW w:w="1367" w:type="dxa"/>
            <w:vAlign w:val="bottom"/>
          </w:tcPr>
          <w:p w14:paraId="30EF23EE" w14:textId="7B69AF49" w:rsidR="00AB635F" w:rsidRPr="00AB635F" w:rsidRDefault="00AB635F" w:rsidP="00AB635F">
            <w:pPr>
              <w:pStyle w:val="BodyText"/>
              <w:keepNext/>
              <w:spacing w:after="0" w:line="300" w:lineRule="auto"/>
              <w:jc w:val="center"/>
              <w:rPr>
                <w:rFonts w:cs="Arial"/>
                <w:color w:val="000000"/>
              </w:rPr>
            </w:pPr>
            <w:r w:rsidRPr="00AB635F">
              <w:rPr>
                <w:rFonts w:cs="Arial"/>
                <w:color w:val="000000"/>
              </w:rPr>
              <w:t>195</w:t>
            </w:r>
          </w:p>
        </w:tc>
        <w:tc>
          <w:tcPr>
            <w:tcW w:w="1366" w:type="dxa"/>
            <w:vAlign w:val="bottom"/>
          </w:tcPr>
          <w:p w14:paraId="61422977" w14:textId="7C5AB0F4" w:rsidR="00AB635F" w:rsidRPr="00AB635F" w:rsidRDefault="00AB635F" w:rsidP="00AB635F">
            <w:pPr>
              <w:pStyle w:val="BodyText"/>
              <w:keepNext/>
              <w:spacing w:after="0" w:line="300" w:lineRule="auto"/>
              <w:jc w:val="center"/>
              <w:rPr>
                <w:rFonts w:cs="Arial"/>
                <w:color w:val="000000"/>
              </w:rPr>
            </w:pPr>
            <w:r w:rsidRPr="00AB635F">
              <w:rPr>
                <w:rFonts w:cs="Arial"/>
                <w:color w:val="000000"/>
              </w:rPr>
              <w:t>64.2%</w:t>
            </w:r>
          </w:p>
        </w:tc>
        <w:tc>
          <w:tcPr>
            <w:tcW w:w="1367" w:type="dxa"/>
            <w:vAlign w:val="bottom"/>
          </w:tcPr>
          <w:p w14:paraId="423DA96D" w14:textId="3C9368BC" w:rsidR="00AB635F" w:rsidRPr="00AB635F" w:rsidRDefault="00AB635F" w:rsidP="00AB635F">
            <w:pPr>
              <w:pStyle w:val="BodyText"/>
              <w:keepNext/>
              <w:spacing w:after="0" w:line="300" w:lineRule="auto"/>
              <w:jc w:val="center"/>
              <w:rPr>
                <w:rFonts w:cs="Arial"/>
                <w:color w:val="000000"/>
              </w:rPr>
            </w:pPr>
            <w:r w:rsidRPr="00AB635F">
              <w:rPr>
                <w:rFonts w:cs="Arial"/>
                <w:color w:val="000000"/>
              </w:rPr>
              <w:t>125</w:t>
            </w:r>
          </w:p>
        </w:tc>
      </w:tr>
    </w:tbl>
    <w:p w14:paraId="29994D41" w14:textId="00F2E570" w:rsidR="0007167E" w:rsidRDefault="0007167E" w:rsidP="00826AF2">
      <w:pPr>
        <w:spacing w:line="300" w:lineRule="auto"/>
        <w:jc w:val="center"/>
        <w:rPr>
          <w:rFonts w:ascii="Arial" w:hAnsi="Arial" w:cs="Arial"/>
          <w:sz w:val="20"/>
          <w:szCs w:val="20"/>
        </w:rPr>
      </w:pPr>
      <w:r w:rsidRPr="008D4A27">
        <w:rPr>
          <w:rFonts w:ascii="Arial" w:hAnsi="Arial" w:cs="Arial"/>
          <w:sz w:val="20"/>
          <w:szCs w:val="20"/>
        </w:rPr>
        <w:t>Source: CoRe/LAHS</w:t>
      </w:r>
    </w:p>
    <w:p w14:paraId="752EE039" w14:textId="77777777" w:rsidR="00EF0970" w:rsidRPr="00EF0970" w:rsidRDefault="00EF0970" w:rsidP="00172F56">
      <w:pPr>
        <w:pStyle w:val="11Bodytext"/>
        <w:numPr>
          <w:ilvl w:val="0"/>
          <w:numId w:val="0"/>
        </w:numPr>
        <w:spacing w:before="0" w:after="0" w:line="300" w:lineRule="auto"/>
        <w:rPr>
          <w:color w:val="auto"/>
        </w:rPr>
      </w:pPr>
    </w:p>
    <w:p w14:paraId="79357CBE" w14:textId="3010DA62" w:rsidR="0007167E" w:rsidRPr="00EF0970" w:rsidRDefault="0007167E">
      <w:pPr>
        <w:pStyle w:val="11Bodytext"/>
        <w:numPr>
          <w:ilvl w:val="1"/>
          <w:numId w:val="76"/>
        </w:numPr>
        <w:spacing w:before="0" w:after="0" w:line="300" w:lineRule="auto"/>
        <w:ind w:left="720" w:hanging="720"/>
        <w:rPr>
          <w:color w:val="auto"/>
        </w:rPr>
      </w:pPr>
      <w:r>
        <w:t>The table below shows the estimated supply of affordable housing from relets in each sub-area. The sub-area figures have been based on information provided by the Council about lettings over the five</w:t>
      </w:r>
      <w:r w:rsidR="00F4424E">
        <w:t>-</w:t>
      </w:r>
      <w:r>
        <w:t>year period to January 2022.</w:t>
      </w:r>
    </w:p>
    <w:p w14:paraId="108EBCA8" w14:textId="77777777" w:rsidR="00EF0970" w:rsidRPr="00EF0970" w:rsidRDefault="00EF0970" w:rsidP="00172F56">
      <w:pPr>
        <w:pStyle w:val="11Bodytext"/>
        <w:numPr>
          <w:ilvl w:val="0"/>
          <w:numId w:val="0"/>
        </w:numPr>
        <w:spacing w:before="0" w:after="0" w:line="300" w:lineRule="auto"/>
        <w:rPr>
          <w:color w:val="auto"/>
        </w:rPr>
      </w:pPr>
    </w:p>
    <w:tbl>
      <w:tblPr>
        <w:tblStyle w:val="TableTheme"/>
        <w:tblW w:w="8199" w:type="dxa"/>
        <w:jc w:val="center"/>
        <w:tblLook w:val="04A0" w:firstRow="1" w:lastRow="0" w:firstColumn="1" w:lastColumn="0" w:noHBand="0" w:noVBand="1"/>
      </w:tblPr>
      <w:tblGrid>
        <w:gridCol w:w="2751"/>
        <w:gridCol w:w="2721"/>
        <w:gridCol w:w="2727"/>
      </w:tblGrid>
      <w:tr w:rsidR="00EF0970" w:rsidRPr="00EF0970" w14:paraId="07DBC350" w14:textId="77777777" w:rsidTr="2804310E">
        <w:trPr>
          <w:jc w:val="center"/>
        </w:trPr>
        <w:tc>
          <w:tcPr>
            <w:tcW w:w="8199" w:type="dxa"/>
            <w:gridSpan w:val="3"/>
          </w:tcPr>
          <w:p w14:paraId="1B0AC95D" w14:textId="11969BD3" w:rsidR="00EF0970" w:rsidRPr="00EF0970" w:rsidRDefault="00EF0970" w:rsidP="00826AF2">
            <w:pPr>
              <w:pStyle w:val="BodyText"/>
              <w:keepNext/>
              <w:spacing w:after="0" w:line="300" w:lineRule="auto"/>
              <w:jc w:val="center"/>
              <w:rPr>
                <w:rFonts w:cs="Arial"/>
                <w:b/>
              </w:rPr>
            </w:pPr>
            <w:r w:rsidRPr="00EF0970">
              <w:rPr>
                <w:rFonts w:cs="Arial"/>
                <w:b/>
              </w:rPr>
              <w:t>Figure 3.</w:t>
            </w:r>
            <w:r w:rsidR="00DF6242">
              <w:rPr>
                <w:rFonts w:cs="Arial"/>
                <w:b/>
              </w:rPr>
              <w:t>10</w:t>
            </w:r>
            <w:r w:rsidRPr="00EF0970">
              <w:rPr>
                <w:rFonts w:cs="Arial"/>
                <w:b/>
              </w:rPr>
              <w:t>: Estimated supply of affordable housing from relets of existing stock by sub-area (per annum)</w:t>
            </w:r>
          </w:p>
        </w:tc>
      </w:tr>
      <w:tr w:rsidR="0007167E" w:rsidRPr="008D4A27" w14:paraId="2F1D7435" w14:textId="77777777" w:rsidTr="2804310E">
        <w:trPr>
          <w:jc w:val="center"/>
        </w:trPr>
        <w:tc>
          <w:tcPr>
            <w:tcW w:w="2751" w:type="dxa"/>
          </w:tcPr>
          <w:p w14:paraId="4CBDD2C8" w14:textId="77777777" w:rsidR="0007167E" w:rsidRPr="008D4A27" w:rsidRDefault="0007167E" w:rsidP="00172F56">
            <w:pPr>
              <w:keepNext/>
              <w:spacing w:before="60" w:after="60" w:line="300" w:lineRule="auto"/>
              <w:rPr>
                <w:rFonts w:ascii="Arial" w:hAnsi="Arial" w:cs="Arial"/>
                <w:sz w:val="20"/>
                <w:szCs w:val="20"/>
              </w:rPr>
            </w:pPr>
          </w:p>
        </w:tc>
        <w:tc>
          <w:tcPr>
            <w:tcW w:w="2721" w:type="dxa"/>
          </w:tcPr>
          <w:p w14:paraId="294C2869" w14:textId="77777777" w:rsidR="0007167E" w:rsidRPr="008D4A27" w:rsidRDefault="0007167E" w:rsidP="00172F56">
            <w:pPr>
              <w:pStyle w:val="BodyText"/>
              <w:keepNext/>
              <w:spacing w:before="60" w:after="60" w:line="300" w:lineRule="auto"/>
              <w:jc w:val="center"/>
              <w:rPr>
                <w:rFonts w:cs="Arial"/>
              </w:rPr>
            </w:pPr>
            <w:r w:rsidRPr="008D4A27">
              <w:rPr>
                <w:rFonts w:cs="Arial"/>
                <w:bCs/>
              </w:rPr>
              <w:t>Annual supply</w:t>
            </w:r>
          </w:p>
        </w:tc>
        <w:tc>
          <w:tcPr>
            <w:tcW w:w="2727" w:type="dxa"/>
          </w:tcPr>
          <w:p w14:paraId="69B7113E" w14:textId="77777777" w:rsidR="0007167E" w:rsidRPr="008D4A27" w:rsidRDefault="0007167E" w:rsidP="00172F56">
            <w:pPr>
              <w:pStyle w:val="BodyText"/>
              <w:keepNext/>
              <w:spacing w:before="60" w:after="60" w:line="300" w:lineRule="auto"/>
              <w:jc w:val="center"/>
              <w:rPr>
                <w:rFonts w:cs="Arial"/>
              </w:rPr>
            </w:pPr>
            <w:r w:rsidRPr="008D4A27">
              <w:rPr>
                <w:rFonts w:cs="Arial"/>
                <w:bCs/>
              </w:rPr>
              <w:t>% of supply</w:t>
            </w:r>
          </w:p>
        </w:tc>
      </w:tr>
      <w:tr w:rsidR="00AB635F" w:rsidRPr="008D4A27" w14:paraId="7F475934" w14:textId="77777777" w:rsidTr="003C1D01">
        <w:trPr>
          <w:jc w:val="center"/>
        </w:trPr>
        <w:tc>
          <w:tcPr>
            <w:tcW w:w="2751" w:type="dxa"/>
          </w:tcPr>
          <w:p w14:paraId="17FFD253" w14:textId="2C779597" w:rsidR="00AB635F" w:rsidRPr="008D4A27" w:rsidRDefault="00AB635F" w:rsidP="00AB635F">
            <w:pPr>
              <w:pStyle w:val="BodyText"/>
              <w:keepNext/>
              <w:spacing w:after="0" w:line="300" w:lineRule="auto"/>
              <w:rPr>
                <w:rFonts w:cs="Arial"/>
                <w:b/>
                <w:bCs/>
              </w:rPr>
            </w:pPr>
            <w:r>
              <w:rPr>
                <w:rFonts w:cs="Arial"/>
                <w:color w:val="000000"/>
              </w:rPr>
              <w:t>St. Annes</w:t>
            </w:r>
          </w:p>
        </w:tc>
        <w:tc>
          <w:tcPr>
            <w:tcW w:w="2721" w:type="dxa"/>
            <w:vAlign w:val="bottom"/>
          </w:tcPr>
          <w:p w14:paraId="4C346F0D" w14:textId="4BAB850F" w:rsidR="00AB635F" w:rsidRPr="00AB635F" w:rsidRDefault="00AB635F" w:rsidP="00AB635F">
            <w:pPr>
              <w:pStyle w:val="BodyText"/>
              <w:keepNext/>
              <w:spacing w:after="0" w:line="300" w:lineRule="auto"/>
              <w:jc w:val="center"/>
              <w:rPr>
                <w:rFonts w:cs="Arial"/>
                <w:bCs/>
              </w:rPr>
            </w:pPr>
            <w:r w:rsidRPr="00AB635F">
              <w:rPr>
                <w:rFonts w:cs="Arial"/>
                <w:color w:val="000000"/>
              </w:rPr>
              <w:t>32</w:t>
            </w:r>
          </w:p>
        </w:tc>
        <w:tc>
          <w:tcPr>
            <w:tcW w:w="2727" w:type="dxa"/>
            <w:vAlign w:val="bottom"/>
          </w:tcPr>
          <w:p w14:paraId="129528B5" w14:textId="712C8150" w:rsidR="00AB635F" w:rsidRPr="00AB635F" w:rsidRDefault="00AB635F" w:rsidP="00AB635F">
            <w:pPr>
              <w:pStyle w:val="BodyText"/>
              <w:keepNext/>
              <w:spacing w:after="0" w:line="300" w:lineRule="auto"/>
              <w:jc w:val="center"/>
              <w:rPr>
                <w:rFonts w:cs="Arial"/>
                <w:bCs/>
              </w:rPr>
            </w:pPr>
            <w:r w:rsidRPr="00AB635F">
              <w:rPr>
                <w:rFonts w:cs="Arial"/>
                <w:color w:val="000000"/>
              </w:rPr>
              <w:t>25.6%</w:t>
            </w:r>
          </w:p>
        </w:tc>
      </w:tr>
      <w:tr w:rsidR="00AB635F" w:rsidRPr="008D4A27" w14:paraId="077D19AB" w14:textId="77777777" w:rsidTr="003C1D01">
        <w:trPr>
          <w:jc w:val="center"/>
        </w:trPr>
        <w:tc>
          <w:tcPr>
            <w:tcW w:w="2751" w:type="dxa"/>
          </w:tcPr>
          <w:p w14:paraId="6F361B98" w14:textId="77777777" w:rsidR="00AB635F" w:rsidRPr="008D4A27" w:rsidRDefault="00AB635F" w:rsidP="00AB635F">
            <w:pPr>
              <w:pStyle w:val="BodyText"/>
              <w:keepNext/>
              <w:spacing w:after="0" w:line="300" w:lineRule="auto"/>
              <w:rPr>
                <w:rFonts w:cs="Arial"/>
                <w:bCs/>
              </w:rPr>
            </w:pPr>
            <w:r w:rsidRPr="008D4A27">
              <w:rPr>
                <w:rFonts w:cs="Arial"/>
                <w:color w:val="000000"/>
              </w:rPr>
              <w:t>Lytham</w:t>
            </w:r>
          </w:p>
        </w:tc>
        <w:tc>
          <w:tcPr>
            <w:tcW w:w="2721" w:type="dxa"/>
            <w:vAlign w:val="bottom"/>
          </w:tcPr>
          <w:p w14:paraId="09CD923B" w14:textId="1E4BFB70" w:rsidR="00AB635F" w:rsidRPr="00AB635F" w:rsidRDefault="00AB635F" w:rsidP="00AB635F">
            <w:pPr>
              <w:pStyle w:val="BodyText"/>
              <w:keepNext/>
              <w:spacing w:after="0" w:line="300" w:lineRule="auto"/>
              <w:jc w:val="center"/>
              <w:rPr>
                <w:rFonts w:cs="Arial"/>
                <w:color w:val="000000"/>
              </w:rPr>
            </w:pPr>
            <w:r w:rsidRPr="00AB635F">
              <w:rPr>
                <w:rFonts w:cs="Arial"/>
                <w:color w:val="000000"/>
              </w:rPr>
              <w:t>18</w:t>
            </w:r>
          </w:p>
        </w:tc>
        <w:tc>
          <w:tcPr>
            <w:tcW w:w="2727" w:type="dxa"/>
            <w:vAlign w:val="bottom"/>
          </w:tcPr>
          <w:p w14:paraId="2E6F863A" w14:textId="7BFD1DDE" w:rsidR="00AB635F" w:rsidRPr="00AB635F" w:rsidRDefault="00AB635F" w:rsidP="00AB635F">
            <w:pPr>
              <w:pStyle w:val="BodyText"/>
              <w:keepNext/>
              <w:spacing w:after="0" w:line="300" w:lineRule="auto"/>
              <w:jc w:val="center"/>
              <w:rPr>
                <w:rFonts w:cs="Arial"/>
                <w:color w:val="000000"/>
              </w:rPr>
            </w:pPr>
            <w:r w:rsidRPr="00AB635F">
              <w:rPr>
                <w:rFonts w:cs="Arial"/>
                <w:color w:val="000000"/>
              </w:rPr>
              <w:t>14.8%</w:t>
            </w:r>
          </w:p>
        </w:tc>
      </w:tr>
      <w:tr w:rsidR="00AB635F" w:rsidRPr="008D4A27" w14:paraId="3D16B30D" w14:textId="77777777" w:rsidTr="003C1D01">
        <w:trPr>
          <w:jc w:val="center"/>
        </w:trPr>
        <w:tc>
          <w:tcPr>
            <w:tcW w:w="2751" w:type="dxa"/>
          </w:tcPr>
          <w:p w14:paraId="654E6A3E" w14:textId="77777777" w:rsidR="00AB635F" w:rsidRPr="008D4A27" w:rsidRDefault="00AB635F" w:rsidP="00AB635F">
            <w:pPr>
              <w:pStyle w:val="BodyText"/>
              <w:keepNext/>
              <w:spacing w:after="0" w:line="300" w:lineRule="auto"/>
              <w:rPr>
                <w:rFonts w:cs="Arial"/>
                <w:bCs/>
              </w:rPr>
            </w:pPr>
            <w:r w:rsidRPr="008D4A27">
              <w:rPr>
                <w:rFonts w:cs="Arial"/>
                <w:color w:val="000000"/>
              </w:rPr>
              <w:t>Warton</w:t>
            </w:r>
          </w:p>
        </w:tc>
        <w:tc>
          <w:tcPr>
            <w:tcW w:w="2721" w:type="dxa"/>
            <w:vAlign w:val="bottom"/>
          </w:tcPr>
          <w:p w14:paraId="0C4EC46A" w14:textId="31EBB088" w:rsidR="00AB635F" w:rsidRPr="00AB635F" w:rsidRDefault="00AB635F" w:rsidP="00AB635F">
            <w:pPr>
              <w:pStyle w:val="BodyText"/>
              <w:keepNext/>
              <w:spacing w:after="0" w:line="300" w:lineRule="auto"/>
              <w:jc w:val="center"/>
              <w:rPr>
                <w:rFonts w:cs="Arial"/>
                <w:color w:val="000000"/>
              </w:rPr>
            </w:pPr>
            <w:r w:rsidRPr="00AB635F">
              <w:rPr>
                <w:rFonts w:cs="Arial"/>
                <w:color w:val="000000"/>
              </w:rPr>
              <w:t>11</w:t>
            </w:r>
          </w:p>
        </w:tc>
        <w:tc>
          <w:tcPr>
            <w:tcW w:w="2727" w:type="dxa"/>
            <w:vAlign w:val="bottom"/>
          </w:tcPr>
          <w:p w14:paraId="44D1BB99" w14:textId="644D2B12" w:rsidR="00AB635F" w:rsidRPr="00AB635F" w:rsidRDefault="00AB635F" w:rsidP="00AB635F">
            <w:pPr>
              <w:pStyle w:val="BodyText"/>
              <w:keepNext/>
              <w:spacing w:after="0" w:line="300" w:lineRule="auto"/>
              <w:jc w:val="center"/>
              <w:rPr>
                <w:rFonts w:cs="Arial"/>
                <w:color w:val="000000"/>
              </w:rPr>
            </w:pPr>
            <w:r w:rsidRPr="00AB635F">
              <w:rPr>
                <w:rFonts w:cs="Arial"/>
                <w:color w:val="000000"/>
              </w:rPr>
              <w:t>8.8%</w:t>
            </w:r>
          </w:p>
        </w:tc>
      </w:tr>
      <w:tr w:rsidR="00AB635F" w:rsidRPr="008D4A27" w14:paraId="1C7ED544" w14:textId="77777777" w:rsidTr="003C1D01">
        <w:trPr>
          <w:jc w:val="center"/>
        </w:trPr>
        <w:tc>
          <w:tcPr>
            <w:tcW w:w="2751" w:type="dxa"/>
          </w:tcPr>
          <w:p w14:paraId="2ADFC4BA" w14:textId="77777777" w:rsidR="00AB635F" w:rsidRPr="008D4A27" w:rsidRDefault="00AB635F" w:rsidP="00AB635F">
            <w:pPr>
              <w:pStyle w:val="BodyText"/>
              <w:keepNext/>
              <w:spacing w:after="0" w:line="300" w:lineRule="auto"/>
              <w:rPr>
                <w:rFonts w:cs="Arial"/>
                <w:bCs/>
              </w:rPr>
            </w:pPr>
            <w:r w:rsidRPr="008D4A27">
              <w:rPr>
                <w:rFonts w:cs="Arial"/>
                <w:color w:val="000000"/>
              </w:rPr>
              <w:t>FB Periphery</w:t>
            </w:r>
          </w:p>
        </w:tc>
        <w:tc>
          <w:tcPr>
            <w:tcW w:w="2721" w:type="dxa"/>
            <w:vAlign w:val="bottom"/>
          </w:tcPr>
          <w:p w14:paraId="658AE697" w14:textId="0F93BABF" w:rsidR="00AB635F" w:rsidRPr="00AB635F" w:rsidRDefault="00AB635F" w:rsidP="00AB635F">
            <w:pPr>
              <w:pStyle w:val="BodyText"/>
              <w:keepNext/>
              <w:spacing w:after="0" w:line="300" w:lineRule="auto"/>
              <w:jc w:val="center"/>
              <w:rPr>
                <w:rFonts w:cs="Arial"/>
                <w:color w:val="000000"/>
              </w:rPr>
            </w:pPr>
            <w:r w:rsidRPr="00AB635F">
              <w:rPr>
                <w:rFonts w:cs="Arial"/>
                <w:color w:val="000000"/>
              </w:rPr>
              <w:t>8</w:t>
            </w:r>
          </w:p>
        </w:tc>
        <w:tc>
          <w:tcPr>
            <w:tcW w:w="2727" w:type="dxa"/>
            <w:vAlign w:val="bottom"/>
          </w:tcPr>
          <w:p w14:paraId="1CBD1296" w14:textId="2D413D3C" w:rsidR="00AB635F" w:rsidRPr="00AB635F" w:rsidRDefault="00AB635F" w:rsidP="00AB635F">
            <w:pPr>
              <w:pStyle w:val="BodyText"/>
              <w:keepNext/>
              <w:spacing w:after="0" w:line="300" w:lineRule="auto"/>
              <w:jc w:val="center"/>
              <w:rPr>
                <w:rFonts w:cs="Arial"/>
                <w:color w:val="000000"/>
              </w:rPr>
            </w:pPr>
            <w:r w:rsidRPr="00AB635F">
              <w:rPr>
                <w:rFonts w:cs="Arial"/>
                <w:color w:val="000000"/>
              </w:rPr>
              <w:t>6.4%</w:t>
            </w:r>
          </w:p>
        </w:tc>
      </w:tr>
      <w:tr w:rsidR="00AB635F" w:rsidRPr="008D4A27" w14:paraId="3A763972" w14:textId="77777777" w:rsidTr="003C1D01">
        <w:trPr>
          <w:jc w:val="center"/>
        </w:trPr>
        <w:tc>
          <w:tcPr>
            <w:tcW w:w="2751" w:type="dxa"/>
          </w:tcPr>
          <w:p w14:paraId="48C86433" w14:textId="77777777" w:rsidR="00AB635F" w:rsidRPr="008D4A27" w:rsidRDefault="00AB635F" w:rsidP="00AB635F">
            <w:pPr>
              <w:pStyle w:val="BodyText"/>
              <w:keepNext/>
              <w:spacing w:after="0" w:line="300" w:lineRule="auto"/>
              <w:rPr>
                <w:rFonts w:cs="Arial"/>
                <w:color w:val="000000"/>
              </w:rPr>
            </w:pPr>
            <w:r w:rsidRPr="008D4A27">
              <w:rPr>
                <w:rFonts w:cs="Arial"/>
                <w:color w:val="000000"/>
              </w:rPr>
              <w:t>Kirkham</w:t>
            </w:r>
          </w:p>
        </w:tc>
        <w:tc>
          <w:tcPr>
            <w:tcW w:w="2721" w:type="dxa"/>
            <w:vAlign w:val="bottom"/>
          </w:tcPr>
          <w:p w14:paraId="4AB8D1D7" w14:textId="61D0A675" w:rsidR="00AB635F" w:rsidRPr="00AB635F" w:rsidRDefault="00AB635F" w:rsidP="00AB635F">
            <w:pPr>
              <w:pStyle w:val="BodyText"/>
              <w:keepNext/>
              <w:spacing w:after="0" w:line="300" w:lineRule="auto"/>
              <w:jc w:val="center"/>
              <w:rPr>
                <w:rFonts w:cs="Arial"/>
                <w:color w:val="000000"/>
              </w:rPr>
            </w:pPr>
            <w:r w:rsidRPr="00AB635F">
              <w:rPr>
                <w:rFonts w:cs="Arial"/>
                <w:color w:val="000000"/>
              </w:rPr>
              <w:t>20</w:t>
            </w:r>
          </w:p>
        </w:tc>
        <w:tc>
          <w:tcPr>
            <w:tcW w:w="2727" w:type="dxa"/>
            <w:vAlign w:val="bottom"/>
          </w:tcPr>
          <w:p w14:paraId="2F5712BA" w14:textId="2E00B8BD" w:rsidR="00AB635F" w:rsidRPr="00AB635F" w:rsidRDefault="00AB635F" w:rsidP="00AB635F">
            <w:pPr>
              <w:pStyle w:val="BodyText"/>
              <w:keepNext/>
              <w:spacing w:after="0" w:line="300" w:lineRule="auto"/>
              <w:jc w:val="center"/>
              <w:rPr>
                <w:rFonts w:cs="Arial"/>
                <w:color w:val="000000"/>
              </w:rPr>
            </w:pPr>
            <w:r w:rsidRPr="00AB635F">
              <w:rPr>
                <w:rFonts w:cs="Arial"/>
                <w:color w:val="000000"/>
              </w:rPr>
              <w:t>16.0%</w:t>
            </w:r>
          </w:p>
        </w:tc>
      </w:tr>
      <w:tr w:rsidR="00AB635F" w:rsidRPr="008D4A27" w14:paraId="7810B257" w14:textId="77777777" w:rsidTr="003C1D01">
        <w:trPr>
          <w:jc w:val="center"/>
        </w:trPr>
        <w:tc>
          <w:tcPr>
            <w:tcW w:w="2751" w:type="dxa"/>
          </w:tcPr>
          <w:p w14:paraId="64869604" w14:textId="77777777" w:rsidR="00AB635F" w:rsidRPr="008D4A27" w:rsidRDefault="00AB635F" w:rsidP="00AB635F">
            <w:pPr>
              <w:pStyle w:val="BodyText"/>
              <w:keepNext/>
              <w:spacing w:after="0" w:line="300" w:lineRule="auto"/>
              <w:rPr>
                <w:rFonts w:cs="Arial"/>
                <w:color w:val="000000"/>
              </w:rPr>
            </w:pPr>
            <w:r w:rsidRPr="008D4A27">
              <w:rPr>
                <w:rFonts w:cs="Arial"/>
                <w:color w:val="000000"/>
              </w:rPr>
              <w:t>Wesham</w:t>
            </w:r>
          </w:p>
        </w:tc>
        <w:tc>
          <w:tcPr>
            <w:tcW w:w="2721" w:type="dxa"/>
            <w:vAlign w:val="bottom"/>
          </w:tcPr>
          <w:p w14:paraId="1A35FBDC" w14:textId="026D468A" w:rsidR="00AB635F" w:rsidRPr="00AB635F" w:rsidRDefault="00AB635F" w:rsidP="00AB635F">
            <w:pPr>
              <w:pStyle w:val="BodyText"/>
              <w:keepNext/>
              <w:spacing w:after="0" w:line="300" w:lineRule="auto"/>
              <w:jc w:val="center"/>
              <w:rPr>
                <w:rFonts w:cs="Arial"/>
                <w:color w:val="000000"/>
              </w:rPr>
            </w:pPr>
            <w:r w:rsidRPr="00AB635F">
              <w:rPr>
                <w:rFonts w:cs="Arial"/>
                <w:color w:val="000000"/>
              </w:rPr>
              <w:t>14</w:t>
            </w:r>
          </w:p>
        </w:tc>
        <w:tc>
          <w:tcPr>
            <w:tcW w:w="2727" w:type="dxa"/>
            <w:vAlign w:val="bottom"/>
          </w:tcPr>
          <w:p w14:paraId="240BE9AF" w14:textId="3A88D54F" w:rsidR="00AB635F" w:rsidRPr="00AB635F" w:rsidRDefault="00AB635F" w:rsidP="00AB635F">
            <w:pPr>
              <w:pStyle w:val="BodyText"/>
              <w:keepNext/>
              <w:spacing w:after="0" w:line="300" w:lineRule="auto"/>
              <w:jc w:val="center"/>
              <w:rPr>
                <w:rFonts w:cs="Arial"/>
                <w:color w:val="000000"/>
              </w:rPr>
            </w:pPr>
            <w:r w:rsidRPr="00AB635F">
              <w:rPr>
                <w:rFonts w:cs="Arial"/>
                <w:color w:val="000000"/>
              </w:rPr>
              <w:t>11.0%</w:t>
            </w:r>
          </w:p>
        </w:tc>
      </w:tr>
      <w:tr w:rsidR="00AB635F" w:rsidRPr="008D4A27" w14:paraId="67CFC83D" w14:textId="77777777" w:rsidTr="003C1D01">
        <w:trPr>
          <w:jc w:val="center"/>
        </w:trPr>
        <w:tc>
          <w:tcPr>
            <w:tcW w:w="2751" w:type="dxa"/>
          </w:tcPr>
          <w:p w14:paraId="3396B6A8" w14:textId="77777777" w:rsidR="00AB635F" w:rsidRPr="008D4A27" w:rsidRDefault="00AB635F" w:rsidP="00AB635F">
            <w:pPr>
              <w:pStyle w:val="BodyText"/>
              <w:keepNext/>
              <w:spacing w:after="0" w:line="300" w:lineRule="auto"/>
              <w:rPr>
                <w:rFonts w:cs="Arial"/>
                <w:color w:val="000000"/>
              </w:rPr>
            </w:pPr>
            <w:r w:rsidRPr="008D4A27">
              <w:rPr>
                <w:rFonts w:cs="Arial"/>
                <w:color w:val="000000"/>
              </w:rPr>
              <w:t>Freckleton</w:t>
            </w:r>
          </w:p>
        </w:tc>
        <w:tc>
          <w:tcPr>
            <w:tcW w:w="2721" w:type="dxa"/>
            <w:vAlign w:val="bottom"/>
          </w:tcPr>
          <w:p w14:paraId="37EA1908" w14:textId="04737B17" w:rsidR="00AB635F" w:rsidRPr="00AB635F" w:rsidRDefault="00AB635F" w:rsidP="00AB635F">
            <w:pPr>
              <w:pStyle w:val="BodyText"/>
              <w:keepNext/>
              <w:spacing w:after="0" w:line="300" w:lineRule="auto"/>
              <w:jc w:val="center"/>
              <w:rPr>
                <w:rFonts w:cs="Arial"/>
                <w:color w:val="000000"/>
              </w:rPr>
            </w:pPr>
            <w:r w:rsidRPr="00AB635F">
              <w:rPr>
                <w:rFonts w:cs="Arial"/>
                <w:color w:val="000000"/>
              </w:rPr>
              <w:t>10</w:t>
            </w:r>
          </w:p>
        </w:tc>
        <w:tc>
          <w:tcPr>
            <w:tcW w:w="2727" w:type="dxa"/>
            <w:vAlign w:val="bottom"/>
          </w:tcPr>
          <w:p w14:paraId="2ACF251E" w14:textId="5C924F13" w:rsidR="00AB635F" w:rsidRPr="00AB635F" w:rsidRDefault="00AB635F" w:rsidP="00AB635F">
            <w:pPr>
              <w:pStyle w:val="BodyText"/>
              <w:keepNext/>
              <w:spacing w:after="0" w:line="300" w:lineRule="auto"/>
              <w:jc w:val="center"/>
              <w:rPr>
                <w:rFonts w:cs="Arial"/>
                <w:color w:val="000000"/>
              </w:rPr>
            </w:pPr>
            <w:r w:rsidRPr="00AB635F">
              <w:rPr>
                <w:rFonts w:cs="Arial"/>
                <w:color w:val="000000"/>
              </w:rPr>
              <w:t>7.7%</w:t>
            </w:r>
          </w:p>
        </w:tc>
      </w:tr>
      <w:tr w:rsidR="00AB635F" w:rsidRPr="008D4A27" w14:paraId="44B2399E" w14:textId="77777777" w:rsidTr="003C1D01">
        <w:trPr>
          <w:jc w:val="center"/>
        </w:trPr>
        <w:tc>
          <w:tcPr>
            <w:tcW w:w="2751" w:type="dxa"/>
          </w:tcPr>
          <w:p w14:paraId="2941ABEC" w14:textId="77777777" w:rsidR="00AB635F" w:rsidRPr="008D4A27" w:rsidRDefault="00AB635F" w:rsidP="00AB635F">
            <w:pPr>
              <w:pStyle w:val="BodyText"/>
              <w:keepNext/>
              <w:spacing w:after="0" w:line="300" w:lineRule="auto"/>
              <w:rPr>
                <w:rFonts w:cs="Arial"/>
                <w:color w:val="000000"/>
              </w:rPr>
            </w:pPr>
            <w:r w:rsidRPr="008D4A27">
              <w:rPr>
                <w:rFonts w:cs="Arial"/>
                <w:color w:val="000000"/>
              </w:rPr>
              <w:t>Rural North</w:t>
            </w:r>
          </w:p>
        </w:tc>
        <w:tc>
          <w:tcPr>
            <w:tcW w:w="2721" w:type="dxa"/>
            <w:vAlign w:val="bottom"/>
          </w:tcPr>
          <w:p w14:paraId="576D3574" w14:textId="68CF57F1" w:rsidR="00AB635F" w:rsidRPr="00AB635F" w:rsidRDefault="00AB635F" w:rsidP="00AB635F">
            <w:pPr>
              <w:pStyle w:val="BodyText"/>
              <w:keepNext/>
              <w:spacing w:after="0" w:line="300" w:lineRule="auto"/>
              <w:jc w:val="center"/>
              <w:rPr>
                <w:rFonts w:cs="Arial"/>
                <w:color w:val="000000"/>
              </w:rPr>
            </w:pPr>
            <w:r w:rsidRPr="00AB635F">
              <w:rPr>
                <w:rFonts w:cs="Arial"/>
                <w:color w:val="000000"/>
              </w:rPr>
              <w:t>6</w:t>
            </w:r>
          </w:p>
        </w:tc>
        <w:tc>
          <w:tcPr>
            <w:tcW w:w="2727" w:type="dxa"/>
            <w:vAlign w:val="bottom"/>
          </w:tcPr>
          <w:p w14:paraId="13A8903D" w14:textId="0C9D9E11" w:rsidR="00AB635F" w:rsidRPr="00AB635F" w:rsidRDefault="00AB635F" w:rsidP="00AB635F">
            <w:pPr>
              <w:pStyle w:val="BodyText"/>
              <w:keepNext/>
              <w:spacing w:after="0" w:line="300" w:lineRule="auto"/>
              <w:jc w:val="center"/>
              <w:rPr>
                <w:rFonts w:cs="Arial"/>
                <w:color w:val="000000"/>
              </w:rPr>
            </w:pPr>
            <w:r w:rsidRPr="00AB635F">
              <w:rPr>
                <w:rFonts w:cs="Arial"/>
                <w:color w:val="000000"/>
              </w:rPr>
              <w:t>4.6%</w:t>
            </w:r>
          </w:p>
        </w:tc>
      </w:tr>
      <w:tr w:rsidR="00AB635F" w:rsidRPr="008D4A27" w14:paraId="28632855" w14:textId="77777777" w:rsidTr="003C1D01">
        <w:trPr>
          <w:jc w:val="center"/>
        </w:trPr>
        <w:tc>
          <w:tcPr>
            <w:tcW w:w="2751" w:type="dxa"/>
          </w:tcPr>
          <w:p w14:paraId="04594ADA" w14:textId="77777777" w:rsidR="00AB635F" w:rsidRPr="008D4A27" w:rsidRDefault="00AB635F" w:rsidP="00AB635F">
            <w:pPr>
              <w:pStyle w:val="BodyText"/>
              <w:keepNext/>
              <w:spacing w:after="0" w:line="300" w:lineRule="auto"/>
              <w:rPr>
                <w:rFonts w:cs="Arial"/>
                <w:color w:val="000000"/>
              </w:rPr>
            </w:pPr>
            <w:r w:rsidRPr="008D4A27">
              <w:rPr>
                <w:rFonts w:cs="Arial"/>
                <w:color w:val="000000"/>
              </w:rPr>
              <w:t>Rural West</w:t>
            </w:r>
          </w:p>
        </w:tc>
        <w:tc>
          <w:tcPr>
            <w:tcW w:w="2721" w:type="dxa"/>
            <w:vAlign w:val="bottom"/>
          </w:tcPr>
          <w:p w14:paraId="7099489C" w14:textId="59AD5222" w:rsidR="00AB635F" w:rsidRPr="00AB635F" w:rsidRDefault="00AB635F" w:rsidP="00AB635F">
            <w:pPr>
              <w:pStyle w:val="BodyText"/>
              <w:keepNext/>
              <w:spacing w:after="0" w:line="300" w:lineRule="auto"/>
              <w:jc w:val="center"/>
              <w:rPr>
                <w:rFonts w:cs="Arial"/>
                <w:color w:val="000000"/>
              </w:rPr>
            </w:pPr>
            <w:r w:rsidRPr="00AB635F">
              <w:rPr>
                <w:rFonts w:cs="Arial"/>
                <w:color w:val="000000"/>
              </w:rPr>
              <w:t>2</w:t>
            </w:r>
          </w:p>
        </w:tc>
        <w:tc>
          <w:tcPr>
            <w:tcW w:w="2727" w:type="dxa"/>
            <w:vAlign w:val="bottom"/>
          </w:tcPr>
          <w:p w14:paraId="43838A73" w14:textId="28D3A213" w:rsidR="00AB635F" w:rsidRPr="00AB635F" w:rsidRDefault="00AB635F" w:rsidP="00AB635F">
            <w:pPr>
              <w:pStyle w:val="BodyText"/>
              <w:keepNext/>
              <w:spacing w:after="0" w:line="300" w:lineRule="auto"/>
              <w:jc w:val="center"/>
              <w:rPr>
                <w:rFonts w:cs="Arial"/>
                <w:color w:val="000000"/>
              </w:rPr>
            </w:pPr>
            <w:r w:rsidRPr="00AB635F">
              <w:rPr>
                <w:rFonts w:cs="Arial"/>
                <w:color w:val="000000"/>
              </w:rPr>
              <w:t>1.3%</w:t>
            </w:r>
          </w:p>
        </w:tc>
      </w:tr>
      <w:tr w:rsidR="00AB635F" w:rsidRPr="008D4A27" w14:paraId="4F4C8949" w14:textId="77777777" w:rsidTr="003C1D01">
        <w:trPr>
          <w:jc w:val="center"/>
        </w:trPr>
        <w:tc>
          <w:tcPr>
            <w:tcW w:w="2751" w:type="dxa"/>
          </w:tcPr>
          <w:p w14:paraId="7F0F1473" w14:textId="77777777" w:rsidR="00AB635F" w:rsidRPr="008D4A27" w:rsidRDefault="00AB635F" w:rsidP="00AB635F">
            <w:pPr>
              <w:pStyle w:val="BodyText"/>
              <w:keepNext/>
              <w:spacing w:after="0" w:line="300" w:lineRule="auto"/>
              <w:rPr>
                <w:rFonts w:cs="Arial"/>
                <w:color w:val="000000"/>
              </w:rPr>
            </w:pPr>
            <w:r w:rsidRPr="008D4A27">
              <w:rPr>
                <w:rFonts w:cs="Arial"/>
                <w:color w:val="000000"/>
              </w:rPr>
              <w:t>Rural East</w:t>
            </w:r>
          </w:p>
        </w:tc>
        <w:tc>
          <w:tcPr>
            <w:tcW w:w="2721" w:type="dxa"/>
            <w:vAlign w:val="bottom"/>
          </w:tcPr>
          <w:p w14:paraId="00907C3D" w14:textId="6E552EF8" w:rsidR="00AB635F" w:rsidRPr="00AB635F" w:rsidRDefault="00AB635F" w:rsidP="00AB635F">
            <w:pPr>
              <w:pStyle w:val="BodyText"/>
              <w:keepNext/>
              <w:spacing w:after="0" w:line="300" w:lineRule="auto"/>
              <w:jc w:val="center"/>
              <w:rPr>
                <w:rFonts w:cs="Arial"/>
                <w:color w:val="000000"/>
              </w:rPr>
            </w:pPr>
            <w:r w:rsidRPr="00AB635F">
              <w:rPr>
                <w:rFonts w:cs="Arial"/>
                <w:color w:val="000000"/>
              </w:rPr>
              <w:t>5</w:t>
            </w:r>
          </w:p>
        </w:tc>
        <w:tc>
          <w:tcPr>
            <w:tcW w:w="2727" w:type="dxa"/>
            <w:vAlign w:val="bottom"/>
          </w:tcPr>
          <w:p w14:paraId="41FAD866" w14:textId="439B5E69" w:rsidR="00AB635F" w:rsidRPr="00AB635F" w:rsidRDefault="00AB635F" w:rsidP="00AB635F">
            <w:pPr>
              <w:pStyle w:val="BodyText"/>
              <w:keepNext/>
              <w:spacing w:after="0" w:line="300" w:lineRule="auto"/>
              <w:jc w:val="center"/>
              <w:rPr>
                <w:rFonts w:cs="Arial"/>
                <w:color w:val="000000"/>
              </w:rPr>
            </w:pPr>
            <w:r w:rsidRPr="00AB635F">
              <w:rPr>
                <w:rFonts w:cs="Arial"/>
                <w:color w:val="000000"/>
              </w:rPr>
              <w:t>4.0%</w:t>
            </w:r>
          </w:p>
        </w:tc>
      </w:tr>
      <w:tr w:rsidR="00AB635F" w:rsidRPr="008D4A27" w14:paraId="5A47221D" w14:textId="77777777" w:rsidTr="003C1D01">
        <w:trPr>
          <w:jc w:val="center"/>
        </w:trPr>
        <w:tc>
          <w:tcPr>
            <w:tcW w:w="2751" w:type="dxa"/>
          </w:tcPr>
          <w:p w14:paraId="463B9EB8" w14:textId="77777777" w:rsidR="00AB635F" w:rsidRPr="008D4A27" w:rsidRDefault="00AB635F" w:rsidP="00AB635F">
            <w:pPr>
              <w:pStyle w:val="BodyText"/>
              <w:keepNext/>
              <w:spacing w:after="0" w:line="300" w:lineRule="auto"/>
              <w:rPr>
                <w:rFonts w:cs="Arial"/>
                <w:color w:val="000000"/>
              </w:rPr>
            </w:pPr>
            <w:r w:rsidRPr="008D4A27">
              <w:rPr>
                <w:rFonts w:cs="Arial"/>
                <w:color w:val="000000"/>
              </w:rPr>
              <w:t>TOTAL</w:t>
            </w:r>
          </w:p>
        </w:tc>
        <w:tc>
          <w:tcPr>
            <w:tcW w:w="2721" w:type="dxa"/>
            <w:vAlign w:val="bottom"/>
          </w:tcPr>
          <w:p w14:paraId="7844D394" w14:textId="1C4C78C9" w:rsidR="00AB635F" w:rsidRPr="00AB635F" w:rsidRDefault="00AB635F" w:rsidP="00AB635F">
            <w:pPr>
              <w:pStyle w:val="BodyText"/>
              <w:keepNext/>
              <w:spacing w:after="0" w:line="300" w:lineRule="auto"/>
              <w:jc w:val="center"/>
              <w:rPr>
                <w:rFonts w:cs="Arial"/>
                <w:color w:val="000000"/>
              </w:rPr>
            </w:pPr>
            <w:r w:rsidRPr="00AB635F">
              <w:rPr>
                <w:rFonts w:cs="Arial"/>
                <w:color w:val="000000"/>
              </w:rPr>
              <w:t>125</w:t>
            </w:r>
          </w:p>
        </w:tc>
        <w:tc>
          <w:tcPr>
            <w:tcW w:w="2727" w:type="dxa"/>
            <w:vAlign w:val="bottom"/>
          </w:tcPr>
          <w:p w14:paraId="0375D3B3" w14:textId="09E0F749" w:rsidR="00AB635F" w:rsidRPr="00AB635F" w:rsidRDefault="00AB635F" w:rsidP="00AB635F">
            <w:pPr>
              <w:pStyle w:val="BodyText"/>
              <w:keepNext/>
              <w:spacing w:after="0" w:line="300" w:lineRule="auto"/>
              <w:jc w:val="center"/>
              <w:rPr>
                <w:rFonts w:cs="Arial"/>
                <w:color w:val="000000"/>
              </w:rPr>
            </w:pPr>
            <w:r w:rsidRPr="00AB635F">
              <w:rPr>
                <w:rFonts w:cs="Arial"/>
                <w:color w:val="000000"/>
              </w:rPr>
              <w:t>100.0%</w:t>
            </w:r>
          </w:p>
        </w:tc>
      </w:tr>
    </w:tbl>
    <w:p w14:paraId="75F49331" w14:textId="741534E5" w:rsidR="0007167E" w:rsidRDefault="0007167E" w:rsidP="00826AF2">
      <w:pPr>
        <w:pStyle w:val="Reporttext0"/>
        <w:keepLines w:val="0"/>
        <w:widowControl w:val="0"/>
        <w:numPr>
          <w:ilvl w:val="0"/>
          <w:numId w:val="0"/>
        </w:numPr>
        <w:spacing w:line="300" w:lineRule="auto"/>
        <w:jc w:val="center"/>
        <w:rPr>
          <w:rFonts w:ascii="Arial" w:hAnsi="Arial" w:cs="Arial"/>
          <w:sz w:val="20"/>
        </w:rPr>
      </w:pPr>
      <w:r w:rsidRPr="008D4A27">
        <w:rPr>
          <w:rFonts w:ascii="Arial" w:hAnsi="Arial" w:cs="Arial"/>
          <w:sz w:val="20"/>
        </w:rPr>
        <w:t>Source: CoRe/LAHS/Fylde Council</w:t>
      </w:r>
    </w:p>
    <w:p w14:paraId="1E64371F" w14:textId="77777777" w:rsidR="00620FE9" w:rsidRPr="00EF0970" w:rsidRDefault="00620FE9" w:rsidP="00172F56">
      <w:pPr>
        <w:pStyle w:val="11Bodytext"/>
        <w:numPr>
          <w:ilvl w:val="0"/>
          <w:numId w:val="0"/>
        </w:numPr>
        <w:spacing w:before="0" w:after="0" w:line="300" w:lineRule="auto"/>
        <w:rPr>
          <w:color w:val="auto"/>
        </w:rPr>
      </w:pPr>
    </w:p>
    <w:p w14:paraId="42BFA4C7" w14:textId="59E4A64C" w:rsidR="0007167E" w:rsidRPr="00EF0970" w:rsidRDefault="0007167E">
      <w:pPr>
        <w:pStyle w:val="11Bodytext"/>
        <w:numPr>
          <w:ilvl w:val="1"/>
          <w:numId w:val="76"/>
        </w:numPr>
        <w:spacing w:before="0" w:after="0" w:line="300" w:lineRule="auto"/>
        <w:ind w:left="720" w:hanging="720"/>
        <w:rPr>
          <w:color w:val="auto"/>
        </w:rPr>
      </w:pPr>
      <w:r>
        <w:t>The PPG model also includes the bringing back of vacant homes into use and the pipeline of affordable housing as part of the supply calculation. These have however not been included within the modelling in this report. Firstly, there is no evidence of any substantial stock of vacant homes (over and above a level that might be expected to allow movement in the stock). Secondly, with the pipeline supply, it is not considered appropriate to include this as to net off new housing would be to fail to show the full extent of the need, although in monitoring it will be important to net off these dwellings as they are completed.</w:t>
      </w:r>
    </w:p>
    <w:p w14:paraId="0D920F52" w14:textId="77777777" w:rsidR="00EF0970" w:rsidRPr="00EF0970" w:rsidRDefault="00EF0970" w:rsidP="00172F56">
      <w:pPr>
        <w:pStyle w:val="11Bodytext"/>
        <w:numPr>
          <w:ilvl w:val="0"/>
          <w:numId w:val="0"/>
        </w:numPr>
        <w:spacing w:before="0" w:after="0" w:line="300" w:lineRule="auto"/>
        <w:rPr>
          <w:color w:val="auto"/>
        </w:rPr>
      </w:pPr>
    </w:p>
    <w:p w14:paraId="4D214860" w14:textId="0FF8AC01" w:rsidR="0007167E" w:rsidRPr="00EF0970" w:rsidRDefault="0007167E">
      <w:pPr>
        <w:pStyle w:val="11Bodytext"/>
        <w:numPr>
          <w:ilvl w:val="1"/>
          <w:numId w:val="76"/>
        </w:numPr>
        <w:spacing w:before="0" w:after="0" w:line="300" w:lineRule="auto"/>
        <w:ind w:left="720" w:hanging="720"/>
        <w:rPr>
          <w:color w:val="auto"/>
        </w:rPr>
      </w:pPr>
      <w:r>
        <w:t>As with the need for social/affordable rented housing, it is also necessary to consider if there is any supply of affordable home ownership products from the existing stock of housing. As with assessing the need for affordable home ownership, it is the case that at present the PPG does not include any suggestions about how the supply of housing to meet these needs should be calculated.</w:t>
      </w:r>
    </w:p>
    <w:p w14:paraId="51EB6606" w14:textId="77777777" w:rsidR="00EF0970" w:rsidRPr="00EF0970" w:rsidRDefault="00EF0970" w:rsidP="00172F56">
      <w:pPr>
        <w:pStyle w:val="11Bodytext"/>
        <w:numPr>
          <w:ilvl w:val="0"/>
          <w:numId w:val="0"/>
        </w:numPr>
        <w:spacing w:before="0" w:after="0" w:line="300" w:lineRule="auto"/>
        <w:rPr>
          <w:color w:val="auto"/>
        </w:rPr>
      </w:pPr>
    </w:p>
    <w:p w14:paraId="10E25BCD" w14:textId="16CA2E1A" w:rsidR="0007167E" w:rsidRPr="00172F56" w:rsidRDefault="0007167E">
      <w:pPr>
        <w:pStyle w:val="11Bodytext"/>
        <w:numPr>
          <w:ilvl w:val="1"/>
          <w:numId w:val="76"/>
        </w:numPr>
        <w:spacing w:before="0" w:after="0" w:line="300" w:lineRule="auto"/>
        <w:ind w:left="720" w:hanging="720"/>
        <w:rPr>
          <w:color w:val="auto"/>
        </w:rPr>
      </w:pPr>
      <w:r>
        <w:t xml:space="preserve">The main source is likely to be resales of products such as shared ownership and </w:t>
      </w:r>
      <w:r w:rsidR="001814CE">
        <w:t>other forms of low cost home ownership</w:t>
      </w:r>
      <w:r w:rsidR="00727DFB">
        <w:t xml:space="preserve"> (LCHO)</w:t>
      </w:r>
      <w:r w:rsidR="001814CE">
        <w:t xml:space="preserve">. According to data from the Regulator of Social Housing there were 219 LCHO homes in the Borough as of 2021, if these have a similar turnover to </w:t>
      </w:r>
      <w:r w:rsidR="00931AE7">
        <w:t>stock</w:t>
      </w:r>
      <w:r w:rsidR="001814CE">
        <w:t xml:space="preserve"> in the social sector then it can be estimated that there would be around</w:t>
      </w:r>
      <w:r w:rsidR="003551DF">
        <w:t xml:space="preserve"> </w:t>
      </w:r>
      <w:r>
        <w:t>1</w:t>
      </w:r>
      <w:r w:rsidR="001814CE">
        <w:t>0</w:t>
      </w:r>
      <w:r>
        <w:t xml:space="preserve"> resale</w:t>
      </w:r>
      <w:r w:rsidR="001814CE">
        <w:t>s</w:t>
      </w:r>
      <w:r>
        <w:t xml:space="preserve"> per annum across the study area. These properties would be available for these households and can be included as the potential supply.</w:t>
      </w:r>
    </w:p>
    <w:p w14:paraId="2A4CBA91" w14:textId="77777777" w:rsidR="003551DF" w:rsidRPr="00172F56" w:rsidRDefault="003551DF" w:rsidP="00172F56">
      <w:pPr>
        <w:pStyle w:val="11Bodytext"/>
        <w:numPr>
          <w:ilvl w:val="0"/>
          <w:numId w:val="0"/>
        </w:numPr>
        <w:spacing w:before="0" w:after="0" w:line="300" w:lineRule="auto"/>
        <w:rPr>
          <w:color w:val="auto"/>
        </w:rPr>
      </w:pPr>
    </w:p>
    <w:p w14:paraId="34CE8F6B" w14:textId="77777777" w:rsidR="003551DF" w:rsidRPr="00172F56" w:rsidRDefault="003551DF">
      <w:pPr>
        <w:pStyle w:val="11Bodytext"/>
        <w:numPr>
          <w:ilvl w:val="1"/>
          <w:numId w:val="76"/>
        </w:numPr>
        <w:spacing w:before="0" w:after="0" w:line="300" w:lineRule="auto"/>
        <w:ind w:left="720" w:hanging="720"/>
        <w:rPr>
          <w:rFonts w:eastAsiaTheme="majorEastAsia"/>
        </w:rPr>
      </w:pPr>
      <w:r w:rsidRPr="003551DF">
        <w:t xml:space="preserve">In addition, it should be noted that the analysis looks at households unable to afford a lower quartile property price. By definition, a quarter of all homes sold will be priced at or below a lower quartile level. According to the Land Registry, in </w:t>
      </w:r>
      <w:r>
        <w:t>Fylde</w:t>
      </w:r>
      <w:r w:rsidRPr="003551DF">
        <w:t xml:space="preserve"> there were a total of 1,</w:t>
      </w:r>
      <w:r>
        <w:t>515</w:t>
      </w:r>
      <w:r w:rsidRPr="003551DF">
        <w:t xml:space="preserve"> resales (i.e. excluding newly-built homes) in the last year (year to March 2022) and therefore around </w:t>
      </w:r>
      <w:r>
        <w:t>379</w:t>
      </w:r>
      <w:r w:rsidRPr="003551DF">
        <w:t xml:space="preserve"> would be priced below the lower quartile. This is </w:t>
      </w:r>
      <w:r>
        <w:t>379</w:t>
      </w:r>
      <w:r w:rsidRPr="003551DF">
        <w:t xml:space="preserve"> homes that would potentially be affordable to the target group for affordable home ownership products</w:t>
      </w:r>
      <w:r>
        <w:t>.</w:t>
      </w:r>
    </w:p>
    <w:p w14:paraId="0D90D095" w14:textId="24BDE130" w:rsidR="003551DF" w:rsidRDefault="003551DF">
      <w:pPr>
        <w:pStyle w:val="11Bodytext"/>
        <w:numPr>
          <w:ilvl w:val="0"/>
          <w:numId w:val="0"/>
        </w:numPr>
        <w:spacing w:before="0" w:after="0" w:line="300" w:lineRule="auto"/>
        <w:rPr>
          <w:rFonts w:eastAsiaTheme="majorEastAsia"/>
        </w:rPr>
      </w:pPr>
    </w:p>
    <w:p w14:paraId="2374C608" w14:textId="1412E123" w:rsidR="00177D13" w:rsidRDefault="00177D13">
      <w:pPr>
        <w:pStyle w:val="11Bodytext"/>
        <w:numPr>
          <w:ilvl w:val="0"/>
          <w:numId w:val="0"/>
        </w:numPr>
        <w:spacing w:before="0" w:after="0" w:line="300" w:lineRule="auto"/>
        <w:rPr>
          <w:rFonts w:eastAsiaTheme="majorEastAsia"/>
        </w:rPr>
      </w:pPr>
    </w:p>
    <w:p w14:paraId="3353BBC8" w14:textId="22B65E1E" w:rsidR="00177D13" w:rsidRDefault="00177D13">
      <w:pPr>
        <w:pStyle w:val="11Bodytext"/>
        <w:numPr>
          <w:ilvl w:val="0"/>
          <w:numId w:val="0"/>
        </w:numPr>
        <w:spacing w:before="0" w:after="0" w:line="300" w:lineRule="auto"/>
        <w:rPr>
          <w:rFonts w:eastAsiaTheme="majorEastAsia"/>
        </w:rPr>
      </w:pPr>
    </w:p>
    <w:p w14:paraId="49456915" w14:textId="6C73E27F" w:rsidR="00177D13" w:rsidRDefault="00177D13">
      <w:pPr>
        <w:pStyle w:val="11Bodytext"/>
        <w:numPr>
          <w:ilvl w:val="0"/>
          <w:numId w:val="0"/>
        </w:numPr>
        <w:spacing w:before="0" w:after="0" w:line="300" w:lineRule="auto"/>
        <w:rPr>
          <w:rFonts w:eastAsiaTheme="majorEastAsia"/>
        </w:rPr>
      </w:pPr>
    </w:p>
    <w:p w14:paraId="34C505CB" w14:textId="77777777" w:rsidR="00177D13" w:rsidRPr="00172F56" w:rsidRDefault="00177D13" w:rsidP="00172F56">
      <w:pPr>
        <w:pStyle w:val="11Bodytext"/>
        <w:numPr>
          <w:ilvl w:val="0"/>
          <w:numId w:val="0"/>
        </w:numPr>
        <w:spacing w:before="0" w:after="0" w:line="300" w:lineRule="auto"/>
        <w:rPr>
          <w:rFonts w:eastAsiaTheme="majorEastAsia"/>
        </w:rPr>
      </w:pPr>
    </w:p>
    <w:p w14:paraId="6C7124D7" w14:textId="2D88F1B7" w:rsidR="003551DF" w:rsidRPr="00172F56" w:rsidRDefault="003551DF">
      <w:pPr>
        <w:pStyle w:val="11Bodytext"/>
        <w:numPr>
          <w:ilvl w:val="1"/>
          <w:numId w:val="76"/>
        </w:numPr>
        <w:spacing w:before="0" w:after="0" w:line="300" w:lineRule="auto"/>
        <w:ind w:left="720" w:hanging="720"/>
        <w:rPr>
          <w:rFonts w:eastAsiaTheme="majorEastAsia"/>
        </w:rPr>
      </w:pPr>
      <w:r>
        <w:t>It is then possible to provide a best estimate of the supply of lower quartile homes that are bought by the target group of households (assumed to be first-time buyers). Whilst dated, a report by Bramley and Wilcox in 2010 (Evaluating requirements for market and affordable housing) noted that around 40% of first-time buyer with a mortgage buy at or below the lower quartile</w:t>
      </w:r>
      <w:r>
        <w:rPr>
          <w:rStyle w:val="FootnoteReference"/>
        </w:rPr>
        <w:footnoteReference w:id="11"/>
      </w:r>
      <w:r>
        <w:t>. Other recent data suggests that first time buyers account for around half of home purchase loans</w:t>
      </w:r>
      <w:r>
        <w:rPr>
          <w:rStyle w:val="FootnoteReference"/>
        </w:rPr>
        <w:footnoteReference w:id="12"/>
      </w:r>
      <w:r>
        <w:t xml:space="preserve"> with a total of around 65% of all homes being bought with a loan (35% as cash buyers</w:t>
      </w:r>
      <w:r>
        <w:rPr>
          <w:rStyle w:val="FootnoteReference"/>
        </w:rPr>
        <w:footnoteReference w:id="13"/>
      </w:r>
      <w:r>
        <w:t>).</w:t>
      </w:r>
    </w:p>
    <w:p w14:paraId="79ADC2E8" w14:textId="77777777" w:rsidR="003551DF" w:rsidRPr="00172F56" w:rsidRDefault="003551DF" w:rsidP="00172F56">
      <w:pPr>
        <w:pStyle w:val="11Bodytext"/>
        <w:numPr>
          <w:ilvl w:val="0"/>
          <w:numId w:val="0"/>
        </w:numPr>
        <w:spacing w:before="0" w:after="0" w:line="300" w:lineRule="auto"/>
        <w:rPr>
          <w:rFonts w:eastAsiaTheme="majorEastAsia"/>
        </w:rPr>
      </w:pPr>
    </w:p>
    <w:p w14:paraId="4B9F2B0A" w14:textId="1FFBC201" w:rsidR="003551DF" w:rsidRPr="00172F56" w:rsidRDefault="003551DF">
      <w:pPr>
        <w:pStyle w:val="11Bodytext"/>
        <w:numPr>
          <w:ilvl w:val="1"/>
          <w:numId w:val="76"/>
        </w:numPr>
        <w:spacing w:before="0" w:after="0" w:line="300" w:lineRule="auto"/>
        <w:ind w:left="720" w:hanging="720"/>
        <w:rPr>
          <w:rFonts w:eastAsiaTheme="majorEastAsia"/>
        </w:rPr>
      </w:pPr>
      <w:r>
        <w:t>Bringing this together would point to 32.5% of homes being bought by first-time buyers and around 13% of all homes being a lower quartile home bought by a first-time buyer (32.5% * 40%) – this would point to around half of all lower quartile sales as being to first-time buyers (as half of 25% is 12.5%). Therefore, for the purposes of estimating a ‘need’ half of all lower quartile sales are included in the supply.</w:t>
      </w:r>
    </w:p>
    <w:p w14:paraId="184E52CB" w14:textId="77777777" w:rsidR="003551DF" w:rsidRPr="00172F56" w:rsidRDefault="003551DF" w:rsidP="00172F56">
      <w:pPr>
        <w:pStyle w:val="11Bodytext"/>
        <w:numPr>
          <w:ilvl w:val="0"/>
          <w:numId w:val="0"/>
        </w:numPr>
        <w:spacing w:before="0" w:after="0" w:line="300" w:lineRule="auto"/>
        <w:rPr>
          <w:rFonts w:eastAsiaTheme="majorEastAsia"/>
        </w:rPr>
      </w:pPr>
    </w:p>
    <w:p w14:paraId="0BF2B051" w14:textId="163AD80F" w:rsidR="003551DF" w:rsidRPr="003551DF" w:rsidRDefault="003551DF">
      <w:pPr>
        <w:pStyle w:val="11Bodytext"/>
        <w:numPr>
          <w:ilvl w:val="1"/>
          <w:numId w:val="76"/>
        </w:numPr>
        <w:spacing w:before="0" w:after="0" w:line="300" w:lineRule="auto"/>
        <w:ind w:left="720" w:hanging="720"/>
        <w:rPr>
          <w:rFonts w:eastAsiaTheme="majorEastAsia"/>
        </w:rPr>
      </w:pPr>
      <w:r>
        <w:rPr>
          <w:rFonts w:eastAsiaTheme="majorEastAsia"/>
        </w:rPr>
        <w:t xml:space="preserve">The total estimated supply of affordable home </w:t>
      </w:r>
      <w:r w:rsidR="00931AE7">
        <w:rPr>
          <w:rFonts w:eastAsiaTheme="majorEastAsia"/>
        </w:rPr>
        <w:t>ownership</w:t>
      </w:r>
      <w:r>
        <w:rPr>
          <w:rFonts w:eastAsiaTheme="majorEastAsia"/>
        </w:rPr>
        <w:t xml:space="preserve"> properties from the existing stock of housing is therefore 199 (189 from resales of market </w:t>
      </w:r>
      <w:r w:rsidR="00931AE7">
        <w:rPr>
          <w:rFonts w:eastAsiaTheme="majorEastAsia"/>
        </w:rPr>
        <w:t>housing</w:t>
      </w:r>
      <w:r>
        <w:rPr>
          <w:rFonts w:eastAsiaTheme="majorEastAsia"/>
        </w:rPr>
        <w:t xml:space="preserve"> below the lower quartile and 10 from sales of low cost home ownership properties) – this total 997 over a five year period.</w:t>
      </w:r>
    </w:p>
    <w:p w14:paraId="40227D4D" w14:textId="77777777" w:rsidR="003551DF" w:rsidRDefault="003551DF" w:rsidP="00172F56">
      <w:pPr>
        <w:pStyle w:val="11Bodytext"/>
        <w:numPr>
          <w:ilvl w:val="0"/>
          <w:numId w:val="0"/>
        </w:numPr>
        <w:spacing w:before="0" w:after="0" w:line="300" w:lineRule="auto"/>
        <w:rPr>
          <w:color w:val="auto"/>
        </w:rPr>
      </w:pPr>
    </w:p>
    <w:p w14:paraId="6C9FC745" w14:textId="09B5BFE6" w:rsidR="00EF0970" w:rsidRPr="007236BD" w:rsidRDefault="00EF0970" w:rsidP="00172F56">
      <w:pPr>
        <w:spacing w:line="300" w:lineRule="auto"/>
        <w:jc w:val="both"/>
        <w:rPr>
          <w:rFonts w:ascii="Arial" w:hAnsi="Arial" w:cs="Arial"/>
          <w:b/>
          <w:lang w:eastAsia="ja-JP"/>
        </w:rPr>
      </w:pPr>
      <w:r>
        <w:rPr>
          <w:rFonts w:ascii="Arial" w:hAnsi="Arial" w:cs="Arial"/>
          <w:b/>
          <w:lang w:eastAsia="ja-JP"/>
        </w:rPr>
        <w:t>Net Need for Affordable Housing</w:t>
      </w:r>
    </w:p>
    <w:p w14:paraId="48AC8E56" w14:textId="77777777" w:rsidR="00EF0970" w:rsidRPr="002143DA" w:rsidRDefault="00EF0970" w:rsidP="00172F56">
      <w:pPr>
        <w:spacing w:line="300" w:lineRule="auto"/>
        <w:jc w:val="both"/>
        <w:rPr>
          <w:rFonts w:ascii="Arial" w:hAnsi="Arial" w:cs="Arial"/>
          <w:sz w:val="20"/>
          <w:szCs w:val="20"/>
          <w:lang w:eastAsia="ja-JP"/>
        </w:rPr>
      </w:pPr>
    </w:p>
    <w:p w14:paraId="65F7E84F" w14:textId="3A1D5C69" w:rsidR="001814CE" w:rsidRPr="00172F56" w:rsidRDefault="0007167E">
      <w:pPr>
        <w:pStyle w:val="11Bodytext"/>
        <w:numPr>
          <w:ilvl w:val="1"/>
          <w:numId w:val="76"/>
        </w:numPr>
        <w:spacing w:before="0" w:after="0" w:line="300" w:lineRule="auto"/>
        <w:ind w:left="720" w:hanging="720"/>
        <w:rPr>
          <w:color w:val="auto"/>
        </w:rPr>
      </w:pPr>
      <w:r>
        <w:t xml:space="preserve">The table below shows the overall calculation of </w:t>
      </w:r>
      <w:r w:rsidR="00C71F63">
        <w:t xml:space="preserve">need for </w:t>
      </w:r>
      <w:r>
        <w:t xml:space="preserve">affordable housing </w:t>
      </w:r>
      <w:r w:rsidR="009E5F02">
        <w:t>to rent</w:t>
      </w:r>
      <w:r>
        <w:t xml:space="preserve">. The analysis shows that there is a </w:t>
      </w:r>
      <w:r w:rsidR="009E5F02">
        <w:t xml:space="preserve">net </w:t>
      </w:r>
      <w:r>
        <w:t xml:space="preserve">need for </w:t>
      </w:r>
      <w:r w:rsidR="001814CE">
        <w:t>2,</w:t>
      </w:r>
      <w:r w:rsidR="004D38AB">
        <w:t>091</w:t>
      </w:r>
      <w:r w:rsidR="001814CE">
        <w:t xml:space="preserve"> </w:t>
      </w:r>
      <w:r>
        <w:t xml:space="preserve">dwellings </w:t>
      </w:r>
      <w:r w:rsidR="001814CE">
        <w:t>over the next 5-years (</w:t>
      </w:r>
      <w:r w:rsidR="004D38AB">
        <w:t>418</w:t>
      </w:r>
      <w:r w:rsidR="001814CE">
        <w:t xml:space="preserve"> </w:t>
      </w:r>
      <w:r>
        <w:t>per annum</w:t>
      </w:r>
      <w:r w:rsidR="001814CE">
        <w:t>)</w:t>
      </w:r>
      <w:r>
        <w:t xml:space="preserve"> across the </w:t>
      </w:r>
      <w:r w:rsidR="001814CE">
        <w:t>Borough</w:t>
      </w:r>
      <w:r>
        <w:t xml:space="preserve">. </w:t>
      </w:r>
    </w:p>
    <w:p w14:paraId="1E243661" w14:textId="618F5275" w:rsidR="001814CE" w:rsidRDefault="001814CE" w:rsidP="001814CE">
      <w:pPr>
        <w:pStyle w:val="11Bodytext"/>
        <w:numPr>
          <w:ilvl w:val="0"/>
          <w:numId w:val="0"/>
        </w:numPr>
        <w:spacing w:before="0" w:after="0" w:line="300" w:lineRule="auto"/>
        <w:rPr>
          <w:color w:val="auto"/>
        </w:rPr>
      </w:pPr>
    </w:p>
    <w:tbl>
      <w:tblPr>
        <w:tblStyle w:val="TableGrid10"/>
        <w:tblW w:w="8199" w:type="dxa"/>
        <w:jc w:val="center"/>
        <w:tblLook w:val="04A0" w:firstRow="1" w:lastRow="0" w:firstColumn="1" w:lastColumn="0" w:noHBand="0" w:noVBand="1"/>
      </w:tblPr>
      <w:tblGrid>
        <w:gridCol w:w="4387"/>
        <w:gridCol w:w="1906"/>
        <w:gridCol w:w="1906"/>
      </w:tblGrid>
      <w:tr w:rsidR="001814CE" w14:paraId="2126E105" w14:textId="77777777" w:rsidTr="00FA3B29">
        <w:trPr>
          <w:jc w:val="center"/>
        </w:trPr>
        <w:tc>
          <w:tcPr>
            <w:tcW w:w="8199" w:type="dxa"/>
            <w:gridSpan w:val="3"/>
          </w:tcPr>
          <w:p w14:paraId="617D5B5D" w14:textId="1E9EAD5A" w:rsidR="001814CE" w:rsidRDefault="001814CE" w:rsidP="00172F56">
            <w:pPr>
              <w:pStyle w:val="11Bodytext"/>
              <w:keepNext/>
              <w:numPr>
                <w:ilvl w:val="0"/>
                <w:numId w:val="0"/>
              </w:numPr>
              <w:spacing w:before="60" w:after="60" w:line="300" w:lineRule="auto"/>
              <w:jc w:val="center"/>
              <w:rPr>
                <w:color w:val="auto"/>
              </w:rPr>
            </w:pPr>
            <w:r w:rsidRPr="009E6992">
              <w:rPr>
                <w:b/>
              </w:rPr>
              <w:t>Figure 3.</w:t>
            </w:r>
            <w:r w:rsidR="00DF6242">
              <w:rPr>
                <w:b/>
              </w:rPr>
              <w:t>11</w:t>
            </w:r>
            <w:r w:rsidRPr="009E6992">
              <w:rPr>
                <w:b/>
              </w:rPr>
              <w:t>: Estimated Need for Social/Affordable Rented Housing (</w:t>
            </w:r>
            <w:r>
              <w:rPr>
                <w:b/>
              </w:rPr>
              <w:t>5-years)</w:t>
            </w:r>
          </w:p>
        </w:tc>
      </w:tr>
      <w:tr w:rsidR="001814CE" w14:paraId="29C8A896" w14:textId="77777777" w:rsidTr="00172F56">
        <w:trPr>
          <w:jc w:val="center"/>
        </w:trPr>
        <w:tc>
          <w:tcPr>
            <w:tcW w:w="4387" w:type="dxa"/>
          </w:tcPr>
          <w:p w14:paraId="0D1D319D" w14:textId="77777777" w:rsidR="001814CE" w:rsidRDefault="001814CE" w:rsidP="00172F56">
            <w:pPr>
              <w:pStyle w:val="11Bodytext"/>
              <w:keepNext/>
              <w:numPr>
                <w:ilvl w:val="0"/>
                <w:numId w:val="0"/>
              </w:numPr>
              <w:spacing w:before="60" w:after="60" w:line="300" w:lineRule="auto"/>
              <w:jc w:val="left"/>
              <w:rPr>
                <w:color w:val="auto"/>
              </w:rPr>
            </w:pPr>
          </w:p>
        </w:tc>
        <w:tc>
          <w:tcPr>
            <w:tcW w:w="1906" w:type="dxa"/>
            <w:vAlign w:val="center"/>
          </w:tcPr>
          <w:p w14:paraId="34050171" w14:textId="02F19EC5" w:rsidR="001814CE" w:rsidRDefault="001814CE" w:rsidP="00172F56">
            <w:pPr>
              <w:pStyle w:val="11Bodytext"/>
              <w:keepNext/>
              <w:numPr>
                <w:ilvl w:val="0"/>
                <w:numId w:val="0"/>
              </w:numPr>
              <w:spacing w:before="60" w:after="60" w:line="300" w:lineRule="auto"/>
              <w:jc w:val="center"/>
              <w:rPr>
                <w:color w:val="auto"/>
              </w:rPr>
            </w:pPr>
            <w:r>
              <w:rPr>
                <w:color w:val="auto"/>
              </w:rPr>
              <w:t>Total (5-years)</w:t>
            </w:r>
          </w:p>
        </w:tc>
        <w:tc>
          <w:tcPr>
            <w:tcW w:w="1906" w:type="dxa"/>
            <w:vAlign w:val="center"/>
          </w:tcPr>
          <w:p w14:paraId="3F1528BD" w14:textId="79FBACD1" w:rsidR="001814CE" w:rsidRDefault="001814CE" w:rsidP="00172F56">
            <w:pPr>
              <w:pStyle w:val="11Bodytext"/>
              <w:keepNext/>
              <w:numPr>
                <w:ilvl w:val="0"/>
                <w:numId w:val="0"/>
              </w:numPr>
              <w:spacing w:before="60" w:after="60" w:line="300" w:lineRule="auto"/>
              <w:jc w:val="center"/>
              <w:rPr>
                <w:color w:val="auto"/>
              </w:rPr>
            </w:pPr>
            <w:r>
              <w:rPr>
                <w:color w:val="auto"/>
              </w:rPr>
              <w:t>Per annum</w:t>
            </w:r>
          </w:p>
        </w:tc>
      </w:tr>
      <w:tr w:rsidR="001814CE" w14:paraId="2FE9679B" w14:textId="77777777" w:rsidTr="00172F56">
        <w:trPr>
          <w:jc w:val="center"/>
        </w:trPr>
        <w:tc>
          <w:tcPr>
            <w:tcW w:w="4387" w:type="dxa"/>
          </w:tcPr>
          <w:p w14:paraId="11F858BD" w14:textId="617EAE74" w:rsidR="001814CE" w:rsidRDefault="001814CE" w:rsidP="00172F56">
            <w:pPr>
              <w:pStyle w:val="11Bodytext"/>
              <w:keepNext/>
              <w:numPr>
                <w:ilvl w:val="0"/>
                <w:numId w:val="0"/>
              </w:numPr>
              <w:spacing w:before="0" w:after="0" w:line="300" w:lineRule="auto"/>
              <w:jc w:val="left"/>
              <w:rPr>
                <w:color w:val="auto"/>
              </w:rPr>
            </w:pPr>
            <w:r>
              <w:rPr>
                <w:color w:val="auto"/>
              </w:rPr>
              <w:t>Current need – existing households</w:t>
            </w:r>
          </w:p>
        </w:tc>
        <w:tc>
          <w:tcPr>
            <w:tcW w:w="1906" w:type="dxa"/>
            <w:vAlign w:val="center"/>
          </w:tcPr>
          <w:p w14:paraId="7F7100C1" w14:textId="4FB6326A" w:rsidR="001814CE" w:rsidRDefault="001814CE" w:rsidP="00172F56">
            <w:pPr>
              <w:pStyle w:val="11Bodytext"/>
              <w:keepNext/>
              <w:numPr>
                <w:ilvl w:val="0"/>
                <w:numId w:val="0"/>
              </w:numPr>
              <w:spacing w:before="0" w:after="0" w:line="300" w:lineRule="auto"/>
              <w:jc w:val="center"/>
              <w:rPr>
                <w:color w:val="auto"/>
              </w:rPr>
            </w:pPr>
            <w:r>
              <w:rPr>
                <w:color w:val="auto"/>
              </w:rPr>
              <w:t>692</w:t>
            </w:r>
          </w:p>
        </w:tc>
        <w:tc>
          <w:tcPr>
            <w:tcW w:w="1906" w:type="dxa"/>
            <w:vAlign w:val="bottom"/>
          </w:tcPr>
          <w:p w14:paraId="2D36F1DD" w14:textId="508BBD61" w:rsidR="001814CE" w:rsidRPr="001814CE" w:rsidRDefault="001814CE" w:rsidP="00172F56">
            <w:pPr>
              <w:pStyle w:val="11Bodytext"/>
              <w:keepNext/>
              <w:numPr>
                <w:ilvl w:val="0"/>
                <w:numId w:val="0"/>
              </w:numPr>
              <w:spacing w:before="0" w:after="0" w:line="300" w:lineRule="auto"/>
              <w:jc w:val="center"/>
              <w:rPr>
                <w:color w:val="auto"/>
              </w:rPr>
            </w:pPr>
            <w:r w:rsidRPr="00172F56">
              <w:t>138</w:t>
            </w:r>
          </w:p>
        </w:tc>
      </w:tr>
      <w:tr w:rsidR="001814CE" w14:paraId="32FE6671" w14:textId="77777777" w:rsidTr="00172F56">
        <w:trPr>
          <w:jc w:val="center"/>
        </w:trPr>
        <w:tc>
          <w:tcPr>
            <w:tcW w:w="4387" w:type="dxa"/>
          </w:tcPr>
          <w:p w14:paraId="28386141" w14:textId="7BAE3776" w:rsidR="001814CE" w:rsidRDefault="001814CE" w:rsidP="00172F56">
            <w:pPr>
              <w:pStyle w:val="11Bodytext"/>
              <w:keepNext/>
              <w:numPr>
                <w:ilvl w:val="0"/>
                <w:numId w:val="0"/>
              </w:numPr>
              <w:spacing w:before="0" w:after="0" w:line="300" w:lineRule="auto"/>
              <w:jc w:val="left"/>
              <w:rPr>
                <w:color w:val="auto"/>
              </w:rPr>
            </w:pPr>
            <w:r>
              <w:rPr>
                <w:color w:val="auto"/>
              </w:rPr>
              <w:t>Current need – homeless</w:t>
            </w:r>
          </w:p>
        </w:tc>
        <w:tc>
          <w:tcPr>
            <w:tcW w:w="1906" w:type="dxa"/>
            <w:vAlign w:val="center"/>
          </w:tcPr>
          <w:p w14:paraId="15F7BA15" w14:textId="21698466" w:rsidR="001814CE" w:rsidRDefault="001814CE" w:rsidP="00172F56">
            <w:pPr>
              <w:pStyle w:val="11Bodytext"/>
              <w:keepNext/>
              <w:numPr>
                <w:ilvl w:val="0"/>
                <w:numId w:val="0"/>
              </w:numPr>
              <w:spacing w:before="0" w:after="0" w:line="300" w:lineRule="auto"/>
              <w:jc w:val="center"/>
              <w:rPr>
                <w:color w:val="auto"/>
              </w:rPr>
            </w:pPr>
            <w:r>
              <w:rPr>
                <w:color w:val="auto"/>
              </w:rPr>
              <w:t>28</w:t>
            </w:r>
          </w:p>
        </w:tc>
        <w:tc>
          <w:tcPr>
            <w:tcW w:w="1906" w:type="dxa"/>
            <w:vAlign w:val="bottom"/>
          </w:tcPr>
          <w:p w14:paraId="5BAA6555" w14:textId="1BED0483" w:rsidR="001814CE" w:rsidRPr="001814CE" w:rsidRDefault="001814CE" w:rsidP="00172F56">
            <w:pPr>
              <w:pStyle w:val="11Bodytext"/>
              <w:keepNext/>
              <w:numPr>
                <w:ilvl w:val="0"/>
                <w:numId w:val="0"/>
              </w:numPr>
              <w:spacing w:before="0" w:after="0" w:line="300" w:lineRule="auto"/>
              <w:jc w:val="center"/>
              <w:rPr>
                <w:color w:val="auto"/>
              </w:rPr>
            </w:pPr>
            <w:r w:rsidRPr="00172F56">
              <w:t>6</w:t>
            </w:r>
          </w:p>
        </w:tc>
      </w:tr>
      <w:tr w:rsidR="001814CE" w:rsidRPr="001814CE" w14:paraId="4160D134" w14:textId="77777777" w:rsidTr="00172F56">
        <w:trPr>
          <w:jc w:val="center"/>
        </w:trPr>
        <w:tc>
          <w:tcPr>
            <w:tcW w:w="4387" w:type="dxa"/>
          </w:tcPr>
          <w:p w14:paraId="64ACBA7D" w14:textId="5E6B16C0" w:rsidR="001814CE" w:rsidRPr="00172F56" w:rsidRDefault="001814CE" w:rsidP="00172F56">
            <w:pPr>
              <w:pStyle w:val="11Bodytext"/>
              <w:keepNext/>
              <w:numPr>
                <w:ilvl w:val="0"/>
                <w:numId w:val="0"/>
              </w:numPr>
              <w:spacing w:before="0" w:after="0" w:line="300" w:lineRule="auto"/>
              <w:jc w:val="left"/>
              <w:rPr>
                <w:b/>
                <w:bCs w:val="0"/>
                <w:color w:val="auto"/>
              </w:rPr>
            </w:pPr>
            <w:r w:rsidRPr="00172F56">
              <w:rPr>
                <w:b/>
                <w:bCs w:val="0"/>
                <w:color w:val="auto"/>
              </w:rPr>
              <w:t>Total current need</w:t>
            </w:r>
          </w:p>
        </w:tc>
        <w:tc>
          <w:tcPr>
            <w:tcW w:w="1906" w:type="dxa"/>
            <w:vAlign w:val="center"/>
          </w:tcPr>
          <w:p w14:paraId="517B4B84" w14:textId="1074CB99" w:rsidR="001814CE" w:rsidRPr="00172F56" w:rsidRDefault="001814CE" w:rsidP="00172F56">
            <w:pPr>
              <w:pStyle w:val="11Bodytext"/>
              <w:keepNext/>
              <w:numPr>
                <w:ilvl w:val="0"/>
                <w:numId w:val="0"/>
              </w:numPr>
              <w:spacing w:before="0" w:after="0" w:line="300" w:lineRule="auto"/>
              <w:jc w:val="center"/>
              <w:rPr>
                <w:b/>
                <w:bCs w:val="0"/>
                <w:color w:val="auto"/>
              </w:rPr>
            </w:pPr>
            <w:r w:rsidRPr="00172F56">
              <w:rPr>
                <w:b/>
                <w:bCs w:val="0"/>
                <w:color w:val="auto"/>
              </w:rPr>
              <w:t>720</w:t>
            </w:r>
          </w:p>
        </w:tc>
        <w:tc>
          <w:tcPr>
            <w:tcW w:w="1906" w:type="dxa"/>
            <w:vAlign w:val="bottom"/>
          </w:tcPr>
          <w:p w14:paraId="020CD555" w14:textId="6ED2D9FF" w:rsidR="001814CE" w:rsidRPr="00172F56" w:rsidRDefault="001814CE" w:rsidP="00172F56">
            <w:pPr>
              <w:pStyle w:val="11Bodytext"/>
              <w:keepNext/>
              <w:numPr>
                <w:ilvl w:val="0"/>
                <w:numId w:val="0"/>
              </w:numPr>
              <w:spacing w:before="0" w:after="0" w:line="300" w:lineRule="auto"/>
              <w:jc w:val="center"/>
              <w:rPr>
                <w:b/>
                <w:bCs w:val="0"/>
                <w:color w:val="auto"/>
              </w:rPr>
            </w:pPr>
            <w:r w:rsidRPr="00172F56">
              <w:rPr>
                <w:b/>
                <w:bCs w:val="0"/>
              </w:rPr>
              <w:t>144</w:t>
            </w:r>
          </w:p>
        </w:tc>
      </w:tr>
      <w:tr w:rsidR="001814CE" w14:paraId="06AA24B1" w14:textId="77777777" w:rsidTr="00172F56">
        <w:trPr>
          <w:jc w:val="center"/>
        </w:trPr>
        <w:tc>
          <w:tcPr>
            <w:tcW w:w="4387" w:type="dxa"/>
          </w:tcPr>
          <w:p w14:paraId="3A46A1FE" w14:textId="3871BE0D" w:rsidR="001814CE" w:rsidRDefault="001814CE" w:rsidP="00172F56">
            <w:pPr>
              <w:pStyle w:val="11Bodytext"/>
              <w:keepNext/>
              <w:numPr>
                <w:ilvl w:val="0"/>
                <w:numId w:val="0"/>
              </w:numPr>
              <w:spacing w:before="0" w:after="0" w:line="300" w:lineRule="auto"/>
              <w:jc w:val="left"/>
              <w:rPr>
                <w:color w:val="auto"/>
              </w:rPr>
            </w:pPr>
            <w:r>
              <w:rPr>
                <w:color w:val="auto"/>
              </w:rPr>
              <w:t>Newly forming households</w:t>
            </w:r>
          </w:p>
        </w:tc>
        <w:tc>
          <w:tcPr>
            <w:tcW w:w="1906" w:type="dxa"/>
            <w:vAlign w:val="center"/>
          </w:tcPr>
          <w:p w14:paraId="42C15F8B" w14:textId="37C511EE" w:rsidR="001814CE" w:rsidRDefault="001814CE" w:rsidP="00172F56">
            <w:pPr>
              <w:pStyle w:val="11Bodytext"/>
              <w:keepNext/>
              <w:numPr>
                <w:ilvl w:val="0"/>
                <w:numId w:val="0"/>
              </w:numPr>
              <w:spacing w:before="0" w:after="0" w:line="300" w:lineRule="auto"/>
              <w:jc w:val="center"/>
              <w:rPr>
                <w:color w:val="auto"/>
              </w:rPr>
            </w:pPr>
            <w:r>
              <w:rPr>
                <w:color w:val="auto"/>
              </w:rPr>
              <w:t>2,797</w:t>
            </w:r>
          </w:p>
        </w:tc>
        <w:tc>
          <w:tcPr>
            <w:tcW w:w="1906" w:type="dxa"/>
            <w:vAlign w:val="bottom"/>
          </w:tcPr>
          <w:p w14:paraId="0F7B4246" w14:textId="2A02059F" w:rsidR="001814CE" w:rsidRPr="001814CE" w:rsidRDefault="001814CE" w:rsidP="00172F56">
            <w:pPr>
              <w:pStyle w:val="11Bodytext"/>
              <w:keepNext/>
              <w:numPr>
                <w:ilvl w:val="0"/>
                <w:numId w:val="0"/>
              </w:numPr>
              <w:spacing w:before="0" w:after="0" w:line="300" w:lineRule="auto"/>
              <w:jc w:val="center"/>
              <w:rPr>
                <w:color w:val="auto"/>
              </w:rPr>
            </w:pPr>
            <w:r w:rsidRPr="00172F56">
              <w:t>559</w:t>
            </w:r>
          </w:p>
        </w:tc>
      </w:tr>
      <w:tr w:rsidR="001814CE" w14:paraId="735EDA8D" w14:textId="77777777" w:rsidTr="00172F56">
        <w:trPr>
          <w:jc w:val="center"/>
        </w:trPr>
        <w:tc>
          <w:tcPr>
            <w:tcW w:w="4387" w:type="dxa"/>
          </w:tcPr>
          <w:p w14:paraId="484E42B0" w14:textId="50553AC8" w:rsidR="001814CE" w:rsidRDefault="001814CE" w:rsidP="00172F56">
            <w:pPr>
              <w:pStyle w:val="11Bodytext"/>
              <w:keepNext/>
              <w:numPr>
                <w:ilvl w:val="0"/>
                <w:numId w:val="0"/>
              </w:numPr>
              <w:spacing w:before="0" w:after="0" w:line="300" w:lineRule="auto"/>
              <w:jc w:val="left"/>
              <w:rPr>
                <w:color w:val="auto"/>
              </w:rPr>
            </w:pPr>
            <w:r>
              <w:rPr>
                <w:color w:val="auto"/>
              </w:rPr>
              <w:t>% unable to afford</w:t>
            </w:r>
          </w:p>
        </w:tc>
        <w:tc>
          <w:tcPr>
            <w:tcW w:w="1906" w:type="dxa"/>
            <w:vAlign w:val="center"/>
          </w:tcPr>
          <w:p w14:paraId="7D61301A" w14:textId="41F81ED5" w:rsidR="001814CE" w:rsidRDefault="001814CE" w:rsidP="00172F56">
            <w:pPr>
              <w:pStyle w:val="11Bodytext"/>
              <w:keepNext/>
              <w:numPr>
                <w:ilvl w:val="0"/>
                <w:numId w:val="0"/>
              </w:numPr>
              <w:spacing w:before="0" w:after="0" w:line="300" w:lineRule="auto"/>
              <w:jc w:val="center"/>
              <w:rPr>
                <w:color w:val="auto"/>
              </w:rPr>
            </w:pPr>
            <w:r>
              <w:rPr>
                <w:color w:val="auto"/>
              </w:rPr>
              <w:t>36.6%</w:t>
            </w:r>
          </w:p>
        </w:tc>
        <w:tc>
          <w:tcPr>
            <w:tcW w:w="1906" w:type="dxa"/>
            <w:vAlign w:val="bottom"/>
          </w:tcPr>
          <w:p w14:paraId="147F514E" w14:textId="0412EE0C" w:rsidR="001814CE" w:rsidRPr="001814CE" w:rsidRDefault="001814CE" w:rsidP="00172F56">
            <w:pPr>
              <w:pStyle w:val="11Bodytext"/>
              <w:keepNext/>
              <w:numPr>
                <w:ilvl w:val="0"/>
                <w:numId w:val="0"/>
              </w:numPr>
              <w:spacing w:before="0" w:after="0" w:line="300" w:lineRule="auto"/>
              <w:jc w:val="center"/>
              <w:rPr>
                <w:color w:val="auto"/>
              </w:rPr>
            </w:pPr>
            <w:r>
              <w:rPr>
                <w:color w:val="auto"/>
              </w:rPr>
              <w:t>36.6%</w:t>
            </w:r>
          </w:p>
        </w:tc>
      </w:tr>
      <w:tr w:rsidR="001814CE" w14:paraId="566DD67B" w14:textId="77777777" w:rsidTr="00172F56">
        <w:trPr>
          <w:jc w:val="center"/>
        </w:trPr>
        <w:tc>
          <w:tcPr>
            <w:tcW w:w="4387" w:type="dxa"/>
          </w:tcPr>
          <w:p w14:paraId="18F33C6D" w14:textId="3F708A69" w:rsidR="001814CE" w:rsidRDefault="001814CE" w:rsidP="00172F56">
            <w:pPr>
              <w:pStyle w:val="11Bodytext"/>
              <w:keepNext/>
              <w:numPr>
                <w:ilvl w:val="0"/>
                <w:numId w:val="0"/>
              </w:numPr>
              <w:spacing w:before="0" w:after="0" w:line="300" w:lineRule="auto"/>
              <w:jc w:val="left"/>
              <w:rPr>
                <w:color w:val="auto"/>
              </w:rPr>
            </w:pPr>
            <w:r>
              <w:rPr>
                <w:color w:val="auto"/>
              </w:rPr>
              <w:t>Newly forming households in need</w:t>
            </w:r>
          </w:p>
        </w:tc>
        <w:tc>
          <w:tcPr>
            <w:tcW w:w="1906" w:type="dxa"/>
            <w:vAlign w:val="center"/>
          </w:tcPr>
          <w:p w14:paraId="4661D5F9" w14:textId="4B01FB89" w:rsidR="001814CE" w:rsidRDefault="001814CE" w:rsidP="00172F56">
            <w:pPr>
              <w:pStyle w:val="11Bodytext"/>
              <w:keepNext/>
              <w:numPr>
                <w:ilvl w:val="0"/>
                <w:numId w:val="0"/>
              </w:numPr>
              <w:spacing w:before="0" w:after="0" w:line="300" w:lineRule="auto"/>
              <w:jc w:val="center"/>
              <w:rPr>
                <w:color w:val="auto"/>
              </w:rPr>
            </w:pPr>
            <w:r>
              <w:rPr>
                <w:color w:val="auto"/>
              </w:rPr>
              <w:t>1,024</w:t>
            </w:r>
          </w:p>
        </w:tc>
        <w:tc>
          <w:tcPr>
            <w:tcW w:w="1906" w:type="dxa"/>
            <w:vAlign w:val="bottom"/>
          </w:tcPr>
          <w:p w14:paraId="325A8A06" w14:textId="1BC23EC3" w:rsidR="001814CE" w:rsidRPr="001814CE" w:rsidRDefault="001814CE" w:rsidP="00172F56">
            <w:pPr>
              <w:pStyle w:val="11Bodytext"/>
              <w:keepNext/>
              <w:numPr>
                <w:ilvl w:val="0"/>
                <w:numId w:val="0"/>
              </w:numPr>
              <w:spacing w:before="0" w:after="0" w:line="300" w:lineRule="auto"/>
              <w:jc w:val="center"/>
              <w:rPr>
                <w:color w:val="auto"/>
              </w:rPr>
            </w:pPr>
            <w:r w:rsidRPr="00172F56">
              <w:t>205</w:t>
            </w:r>
          </w:p>
        </w:tc>
      </w:tr>
      <w:tr w:rsidR="001814CE" w14:paraId="12CD3503" w14:textId="77777777" w:rsidTr="00172F56">
        <w:trPr>
          <w:jc w:val="center"/>
        </w:trPr>
        <w:tc>
          <w:tcPr>
            <w:tcW w:w="4387" w:type="dxa"/>
          </w:tcPr>
          <w:p w14:paraId="1E3DDF1B" w14:textId="1CF2FF91" w:rsidR="001814CE" w:rsidRDefault="001814CE" w:rsidP="00172F56">
            <w:pPr>
              <w:pStyle w:val="11Bodytext"/>
              <w:keepNext/>
              <w:numPr>
                <w:ilvl w:val="0"/>
                <w:numId w:val="0"/>
              </w:numPr>
              <w:spacing w:before="0" w:after="0" w:line="300" w:lineRule="auto"/>
              <w:jc w:val="left"/>
              <w:rPr>
                <w:color w:val="auto"/>
              </w:rPr>
            </w:pPr>
            <w:r>
              <w:rPr>
                <w:color w:val="auto"/>
              </w:rPr>
              <w:t xml:space="preserve">Existing </w:t>
            </w:r>
            <w:r w:rsidR="00931AE7">
              <w:rPr>
                <w:color w:val="auto"/>
              </w:rPr>
              <w:t>households</w:t>
            </w:r>
            <w:r>
              <w:rPr>
                <w:color w:val="auto"/>
              </w:rPr>
              <w:t xml:space="preserve"> falling into need</w:t>
            </w:r>
          </w:p>
        </w:tc>
        <w:tc>
          <w:tcPr>
            <w:tcW w:w="1906" w:type="dxa"/>
            <w:vAlign w:val="center"/>
          </w:tcPr>
          <w:p w14:paraId="46A4CD60" w14:textId="3061579A" w:rsidR="001814CE" w:rsidRDefault="001814CE" w:rsidP="00172F56">
            <w:pPr>
              <w:pStyle w:val="11Bodytext"/>
              <w:keepNext/>
              <w:numPr>
                <w:ilvl w:val="0"/>
                <w:numId w:val="0"/>
              </w:numPr>
              <w:spacing w:before="0" w:after="0" w:line="300" w:lineRule="auto"/>
              <w:jc w:val="center"/>
              <w:rPr>
                <w:color w:val="auto"/>
              </w:rPr>
            </w:pPr>
            <w:r>
              <w:rPr>
                <w:color w:val="auto"/>
              </w:rPr>
              <w:t>1,165</w:t>
            </w:r>
          </w:p>
        </w:tc>
        <w:tc>
          <w:tcPr>
            <w:tcW w:w="1906" w:type="dxa"/>
            <w:vAlign w:val="bottom"/>
          </w:tcPr>
          <w:p w14:paraId="3B67A90D" w14:textId="05EE6DF9" w:rsidR="001814CE" w:rsidRPr="001814CE" w:rsidRDefault="001814CE" w:rsidP="00172F56">
            <w:pPr>
              <w:pStyle w:val="11Bodytext"/>
              <w:keepNext/>
              <w:numPr>
                <w:ilvl w:val="0"/>
                <w:numId w:val="0"/>
              </w:numPr>
              <w:spacing w:before="0" w:after="0" w:line="300" w:lineRule="auto"/>
              <w:jc w:val="center"/>
              <w:rPr>
                <w:color w:val="auto"/>
              </w:rPr>
            </w:pPr>
            <w:r w:rsidRPr="00172F56">
              <w:t>233</w:t>
            </w:r>
          </w:p>
        </w:tc>
      </w:tr>
      <w:tr w:rsidR="001814CE" w:rsidRPr="001814CE" w14:paraId="0E7323EA" w14:textId="77777777" w:rsidTr="00172F56">
        <w:trPr>
          <w:jc w:val="center"/>
        </w:trPr>
        <w:tc>
          <w:tcPr>
            <w:tcW w:w="4387" w:type="dxa"/>
          </w:tcPr>
          <w:p w14:paraId="79D5C075" w14:textId="75CA7FF8" w:rsidR="001814CE" w:rsidRPr="00172F56" w:rsidRDefault="001814CE" w:rsidP="00172F56">
            <w:pPr>
              <w:pStyle w:val="11Bodytext"/>
              <w:keepNext/>
              <w:numPr>
                <w:ilvl w:val="0"/>
                <w:numId w:val="0"/>
              </w:numPr>
              <w:spacing w:before="0" w:after="0" w:line="300" w:lineRule="auto"/>
              <w:jc w:val="left"/>
              <w:rPr>
                <w:b/>
                <w:bCs w:val="0"/>
                <w:color w:val="auto"/>
              </w:rPr>
            </w:pPr>
            <w:r w:rsidRPr="00172F56">
              <w:rPr>
                <w:b/>
                <w:bCs w:val="0"/>
                <w:color w:val="auto"/>
              </w:rPr>
              <w:t>Total future need</w:t>
            </w:r>
          </w:p>
        </w:tc>
        <w:tc>
          <w:tcPr>
            <w:tcW w:w="1906" w:type="dxa"/>
            <w:vAlign w:val="center"/>
          </w:tcPr>
          <w:p w14:paraId="1845383A" w14:textId="0773DD2E" w:rsidR="001814CE" w:rsidRPr="00172F56" w:rsidRDefault="001814CE" w:rsidP="00172F56">
            <w:pPr>
              <w:pStyle w:val="11Bodytext"/>
              <w:keepNext/>
              <w:numPr>
                <w:ilvl w:val="0"/>
                <w:numId w:val="0"/>
              </w:numPr>
              <w:spacing w:before="0" w:after="0" w:line="300" w:lineRule="auto"/>
              <w:jc w:val="center"/>
              <w:rPr>
                <w:b/>
                <w:bCs w:val="0"/>
                <w:color w:val="auto"/>
              </w:rPr>
            </w:pPr>
            <w:r w:rsidRPr="001814CE">
              <w:rPr>
                <w:b/>
                <w:bCs w:val="0"/>
                <w:color w:val="auto"/>
              </w:rPr>
              <w:t>2,189</w:t>
            </w:r>
          </w:p>
        </w:tc>
        <w:tc>
          <w:tcPr>
            <w:tcW w:w="1906" w:type="dxa"/>
            <w:vAlign w:val="bottom"/>
          </w:tcPr>
          <w:p w14:paraId="328AB5F4" w14:textId="26FDA69A" w:rsidR="001814CE" w:rsidRPr="00172F56" w:rsidRDefault="001814CE" w:rsidP="00172F56">
            <w:pPr>
              <w:pStyle w:val="11Bodytext"/>
              <w:keepNext/>
              <w:numPr>
                <w:ilvl w:val="0"/>
                <w:numId w:val="0"/>
              </w:numPr>
              <w:spacing w:before="0" w:after="0" w:line="300" w:lineRule="auto"/>
              <w:jc w:val="center"/>
              <w:rPr>
                <w:b/>
                <w:bCs w:val="0"/>
                <w:color w:val="auto"/>
              </w:rPr>
            </w:pPr>
            <w:r w:rsidRPr="00172F56">
              <w:rPr>
                <w:b/>
                <w:bCs w:val="0"/>
              </w:rPr>
              <w:t>438</w:t>
            </w:r>
          </w:p>
        </w:tc>
      </w:tr>
      <w:tr w:rsidR="001814CE" w:rsidRPr="001814CE" w14:paraId="0DD612E7" w14:textId="77777777" w:rsidTr="00172F56">
        <w:trPr>
          <w:jc w:val="center"/>
        </w:trPr>
        <w:tc>
          <w:tcPr>
            <w:tcW w:w="4387" w:type="dxa"/>
          </w:tcPr>
          <w:p w14:paraId="7A67FD00" w14:textId="6BE7993D" w:rsidR="001814CE" w:rsidRPr="00172F56" w:rsidRDefault="001814CE" w:rsidP="00172F56">
            <w:pPr>
              <w:pStyle w:val="11Bodytext"/>
              <w:keepNext/>
              <w:numPr>
                <w:ilvl w:val="0"/>
                <w:numId w:val="0"/>
              </w:numPr>
              <w:spacing w:before="0" w:after="0" w:line="300" w:lineRule="auto"/>
              <w:jc w:val="left"/>
              <w:rPr>
                <w:color w:val="auto"/>
                <w:u w:val="single"/>
              </w:rPr>
            </w:pPr>
            <w:r w:rsidRPr="00172F56">
              <w:rPr>
                <w:color w:val="auto"/>
                <w:u w:val="single"/>
              </w:rPr>
              <w:t>TOTAL GROSS NEED</w:t>
            </w:r>
          </w:p>
        </w:tc>
        <w:tc>
          <w:tcPr>
            <w:tcW w:w="1906" w:type="dxa"/>
            <w:vAlign w:val="center"/>
          </w:tcPr>
          <w:p w14:paraId="0261D9FF" w14:textId="5A7461BE" w:rsidR="001814CE" w:rsidRPr="00172F56" w:rsidRDefault="001814CE" w:rsidP="00172F56">
            <w:pPr>
              <w:pStyle w:val="11Bodytext"/>
              <w:keepNext/>
              <w:numPr>
                <w:ilvl w:val="0"/>
                <w:numId w:val="0"/>
              </w:numPr>
              <w:spacing w:before="0" w:after="0" w:line="300" w:lineRule="auto"/>
              <w:jc w:val="center"/>
              <w:rPr>
                <w:color w:val="auto"/>
                <w:u w:val="single"/>
              </w:rPr>
            </w:pPr>
            <w:r w:rsidRPr="001814CE">
              <w:rPr>
                <w:color w:val="auto"/>
                <w:u w:val="single"/>
              </w:rPr>
              <w:t>2,909</w:t>
            </w:r>
          </w:p>
        </w:tc>
        <w:tc>
          <w:tcPr>
            <w:tcW w:w="1906" w:type="dxa"/>
            <w:vAlign w:val="bottom"/>
          </w:tcPr>
          <w:p w14:paraId="7EF4BBD0" w14:textId="6BED1DD0" w:rsidR="001814CE" w:rsidRPr="00172F56" w:rsidRDefault="001814CE" w:rsidP="00172F56">
            <w:pPr>
              <w:pStyle w:val="11Bodytext"/>
              <w:keepNext/>
              <w:numPr>
                <w:ilvl w:val="0"/>
                <w:numId w:val="0"/>
              </w:numPr>
              <w:spacing w:before="0" w:after="0" w:line="300" w:lineRule="auto"/>
              <w:jc w:val="center"/>
              <w:rPr>
                <w:color w:val="auto"/>
                <w:u w:val="single"/>
              </w:rPr>
            </w:pPr>
            <w:r w:rsidRPr="00172F56">
              <w:rPr>
                <w:u w:val="single"/>
              </w:rPr>
              <w:t>582</w:t>
            </w:r>
          </w:p>
        </w:tc>
      </w:tr>
      <w:tr w:rsidR="001814CE" w14:paraId="1F0E16E7" w14:textId="77777777" w:rsidTr="00172F56">
        <w:trPr>
          <w:jc w:val="center"/>
        </w:trPr>
        <w:tc>
          <w:tcPr>
            <w:tcW w:w="4387" w:type="dxa"/>
          </w:tcPr>
          <w:p w14:paraId="5AEE3CA9" w14:textId="5E235613" w:rsidR="001814CE" w:rsidRDefault="001814CE" w:rsidP="00172F56">
            <w:pPr>
              <w:pStyle w:val="11Bodytext"/>
              <w:keepNext/>
              <w:numPr>
                <w:ilvl w:val="0"/>
                <w:numId w:val="0"/>
              </w:numPr>
              <w:spacing w:before="0" w:after="0" w:line="300" w:lineRule="auto"/>
              <w:jc w:val="left"/>
              <w:rPr>
                <w:color w:val="auto"/>
              </w:rPr>
            </w:pPr>
            <w:r>
              <w:rPr>
                <w:color w:val="auto"/>
              </w:rPr>
              <w:t xml:space="preserve">Supply from existing tenants </w:t>
            </w:r>
            <w:r w:rsidR="00931AE7">
              <w:rPr>
                <w:color w:val="auto"/>
              </w:rPr>
              <w:t>releasing</w:t>
            </w:r>
            <w:r>
              <w:rPr>
                <w:color w:val="auto"/>
              </w:rPr>
              <w:t xml:space="preserve"> homes</w:t>
            </w:r>
          </w:p>
        </w:tc>
        <w:tc>
          <w:tcPr>
            <w:tcW w:w="1906" w:type="dxa"/>
            <w:vAlign w:val="center"/>
          </w:tcPr>
          <w:p w14:paraId="009A0860" w14:textId="6C766748" w:rsidR="001814CE" w:rsidRDefault="001814CE" w:rsidP="00172F56">
            <w:pPr>
              <w:pStyle w:val="11Bodytext"/>
              <w:keepNext/>
              <w:numPr>
                <w:ilvl w:val="0"/>
                <w:numId w:val="0"/>
              </w:numPr>
              <w:spacing w:before="0" w:after="0" w:line="300" w:lineRule="auto"/>
              <w:jc w:val="center"/>
              <w:rPr>
                <w:color w:val="auto"/>
              </w:rPr>
            </w:pPr>
            <w:r>
              <w:rPr>
                <w:color w:val="auto"/>
              </w:rPr>
              <w:t>193</w:t>
            </w:r>
          </w:p>
        </w:tc>
        <w:tc>
          <w:tcPr>
            <w:tcW w:w="1906" w:type="dxa"/>
            <w:vAlign w:val="bottom"/>
          </w:tcPr>
          <w:p w14:paraId="303FEA59" w14:textId="029D936D" w:rsidR="001814CE" w:rsidRPr="001814CE" w:rsidRDefault="001814CE" w:rsidP="00172F56">
            <w:pPr>
              <w:pStyle w:val="11Bodytext"/>
              <w:keepNext/>
              <w:numPr>
                <w:ilvl w:val="0"/>
                <w:numId w:val="0"/>
              </w:numPr>
              <w:spacing w:before="0" w:after="0" w:line="300" w:lineRule="auto"/>
              <w:jc w:val="center"/>
              <w:rPr>
                <w:color w:val="auto"/>
              </w:rPr>
            </w:pPr>
            <w:r w:rsidRPr="00172F56">
              <w:t>39</w:t>
            </w:r>
          </w:p>
        </w:tc>
      </w:tr>
      <w:tr w:rsidR="001814CE" w14:paraId="6FD1D04B" w14:textId="77777777" w:rsidTr="00172F56">
        <w:trPr>
          <w:jc w:val="center"/>
        </w:trPr>
        <w:tc>
          <w:tcPr>
            <w:tcW w:w="4387" w:type="dxa"/>
          </w:tcPr>
          <w:p w14:paraId="3DF3C65C" w14:textId="3328B875" w:rsidR="001814CE" w:rsidRDefault="001814CE" w:rsidP="00172F56">
            <w:pPr>
              <w:pStyle w:val="11Bodytext"/>
              <w:keepNext/>
              <w:numPr>
                <w:ilvl w:val="0"/>
                <w:numId w:val="0"/>
              </w:numPr>
              <w:spacing w:before="0" w:after="0" w:line="300" w:lineRule="auto"/>
              <w:jc w:val="left"/>
              <w:rPr>
                <w:color w:val="auto"/>
              </w:rPr>
            </w:pPr>
            <w:r>
              <w:rPr>
                <w:color w:val="auto"/>
              </w:rPr>
              <w:t>Supply from relets</w:t>
            </w:r>
          </w:p>
        </w:tc>
        <w:tc>
          <w:tcPr>
            <w:tcW w:w="1906" w:type="dxa"/>
            <w:vAlign w:val="center"/>
          </w:tcPr>
          <w:p w14:paraId="4C0D978E" w14:textId="409B8559" w:rsidR="001814CE" w:rsidRDefault="004D38AB" w:rsidP="00172F56">
            <w:pPr>
              <w:pStyle w:val="11Bodytext"/>
              <w:keepNext/>
              <w:numPr>
                <w:ilvl w:val="0"/>
                <w:numId w:val="0"/>
              </w:numPr>
              <w:spacing w:before="0" w:after="0" w:line="300" w:lineRule="auto"/>
              <w:jc w:val="center"/>
              <w:rPr>
                <w:color w:val="auto"/>
              </w:rPr>
            </w:pPr>
            <w:r>
              <w:rPr>
                <w:color w:val="auto"/>
              </w:rPr>
              <w:t>625</w:t>
            </w:r>
          </w:p>
        </w:tc>
        <w:tc>
          <w:tcPr>
            <w:tcW w:w="1906" w:type="dxa"/>
            <w:vAlign w:val="bottom"/>
          </w:tcPr>
          <w:p w14:paraId="407BFE26" w14:textId="15008C74" w:rsidR="001814CE" w:rsidRPr="001814CE" w:rsidRDefault="004D38AB" w:rsidP="00172F56">
            <w:pPr>
              <w:pStyle w:val="11Bodytext"/>
              <w:keepNext/>
              <w:numPr>
                <w:ilvl w:val="0"/>
                <w:numId w:val="0"/>
              </w:numPr>
              <w:spacing w:before="0" w:after="0" w:line="300" w:lineRule="auto"/>
              <w:jc w:val="center"/>
              <w:rPr>
                <w:color w:val="auto"/>
              </w:rPr>
            </w:pPr>
            <w:r>
              <w:t>125</w:t>
            </w:r>
          </w:p>
        </w:tc>
      </w:tr>
      <w:tr w:rsidR="001814CE" w:rsidRPr="001814CE" w14:paraId="174789D1" w14:textId="77777777" w:rsidTr="00172F56">
        <w:trPr>
          <w:jc w:val="center"/>
        </w:trPr>
        <w:tc>
          <w:tcPr>
            <w:tcW w:w="4387" w:type="dxa"/>
          </w:tcPr>
          <w:p w14:paraId="2A3780DC" w14:textId="754E50CF" w:rsidR="001814CE" w:rsidRPr="00172F56" w:rsidRDefault="001814CE" w:rsidP="00172F56">
            <w:pPr>
              <w:pStyle w:val="11Bodytext"/>
              <w:keepNext/>
              <w:numPr>
                <w:ilvl w:val="0"/>
                <w:numId w:val="0"/>
              </w:numPr>
              <w:spacing w:before="0" w:after="0" w:line="300" w:lineRule="auto"/>
              <w:jc w:val="left"/>
              <w:rPr>
                <w:b/>
                <w:bCs w:val="0"/>
                <w:color w:val="auto"/>
              </w:rPr>
            </w:pPr>
            <w:r w:rsidRPr="00172F56">
              <w:rPr>
                <w:b/>
                <w:bCs w:val="0"/>
                <w:color w:val="auto"/>
              </w:rPr>
              <w:t>Total Supply</w:t>
            </w:r>
          </w:p>
        </w:tc>
        <w:tc>
          <w:tcPr>
            <w:tcW w:w="1906" w:type="dxa"/>
            <w:vAlign w:val="center"/>
          </w:tcPr>
          <w:p w14:paraId="2E57416E" w14:textId="2F0970D9" w:rsidR="001814CE" w:rsidRPr="00172F56" w:rsidRDefault="004D38AB" w:rsidP="00172F56">
            <w:pPr>
              <w:pStyle w:val="11Bodytext"/>
              <w:keepNext/>
              <w:numPr>
                <w:ilvl w:val="0"/>
                <w:numId w:val="0"/>
              </w:numPr>
              <w:spacing w:before="0" w:after="0" w:line="300" w:lineRule="auto"/>
              <w:jc w:val="center"/>
              <w:rPr>
                <w:b/>
                <w:bCs w:val="0"/>
                <w:color w:val="auto"/>
              </w:rPr>
            </w:pPr>
            <w:r>
              <w:rPr>
                <w:b/>
                <w:bCs w:val="0"/>
                <w:color w:val="auto"/>
              </w:rPr>
              <w:t>818</w:t>
            </w:r>
          </w:p>
        </w:tc>
        <w:tc>
          <w:tcPr>
            <w:tcW w:w="1906" w:type="dxa"/>
            <w:vAlign w:val="bottom"/>
          </w:tcPr>
          <w:p w14:paraId="6475D3B4" w14:textId="57376561" w:rsidR="001814CE" w:rsidRPr="00172F56" w:rsidRDefault="001814CE" w:rsidP="00172F56">
            <w:pPr>
              <w:pStyle w:val="11Bodytext"/>
              <w:keepNext/>
              <w:numPr>
                <w:ilvl w:val="0"/>
                <w:numId w:val="0"/>
              </w:numPr>
              <w:spacing w:before="0" w:after="0" w:line="300" w:lineRule="auto"/>
              <w:jc w:val="center"/>
              <w:rPr>
                <w:b/>
                <w:bCs w:val="0"/>
                <w:color w:val="auto"/>
              </w:rPr>
            </w:pPr>
            <w:r w:rsidRPr="00172F56">
              <w:rPr>
                <w:b/>
                <w:bCs w:val="0"/>
              </w:rPr>
              <w:t>1</w:t>
            </w:r>
            <w:r w:rsidR="004D38AB">
              <w:rPr>
                <w:b/>
                <w:bCs w:val="0"/>
              </w:rPr>
              <w:t>64</w:t>
            </w:r>
          </w:p>
        </w:tc>
      </w:tr>
      <w:tr w:rsidR="001814CE" w:rsidRPr="001814CE" w14:paraId="445818F8" w14:textId="77777777" w:rsidTr="00172F56">
        <w:trPr>
          <w:jc w:val="center"/>
        </w:trPr>
        <w:tc>
          <w:tcPr>
            <w:tcW w:w="4387" w:type="dxa"/>
          </w:tcPr>
          <w:p w14:paraId="4DCE98A5" w14:textId="74462741" w:rsidR="001814CE" w:rsidRPr="00172F56" w:rsidRDefault="001814CE" w:rsidP="00172F56">
            <w:pPr>
              <w:pStyle w:val="11Bodytext"/>
              <w:keepNext/>
              <w:numPr>
                <w:ilvl w:val="0"/>
                <w:numId w:val="0"/>
              </w:numPr>
              <w:spacing w:before="0" w:after="0" w:line="300" w:lineRule="auto"/>
              <w:jc w:val="left"/>
              <w:rPr>
                <w:color w:val="auto"/>
                <w:u w:val="single"/>
              </w:rPr>
            </w:pPr>
            <w:r w:rsidRPr="00172F56">
              <w:rPr>
                <w:color w:val="auto"/>
                <w:u w:val="single"/>
              </w:rPr>
              <w:t>TOTAL NET NEED</w:t>
            </w:r>
          </w:p>
        </w:tc>
        <w:tc>
          <w:tcPr>
            <w:tcW w:w="1906" w:type="dxa"/>
            <w:vAlign w:val="center"/>
          </w:tcPr>
          <w:p w14:paraId="09C2CE7B" w14:textId="16CE4D9C" w:rsidR="001814CE" w:rsidRPr="00172F56" w:rsidRDefault="001814CE" w:rsidP="00172F56">
            <w:pPr>
              <w:pStyle w:val="11Bodytext"/>
              <w:keepNext/>
              <w:numPr>
                <w:ilvl w:val="0"/>
                <w:numId w:val="0"/>
              </w:numPr>
              <w:spacing w:before="0" w:after="0" w:line="300" w:lineRule="auto"/>
              <w:jc w:val="center"/>
              <w:rPr>
                <w:color w:val="auto"/>
                <w:u w:val="single"/>
              </w:rPr>
            </w:pPr>
            <w:r w:rsidRPr="001814CE">
              <w:rPr>
                <w:color w:val="auto"/>
                <w:u w:val="single"/>
              </w:rPr>
              <w:t>2,</w:t>
            </w:r>
            <w:r w:rsidR="004D38AB">
              <w:rPr>
                <w:color w:val="auto"/>
                <w:u w:val="single"/>
              </w:rPr>
              <w:t>091</w:t>
            </w:r>
          </w:p>
        </w:tc>
        <w:tc>
          <w:tcPr>
            <w:tcW w:w="1906" w:type="dxa"/>
            <w:vAlign w:val="bottom"/>
          </w:tcPr>
          <w:p w14:paraId="117804AD" w14:textId="41EF5249" w:rsidR="001814CE" w:rsidRPr="00172F56" w:rsidRDefault="001814CE" w:rsidP="00172F56">
            <w:pPr>
              <w:pStyle w:val="11Bodytext"/>
              <w:keepNext/>
              <w:numPr>
                <w:ilvl w:val="0"/>
                <w:numId w:val="0"/>
              </w:numPr>
              <w:spacing w:before="0" w:after="0" w:line="300" w:lineRule="auto"/>
              <w:jc w:val="center"/>
              <w:rPr>
                <w:color w:val="auto"/>
                <w:u w:val="single"/>
              </w:rPr>
            </w:pPr>
            <w:r w:rsidRPr="00172F56">
              <w:rPr>
                <w:u w:val="single"/>
              </w:rPr>
              <w:t>4</w:t>
            </w:r>
            <w:r w:rsidR="004D38AB">
              <w:rPr>
                <w:u w:val="single"/>
              </w:rPr>
              <w:t>18</w:t>
            </w:r>
          </w:p>
        </w:tc>
      </w:tr>
    </w:tbl>
    <w:p w14:paraId="67676D07" w14:textId="77777777" w:rsidR="0014104A" w:rsidRDefault="0014104A" w:rsidP="00172F56">
      <w:pPr>
        <w:spacing w:line="300" w:lineRule="auto"/>
        <w:jc w:val="center"/>
        <w:rPr>
          <w:rFonts w:ascii="Arial" w:hAnsi="Arial" w:cs="Arial"/>
          <w:sz w:val="20"/>
          <w:szCs w:val="20"/>
        </w:rPr>
      </w:pPr>
      <w:r>
        <w:rPr>
          <w:rFonts w:ascii="Arial" w:hAnsi="Arial" w:cs="Arial"/>
          <w:sz w:val="20"/>
          <w:szCs w:val="20"/>
        </w:rPr>
        <w:t>Source: Range of sources, including household survey</w:t>
      </w:r>
    </w:p>
    <w:p w14:paraId="525B47D7" w14:textId="5807B7F7" w:rsidR="001814CE" w:rsidRDefault="001814CE" w:rsidP="001814CE">
      <w:pPr>
        <w:pStyle w:val="11Bodytext"/>
        <w:numPr>
          <w:ilvl w:val="0"/>
          <w:numId w:val="0"/>
        </w:numPr>
        <w:spacing w:before="0" w:after="0" w:line="300" w:lineRule="auto"/>
        <w:rPr>
          <w:color w:val="auto"/>
        </w:rPr>
      </w:pPr>
    </w:p>
    <w:p w14:paraId="30BE8292" w14:textId="1AD5B698" w:rsidR="0007167E" w:rsidRPr="00EF0970" w:rsidRDefault="001814CE">
      <w:pPr>
        <w:pStyle w:val="11Bodytext"/>
        <w:numPr>
          <w:ilvl w:val="1"/>
          <w:numId w:val="76"/>
        </w:numPr>
        <w:spacing w:before="0" w:after="0" w:line="300" w:lineRule="auto"/>
        <w:ind w:left="720" w:hanging="720"/>
        <w:rPr>
          <w:color w:val="auto"/>
        </w:rPr>
      </w:pPr>
      <w:r>
        <w:t>The table below shows the same information (slightly summarised) by sub-area – an affordable need is seen in all sub-areas. In summarising the data (when compared with the table above) the main difference is that the supply from tenants releasing homes has been removed as part of calculating the current need – this has no impact on estimates of net need</w:t>
      </w:r>
      <w:r w:rsidR="00727DFB">
        <w:t>.</w:t>
      </w:r>
      <w:r>
        <w:t xml:space="preserve"> </w:t>
      </w:r>
      <w:r w:rsidR="00727DFB">
        <w:t>N</w:t>
      </w:r>
      <w:r w:rsidR="0007167E">
        <w:t>et need is calculated as follows:</w:t>
      </w:r>
    </w:p>
    <w:p w14:paraId="037F3824" w14:textId="77777777" w:rsidR="00EF0970" w:rsidRPr="00EF0970" w:rsidRDefault="00EF0970" w:rsidP="00172F56">
      <w:pPr>
        <w:pStyle w:val="11Bodytext"/>
        <w:numPr>
          <w:ilvl w:val="0"/>
          <w:numId w:val="0"/>
        </w:numPr>
        <w:spacing w:before="0" w:after="0" w:line="300" w:lineRule="auto"/>
        <w:rPr>
          <w:color w:val="auto"/>
        </w:rPr>
      </w:pPr>
    </w:p>
    <w:p w14:paraId="17A3E30C" w14:textId="13CAB1E0" w:rsidR="0007167E" w:rsidRDefault="0007167E" w:rsidP="00177D13">
      <w:pPr>
        <w:pStyle w:val="BodyText"/>
        <w:tabs>
          <w:tab w:val="left" w:pos="720"/>
        </w:tabs>
        <w:spacing w:after="0" w:line="300" w:lineRule="auto"/>
        <w:ind w:left="720" w:right="720"/>
        <w:jc w:val="center"/>
        <w:rPr>
          <w:rFonts w:cs="Arial"/>
          <w:b/>
        </w:rPr>
      </w:pPr>
      <w:r w:rsidRPr="008D4A27">
        <w:rPr>
          <w:rFonts w:cs="Arial"/>
          <w:b/>
        </w:rPr>
        <w:t>Net Need = Current Need + Need from Newly-Forming Households + Existing Households falling into Need – Supply of Affordable Housing</w:t>
      </w:r>
    </w:p>
    <w:p w14:paraId="63133F18" w14:textId="77777777" w:rsidR="00EF0970" w:rsidRPr="00EF0970" w:rsidRDefault="00EF0970" w:rsidP="00172F56">
      <w:pPr>
        <w:pStyle w:val="BodyText"/>
        <w:tabs>
          <w:tab w:val="left" w:pos="720"/>
        </w:tabs>
        <w:spacing w:after="0" w:line="300" w:lineRule="auto"/>
        <w:ind w:right="720"/>
        <w:jc w:val="both"/>
        <w:rPr>
          <w:rFonts w:cs="Arial"/>
          <w:bCs/>
        </w:rPr>
      </w:pPr>
    </w:p>
    <w:tbl>
      <w:tblPr>
        <w:tblStyle w:val="TableGridLight10"/>
        <w:tblW w:w="5000" w:type="pct"/>
        <w:jc w:val="center"/>
        <w:tblLayout w:type="fixed"/>
        <w:tblLook w:val="04A0" w:firstRow="1" w:lastRow="0" w:firstColumn="1" w:lastColumn="0" w:noHBand="0" w:noVBand="1"/>
      </w:tblPr>
      <w:tblGrid>
        <w:gridCol w:w="1705"/>
        <w:gridCol w:w="1319"/>
        <w:gridCol w:w="1321"/>
        <w:gridCol w:w="1321"/>
        <w:gridCol w:w="1320"/>
        <w:gridCol w:w="1321"/>
        <w:gridCol w:w="1321"/>
      </w:tblGrid>
      <w:tr w:rsidR="009E6992" w:rsidRPr="009E6992" w14:paraId="3A600886" w14:textId="77777777" w:rsidTr="008469E3">
        <w:trPr>
          <w:jc w:val="center"/>
        </w:trPr>
        <w:tc>
          <w:tcPr>
            <w:tcW w:w="9628" w:type="dxa"/>
            <w:gridSpan w:val="7"/>
          </w:tcPr>
          <w:p w14:paraId="489294B7" w14:textId="15DAD5E6" w:rsidR="009E6992" w:rsidRPr="009E6992" w:rsidRDefault="009E6992" w:rsidP="0014104A">
            <w:pPr>
              <w:pStyle w:val="BodyText"/>
              <w:tabs>
                <w:tab w:val="left" w:pos="720"/>
              </w:tabs>
              <w:spacing w:before="60" w:after="60" w:line="300" w:lineRule="auto"/>
              <w:jc w:val="center"/>
              <w:rPr>
                <w:rFonts w:cs="Arial"/>
                <w:b/>
                <w:bCs/>
              </w:rPr>
            </w:pPr>
            <w:r w:rsidRPr="009E6992">
              <w:rPr>
                <w:rFonts w:cs="Arial"/>
                <w:b/>
                <w:bCs/>
              </w:rPr>
              <w:t>Figure 3.</w:t>
            </w:r>
            <w:r w:rsidR="00AD29A6">
              <w:rPr>
                <w:rFonts w:cs="Arial"/>
                <w:b/>
                <w:bCs/>
              </w:rPr>
              <w:t>12</w:t>
            </w:r>
            <w:r w:rsidRPr="009E6992">
              <w:rPr>
                <w:rFonts w:cs="Arial"/>
                <w:b/>
                <w:bCs/>
              </w:rPr>
              <w:t>: Estimated Need for Social/Affordable Rented Housing by sub-area (</w:t>
            </w:r>
            <w:r w:rsidR="001814CE">
              <w:rPr>
                <w:rFonts w:cs="Arial"/>
                <w:b/>
                <w:bCs/>
              </w:rPr>
              <w:t>5-years</w:t>
            </w:r>
            <w:r>
              <w:rPr>
                <w:rFonts w:cs="Arial"/>
                <w:b/>
                <w:bCs/>
              </w:rPr>
              <w:t>)</w:t>
            </w:r>
          </w:p>
        </w:tc>
      </w:tr>
      <w:tr w:rsidR="0007167E" w:rsidRPr="008D4A27" w14:paraId="71EBCF48" w14:textId="77777777" w:rsidTr="009E6992">
        <w:trPr>
          <w:jc w:val="center"/>
        </w:trPr>
        <w:tc>
          <w:tcPr>
            <w:tcW w:w="1705" w:type="dxa"/>
          </w:tcPr>
          <w:p w14:paraId="04C27C8F" w14:textId="77777777" w:rsidR="0007167E" w:rsidRPr="008D4A27" w:rsidRDefault="0007167E" w:rsidP="0014104A">
            <w:pPr>
              <w:pStyle w:val="BodyText"/>
              <w:tabs>
                <w:tab w:val="left" w:pos="720"/>
              </w:tabs>
              <w:spacing w:after="0" w:line="300" w:lineRule="auto"/>
              <w:rPr>
                <w:rFonts w:cs="Arial"/>
                <w:b/>
              </w:rPr>
            </w:pPr>
          </w:p>
        </w:tc>
        <w:tc>
          <w:tcPr>
            <w:tcW w:w="1319" w:type="dxa"/>
            <w:hideMark/>
          </w:tcPr>
          <w:p w14:paraId="34313BBD" w14:textId="77777777" w:rsidR="0007167E" w:rsidRPr="008D4A27" w:rsidRDefault="0007167E" w:rsidP="0014104A">
            <w:pPr>
              <w:pStyle w:val="BodyText"/>
              <w:tabs>
                <w:tab w:val="left" w:pos="720"/>
              </w:tabs>
              <w:spacing w:after="0" w:line="300" w:lineRule="auto"/>
              <w:jc w:val="center"/>
              <w:rPr>
                <w:rFonts w:cs="Arial"/>
              </w:rPr>
            </w:pPr>
            <w:r w:rsidRPr="008D4A27">
              <w:rPr>
                <w:rFonts w:cs="Arial"/>
              </w:rPr>
              <w:t>Current need</w:t>
            </w:r>
          </w:p>
        </w:tc>
        <w:tc>
          <w:tcPr>
            <w:tcW w:w="1321" w:type="dxa"/>
            <w:hideMark/>
          </w:tcPr>
          <w:p w14:paraId="5FCD8791" w14:textId="074C8B36" w:rsidR="0007167E" w:rsidRPr="008D4A27" w:rsidRDefault="0007167E" w:rsidP="0014104A">
            <w:pPr>
              <w:pStyle w:val="BodyText"/>
              <w:tabs>
                <w:tab w:val="left" w:pos="720"/>
              </w:tabs>
              <w:spacing w:after="0" w:line="300" w:lineRule="auto"/>
              <w:jc w:val="center"/>
              <w:rPr>
                <w:rFonts w:cs="Arial"/>
              </w:rPr>
            </w:pPr>
            <w:r w:rsidRPr="008D4A27">
              <w:rPr>
                <w:rFonts w:cs="Arial"/>
              </w:rPr>
              <w:t>Newly forming households</w:t>
            </w:r>
          </w:p>
        </w:tc>
        <w:tc>
          <w:tcPr>
            <w:tcW w:w="1321" w:type="dxa"/>
            <w:hideMark/>
          </w:tcPr>
          <w:p w14:paraId="6AD6B192" w14:textId="1E854201" w:rsidR="0007167E" w:rsidRPr="008D4A27" w:rsidRDefault="0007167E" w:rsidP="0014104A">
            <w:pPr>
              <w:pStyle w:val="BodyText"/>
              <w:tabs>
                <w:tab w:val="left" w:pos="720"/>
              </w:tabs>
              <w:spacing w:after="0" w:line="300" w:lineRule="auto"/>
              <w:jc w:val="center"/>
              <w:rPr>
                <w:rFonts w:cs="Arial"/>
              </w:rPr>
            </w:pPr>
            <w:r w:rsidRPr="008D4A27">
              <w:rPr>
                <w:rFonts w:cs="Arial"/>
              </w:rPr>
              <w:t>Existing households falling into need</w:t>
            </w:r>
          </w:p>
        </w:tc>
        <w:tc>
          <w:tcPr>
            <w:tcW w:w="1320" w:type="dxa"/>
            <w:hideMark/>
          </w:tcPr>
          <w:p w14:paraId="49671D75" w14:textId="77777777" w:rsidR="0007167E" w:rsidRPr="008D4A27" w:rsidRDefault="0007167E" w:rsidP="0014104A">
            <w:pPr>
              <w:pStyle w:val="BodyText"/>
              <w:tabs>
                <w:tab w:val="left" w:pos="720"/>
              </w:tabs>
              <w:spacing w:after="0" w:line="300" w:lineRule="auto"/>
              <w:jc w:val="center"/>
              <w:rPr>
                <w:rFonts w:cs="Arial"/>
              </w:rPr>
            </w:pPr>
            <w:r w:rsidRPr="008D4A27">
              <w:rPr>
                <w:rFonts w:cs="Arial"/>
              </w:rPr>
              <w:t>Total Gross Need</w:t>
            </w:r>
          </w:p>
        </w:tc>
        <w:tc>
          <w:tcPr>
            <w:tcW w:w="1321" w:type="dxa"/>
            <w:hideMark/>
          </w:tcPr>
          <w:p w14:paraId="13E1EF3E" w14:textId="71C7069C" w:rsidR="0007167E" w:rsidRPr="008D4A27" w:rsidRDefault="0007167E" w:rsidP="0014104A">
            <w:pPr>
              <w:pStyle w:val="BodyText"/>
              <w:tabs>
                <w:tab w:val="left" w:pos="720"/>
              </w:tabs>
              <w:spacing w:after="0" w:line="300" w:lineRule="auto"/>
              <w:jc w:val="center"/>
              <w:rPr>
                <w:rFonts w:cs="Arial"/>
              </w:rPr>
            </w:pPr>
            <w:r w:rsidRPr="008D4A27">
              <w:rPr>
                <w:rFonts w:cs="Arial"/>
              </w:rPr>
              <w:t>Relet Supply</w:t>
            </w:r>
          </w:p>
        </w:tc>
        <w:tc>
          <w:tcPr>
            <w:tcW w:w="1321" w:type="dxa"/>
            <w:hideMark/>
          </w:tcPr>
          <w:p w14:paraId="5DA3D9EA" w14:textId="77777777" w:rsidR="0007167E" w:rsidRPr="008D4A27" w:rsidRDefault="0007167E" w:rsidP="0014104A">
            <w:pPr>
              <w:pStyle w:val="BodyText"/>
              <w:tabs>
                <w:tab w:val="left" w:pos="720"/>
              </w:tabs>
              <w:spacing w:after="0" w:line="300" w:lineRule="auto"/>
              <w:jc w:val="center"/>
              <w:rPr>
                <w:rFonts w:cs="Arial"/>
              </w:rPr>
            </w:pPr>
            <w:r w:rsidRPr="008D4A27">
              <w:rPr>
                <w:rFonts w:cs="Arial"/>
              </w:rPr>
              <w:t>Net Need</w:t>
            </w:r>
          </w:p>
        </w:tc>
      </w:tr>
      <w:tr w:rsidR="004D38AB" w:rsidRPr="008D4A27" w14:paraId="60668886" w14:textId="77777777" w:rsidTr="00172F56">
        <w:trPr>
          <w:jc w:val="center"/>
        </w:trPr>
        <w:tc>
          <w:tcPr>
            <w:tcW w:w="1705" w:type="dxa"/>
          </w:tcPr>
          <w:p w14:paraId="7E7BDEDC" w14:textId="152EF9D4" w:rsidR="004D38AB" w:rsidRPr="008D4A27" w:rsidRDefault="004D38AB" w:rsidP="004D38AB">
            <w:pPr>
              <w:pStyle w:val="BodyText"/>
              <w:tabs>
                <w:tab w:val="left" w:pos="720"/>
              </w:tabs>
              <w:spacing w:after="0" w:line="300" w:lineRule="auto"/>
              <w:rPr>
                <w:rFonts w:cs="Arial"/>
              </w:rPr>
            </w:pPr>
            <w:r>
              <w:rPr>
                <w:rFonts w:cs="Arial"/>
                <w:color w:val="000000"/>
              </w:rPr>
              <w:t>St. Annes</w:t>
            </w:r>
          </w:p>
        </w:tc>
        <w:tc>
          <w:tcPr>
            <w:tcW w:w="1319" w:type="dxa"/>
            <w:vAlign w:val="bottom"/>
          </w:tcPr>
          <w:p w14:paraId="712198BA" w14:textId="732CB171" w:rsidR="004D38AB" w:rsidRPr="001814CE" w:rsidRDefault="004D38AB" w:rsidP="004D38AB">
            <w:pPr>
              <w:pStyle w:val="BodyText"/>
              <w:tabs>
                <w:tab w:val="left" w:pos="720"/>
              </w:tabs>
              <w:spacing w:after="0" w:line="300" w:lineRule="auto"/>
              <w:jc w:val="center"/>
              <w:rPr>
                <w:rFonts w:cs="Arial"/>
              </w:rPr>
            </w:pPr>
            <w:r>
              <w:rPr>
                <w:rFonts w:cs="Arial"/>
                <w:color w:val="000000"/>
              </w:rPr>
              <w:t>222</w:t>
            </w:r>
          </w:p>
        </w:tc>
        <w:tc>
          <w:tcPr>
            <w:tcW w:w="1321" w:type="dxa"/>
            <w:vAlign w:val="bottom"/>
          </w:tcPr>
          <w:p w14:paraId="30ED0CAF" w14:textId="61EC7EAB" w:rsidR="004D38AB" w:rsidRPr="001814CE" w:rsidRDefault="004D38AB" w:rsidP="004D38AB">
            <w:pPr>
              <w:pStyle w:val="BodyText"/>
              <w:tabs>
                <w:tab w:val="left" w:pos="720"/>
              </w:tabs>
              <w:spacing w:after="0" w:line="300" w:lineRule="auto"/>
              <w:jc w:val="center"/>
              <w:rPr>
                <w:rFonts w:cs="Arial"/>
              </w:rPr>
            </w:pPr>
            <w:r>
              <w:rPr>
                <w:rFonts w:cs="Arial"/>
                <w:color w:val="000000"/>
              </w:rPr>
              <w:t>312</w:t>
            </w:r>
          </w:p>
        </w:tc>
        <w:tc>
          <w:tcPr>
            <w:tcW w:w="1321" w:type="dxa"/>
            <w:vAlign w:val="bottom"/>
          </w:tcPr>
          <w:p w14:paraId="110C6BD2" w14:textId="2C0D2F95" w:rsidR="004D38AB" w:rsidRPr="001814CE" w:rsidRDefault="004D38AB" w:rsidP="004D38AB">
            <w:pPr>
              <w:pStyle w:val="BodyText"/>
              <w:tabs>
                <w:tab w:val="left" w:pos="720"/>
              </w:tabs>
              <w:spacing w:after="0" w:line="300" w:lineRule="auto"/>
              <w:jc w:val="center"/>
              <w:rPr>
                <w:rFonts w:cs="Arial"/>
              </w:rPr>
            </w:pPr>
            <w:r>
              <w:rPr>
                <w:rFonts w:cs="Arial"/>
                <w:color w:val="000000"/>
              </w:rPr>
              <w:t>328</w:t>
            </w:r>
          </w:p>
        </w:tc>
        <w:tc>
          <w:tcPr>
            <w:tcW w:w="1320" w:type="dxa"/>
            <w:vAlign w:val="bottom"/>
          </w:tcPr>
          <w:p w14:paraId="24910D64" w14:textId="12669F43" w:rsidR="004D38AB" w:rsidRPr="001814CE" w:rsidRDefault="004D38AB" w:rsidP="004D38AB">
            <w:pPr>
              <w:pStyle w:val="BodyText"/>
              <w:tabs>
                <w:tab w:val="left" w:pos="720"/>
              </w:tabs>
              <w:spacing w:after="0" w:line="300" w:lineRule="auto"/>
              <w:jc w:val="center"/>
              <w:rPr>
                <w:rFonts w:cs="Arial"/>
              </w:rPr>
            </w:pPr>
            <w:r>
              <w:rPr>
                <w:rFonts w:cs="Arial"/>
                <w:color w:val="000000"/>
              </w:rPr>
              <w:t>861</w:t>
            </w:r>
          </w:p>
        </w:tc>
        <w:tc>
          <w:tcPr>
            <w:tcW w:w="1321" w:type="dxa"/>
            <w:vAlign w:val="bottom"/>
          </w:tcPr>
          <w:p w14:paraId="6BBB6E59" w14:textId="28CECAF9" w:rsidR="004D38AB" w:rsidRPr="001814CE" w:rsidRDefault="004D38AB" w:rsidP="004D38AB">
            <w:pPr>
              <w:pStyle w:val="BodyText"/>
              <w:tabs>
                <w:tab w:val="left" w:pos="720"/>
              </w:tabs>
              <w:spacing w:after="0" w:line="300" w:lineRule="auto"/>
              <w:jc w:val="center"/>
              <w:rPr>
                <w:rFonts w:cs="Arial"/>
              </w:rPr>
            </w:pPr>
            <w:r>
              <w:rPr>
                <w:rFonts w:cs="Arial"/>
                <w:color w:val="000000"/>
              </w:rPr>
              <w:t>160</w:t>
            </w:r>
          </w:p>
        </w:tc>
        <w:tc>
          <w:tcPr>
            <w:tcW w:w="1321" w:type="dxa"/>
            <w:vAlign w:val="bottom"/>
          </w:tcPr>
          <w:p w14:paraId="10852EF1" w14:textId="54F02C20" w:rsidR="004D38AB" w:rsidRPr="001814CE" w:rsidRDefault="004D38AB" w:rsidP="004D38AB">
            <w:pPr>
              <w:pStyle w:val="BodyText"/>
              <w:tabs>
                <w:tab w:val="left" w:pos="720"/>
              </w:tabs>
              <w:spacing w:after="0" w:line="300" w:lineRule="auto"/>
              <w:jc w:val="center"/>
              <w:rPr>
                <w:rFonts w:cs="Arial"/>
              </w:rPr>
            </w:pPr>
            <w:r>
              <w:rPr>
                <w:rFonts w:cs="Arial"/>
                <w:color w:val="000000"/>
              </w:rPr>
              <w:t>701</w:t>
            </w:r>
          </w:p>
        </w:tc>
      </w:tr>
      <w:tr w:rsidR="004D38AB" w:rsidRPr="008D4A27" w14:paraId="42248BC9" w14:textId="77777777" w:rsidTr="00172F56">
        <w:trPr>
          <w:jc w:val="center"/>
        </w:trPr>
        <w:tc>
          <w:tcPr>
            <w:tcW w:w="1705" w:type="dxa"/>
          </w:tcPr>
          <w:p w14:paraId="589066A1" w14:textId="77777777" w:rsidR="004D38AB" w:rsidRPr="008D4A27" w:rsidRDefault="004D38AB" w:rsidP="004D38AB">
            <w:pPr>
              <w:pStyle w:val="BodyText"/>
              <w:tabs>
                <w:tab w:val="left" w:pos="720"/>
              </w:tabs>
              <w:spacing w:after="0" w:line="300" w:lineRule="auto"/>
              <w:rPr>
                <w:rFonts w:cs="Arial"/>
              </w:rPr>
            </w:pPr>
            <w:r w:rsidRPr="008D4A27">
              <w:rPr>
                <w:rFonts w:cs="Arial"/>
                <w:color w:val="000000"/>
              </w:rPr>
              <w:t>Lytham</w:t>
            </w:r>
          </w:p>
        </w:tc>
        <w:tc>
          <w:tcPr>
            <w:tcW w:w="1319" w:type="dxa"/>
            <w:vAlign w:val="bottom"/>
          </w:tcPr>
          <w:p w14:paraId="36BE022F" w14:textId="634DCCD3" w:rsidR="004D38AB" w:rsidRPr="001814CE" w:rsidRDefault="004D38AB" w:rsidP="004D38AB">
            <w:pPr>
              <w:pStyle w:val="BodyText"/>
              <w:tabs>
                <w:tab w:val="left" w:pos="720"/>
              </w:tabs>
              <w:spacing w:after="0" w:line="300" w:lineRule="auto"/>
              <w:jc w:val="center"/>
              <w:rPr>
                <w:rFonts w:cs="Arial"/>
              </w:rPr>
            </w:pPr>
            <w:r>
              <w:rPr>
                <w:rFonts w:cs="Arial"/>
                <w:color w:val="000000"/>
              </w:rPr>
              <w:t>137</w:t>
            </w:r>
          </w:p>
        </w:tc>
        <w:tc>
          <w:tcPr>
            <w:tcW w:w="1321" w:type="dxa"/>
            <w:vAlign w:val="bottom"/>
          </w:tcPr>
          <w:p w14:paraId="32669ACB" w14:textId="3215BCEF" w:rsidR="004D38AB" w:rsidRPr="001814CE" w:rsidRDefault="004D38AB" w:rsidP="004D38AB">
            <w:pPr>
              <w:pStyle w:val="BodyText"/>
              <w:tabs>
                <w:tab w:val="left" w:pos="720"/>
              </w:tabs>
              <w:spacing w:after="0" w:line="300" w:lineRule="auto"/>
              <w:jc w:val="center"/>
              <w:rPr>
                <w:rFonts w:cs="Arial"/>
              </w:rPr>
            </w:pPr>
            <w:r>
              <w:rPr>
                <w:rFonts w:cs="Arial"/>
                <w:color w:val="000000"/>
              </w:rPr>
              <w:t>306</w:t>
            </w:r>
          </w:p>
        </w:tc>
        <w:tc>
          <w:tcPr>
            <w:tcW w:w="1321" w:type="dxa"/>
            <w:vAlign w:val="bottom"/>
          </w:tcPr>
          <w:p w14:paraId="254D2FCB" w14:textId="57BBCBA1" w:rsidR="004D38AB" w:rsidRPr="001814CE" w:rsidRDefault="004D38AB" w:rsidP="004D38AB">
            <w:pPr>
              <w:pStyle w:val="BodyText"/>
              <w:tabs>
                <w:tab w:val="left" w:pos="720"/>
              </w:tabs>
              <w:spacing w:after="0" w:line="300" w:lineRule="auto"/>
              <w:jc w:val="center"/>
              <w:rPr>
                <w:rFonts w:cs="Arial"/>
              </w:rPr>
            </w:pPr>
            <w:r>
              <w:rPr>
                <w:rFonts w:cs="Arial"/>
                <w:color w:val="000000"/>
              </w:rPr>
              <w:t>395</w:t>
            </w:r>
          </w:p>
        </w:tc>
        <w:tc>
          <w:tcPr>
            <w:tcW w:w="1320" w:type="dxa"/>
            <w:vAlign w:val="bottom"/>
          </w:tcPr>
          <w:p w14:paraId="1D2F549E" w14:textId="6FE48979" w:rsidR="004D38AB" w:rsidRPr="001814CE" w:rsidRDefault="004D38AB" w:rsidP="004D38AB">
            <w:pPr>
              <w:pStyle w:val="BodyText"/>
              <w:tabs>
                <w:tab w:val="left" w:pos="720"/>
              </w:tabs>
              <w:spacing w:after="0" w:line="300" w:lineRule="auto"/>
              <w:jc w:val="center"/>
              <w:rPr>
                <w:rFonts w:cs="Arial"/>
              </w:rPr>
            </w:pPr>
            <w:r>
              <w:rPr>
                <w:rFonts w:cs="Arial"/>
                <w:color w:val="000000"/>
              </w:rPr>
              <w:t>838</w:t>
            </w:r>
          </w:p>
        </w:tc>
        <w:tc>
          <w:tcPr>
            <w:tcW w:w="1321" w:type="dxa"/>
            <w:vAlign w:val="bottom"/>
          </w:tcPr>
          <w:p w14:paraId="3BCDEB05" w14:textId="5A5FB720" w:rsidR="004D38AB" w:rsidRPr="001814CE" w:rsidRDefault="004D38AB" w:rsidP="004D38AB">
            <w:pPr>
              <w:pStyle w:val="BodyText"/>
              <w:tabs>
                <w:tab w:val="left" w:pos="720"/>
              </w:tabs>
              <w:spacing w:after="0" w:line="300" w:lineRule="auto"/>
              <w:jc w:val="center"/>
              <w:rPr>
                <w:rFonts w:cs="Arial"/>
              </w:rPr>
            </w:pPr>
            <w:r>
              <w:rPr>
                <w:rFonts w:cs="Arial"/>
                <w:color w:val="000000"/>
              </w:rPr>
              <w:t>90</w:t>
            </w:r>
          </w:p>
        </w:tc>
        <w:tc>
          <w:tcPr>
            <w:tcW w:w="1321" w:type="dxa"/>
            <w:vAlign w:val="bottom"/>
          </w:tcPr>
          <w:p w14:paraId="65BDEC71" w14:textId="3B663771" w:rsidR="004D38AB" w:rsidRPr="001814CE" w:rsidRDefault="004D38AB" w:rsidP="004D38AB">
            <w:pPr>
              <w:pStyle w:val="BodyText"/>
              <w:tabs>
                <w:tab w:val="left" w:pos="720"/>
              </w:tabs>
              <w:spacing w:after="0" w:line="300" w:lineRule="auto"/>
              <w:jc w:val="center"/>
              <w:rPr>
                <w:rFonts w:cs="Arial"/>
              </w:rPr>
            </w:pPr>
            <w:r>
              <w:rPr>
                <w:rFonts w:cs="Arial"/>
                <w:color w:val="000000"/>
              </w:rPr>
              <w:t>748</w:t>
            </w:r>
          </w:p>
        </w:tc>
      </w:tr>
      <w:tr w:rsidR="004D38AB" w:rsidRPr="008D4A27" w14:paraId="67C94D37" w14:textId="77777777" w:rsidTr="00172F56">
        <w:trPr>
          <w:jc w:val="center"/>
        </w:trPr>
        <w:tc>
          <w:tcPr>
            <w:tcW w:w="1705" w:type="dxa"/>
          </w:tcPr>
          <w:p w14:paraId="0F13649B" w14:textId="77777777" w:rsidR="004D38AB" w:rsidRPr="008D4A27" w:rsidRDefault="004D38AB" w:rsidP="004D38AB">
            <w:pPr>
              <w:pStyle w:val="BodyText"/>
              <w:tabs>
                <w:tab w:val="left" w:pos="720"/>
              </w:tabs>
              <w:spacing w:after="0" w:line="300" w:lineRule="auto"/>
              <w:rPr>
                <w:rFonts w:cs="Arial"/>
              </w:rPr>
            </w:pPr>
            <w:r w:rsidRPr="008D4A27">
              <w:rPr>
                <w:rFonts w:cs="Arial"/>
                <w:color w:val="000000"/>
              </w:rPr>
              <w:t>Warton</w:t>
            </w:r>
          </w:p>
        </w:tc>
        <w:tc>
          <w:tcPr>
            <w:tcW w:w="1319" w:type="dxa"/>
            <w:vAlign w:val="bottom"/>
          </w:tcPr>
          <w:p w14:paraId="760745D4" w14:textId="010BD058" w:rsidR="004D38AB" w:rsidRPr="001814CE" w:rsidRDefault="004D38AB" w:rsidP="004D38AB">
            <w:pPr>
              <w:pStyle w:val="BodyText"/>
              <w:tabs>
                <w:tab w:val="left" w:pos="720"/>
              </w:tabs>
              <w:spacing w:after="0" w:line="300" w:lineRule="auto"/>
              <w:jc w:val="center"/>
              <w:rPr>
                <w:rFonts w:cs="Arial"/>
              </w:rPr>
            </w:pPr>
            <w:r>
              <w:rPr>
                <w:rFonts w:cs="Arial"/>
                <w:color w:val="000000"/>
              </w:rPr>
              <w:t>38</w:t>
            </w:r>
          </w:p>
        </w:tc>
        <w:tc>
          <w:tcPr>
            <w:tcW w:w="1321" w:type="dxa"/>
            <w:vAlign w:val="bottom"/>
          </w:tcPr>
          <w:p w14:paraId="100EC6B6" w14:textId="05BA51D7" w:rsidR="004D38AB" w:rsidRPr="001814CE" w:rsidRDefault="004D38AB" w:rsidP="004D38AB">
            <w:pPr>
              <w:pStyle w:val="BodyText"/>
              <w:tabs>
                <w:tab w:val="left" w:pos="720"/>
              </w:tabs>
              <w:spacing w:after="0" w:line="300" w:lineRule="auto"/>
              <w:jc w:val="center"/>
              <w:rPr>
                <w:rFonts w:cs="Arial"/>
              </w:rPr>
            </w:pPr>
            <w:r>
              <w:rPr>
                <w:rFonts w:cs="Arial"/>
                <w:color w:val="000000"/>
              </w:rPr>
              <w:t>51</w:t>
            </w:r>
          </w:p>
        </w:tc>
        <w:tc>
          <w:tcPr>
            <w:tcW w:w="1321" w:type="dxa"/>
            <w:vAlign w:val="bottom"/>
          </w:tcPr>
          <w:p w14:paraId="21E9EECA" w14:textId="23BD4329" w:rsidR="004D38AB" w:rsidRPr="001814CE" w:rsidRDefault="004D38AB" w:rsidP="004D38AB">
            <w:pPr>
              <w:pStyle w:val="BodyText"/>
              <w:tabs>
                <w:tab w:val="left" w:pos="720"/>
              </w:tabs>
              <w:spacing w:after="0" w:line="300" w:lineRule="auto"/>
              <w:jc w:val="center"/>
              <w:rPr>
                <w:rFonts w:cs="Arial"/>
              </w:rPr>
            </w:pPr>
            <w:r>
              <w:rPr>
                <w:rFonts w:cs="Arial"/>
                <w:color w:val="000000"/>
              </w:rPr>
              <w:t>101</w:t>
            </w:r>
          </w:p>
        </w:tc>
        <w:tc>
          <w:tcPr>
            <w:tcW w:w="1320" w:type="dxa"/>
            <w:vAlign w:val="bottom"/>
          </w:tcPr>
          <w:p w14:paraId="267A777A" w14:textId="0904E849" w:rsidR="004D38AB" w:rsidRPr="001814CE" w:rsidRDefault="004D38AB" w:rsidP="004D38AB">
            <w:pPr>
              <w:pStyle w:val="BodyText"/>
              <w:tabs>
                <w:tab w:val="left" w:pos="720"/>
              </w:tabs>
              <w:spacing w:after="0" w:line="300" w:lineRule="auto"/>
              <w:jc w:val="center"/>
              <w:rPr>
                <w:rFonts w:cs="Arial"/>
              </w:rPr>
            </w:pPr>
            <w:r>
              <w:rPr>
                <w:rFonts w:cs="Arial"/>
                <w:color w:val="000000"/>
              </w:rPr>
              <w:t>190</w:t>
            </w:r>
          </w:p>
        </w:tc>
        <w:tc>
          <w:tcPr>
            <w:tcW w:w="1321" w:type="dxa"/>
            <w:vAlign w:val="bottom"/>
          </w:tcPr>
          <w:p w14:paraId="434650B9" w14:textId="3F8539AC" w:rsidR="004D38AB" w:rsidRPr="001814CE" w:rsidRDefault="004D38AB" w:rsidP="004D38AB">
            <w:pPr>
              <w:pStyle w:val="BodyText"/>
              <w:tabs>
                <w:tab w:val="left" w:pos="720"/>
              </w:tabs>
              <w:spacing w:after="0" w:line="300" w:lineRule="auto"/>
              <w:jc w:val="center"/>
              <w:rPr>
                <w:rFonts w:cs="Arial"/>
              </w:rPr>
            </w:pPr>
            <w:r>
              <w:rPr>
                <w:rFonts w:cs="Arial"/>
                <w:color w:val="000000"/>
              </w:rPr>
              <w:t>55</w:t>
            </w:r>
          </w:p>
        </w:tc>
        <w:tc>
          <w:tcPr>
            <w:tcW w:w="1321" w:type="dxa"/>
            <w:vAlign w:val="bottom"/>
          </w:tcPr>
          <w:p w14:paraId="7B939508" w14:textId="76F492C9" w:rsidR="004D38AB" w:rsidRPr="001814CE" w:rsidRDefault="004D38AB" w:rsidP="004D38AB">
            <w:pPr>
              <w:pStyle w:val="BodyText"/>
              <w:tabs>
                <w:tab w:val="left" w:pos="720"/>
              </w:tabs>
              <w:spacing w:after="0" w:line="300" w:lineRule="auto"/>
              <w:jc w:val="center"/>
              <w:rPr>
                <w:rFonts w:cs="Arial"/>
              </w:rPr>
            </w:pPr>
            <w:r>
              <w:rPr>
                <w:rFonts w:cs="Arial"/>
                <w:color w:val="000000"/>
              </w:rPr>
              <w:t>135</w:t>
            </w:r>
          </w:p>
        </w:tc>
      </w:tr>
      <w:tr w:rsidR="004D38AB" w:rsidRPr="008D4A27" w14:paraId="3E0961A2" w14:textId="77777777" w:rsidTr="00172F56">
        <w:trPr>
          <w:jc w:val="center"/>
        </w:trPr>
        <w:tc>
          <w:tcPr>
            <w:tcW w:w="1705" w:type="dxa"/>
          </w:tcPr>
          <w:p w14:paraId="30A413D1" w14:textId="77777777" w:rsidR="004D38AB" w:rsidRPr="008D4A27" w:rsidRDefault="004D38AB" w:rsidP="004D38AB">
            <w:pPr>
              <w:pStyle w:val="BodyText"/>
              <w:tabs>
                <w:tab w:val="left" w:pos="720"/>
              </w:tabs>
              <w:spacing w:after="0" w:line="300" w:lineRule="auto"/>
              <w:rPr>
                <w:rFonts w:cs="Arial"/>
              </w:rPr>
            </w:pPr>
            <w:r w:rsidRPr="008D4A27">
              <w:rPr>
                <w:rFonts w:cs="Arial"/>
                <w:color w:val="000000"/>
              </w:rPr>
              <w:t>FB Periphery</w:t>
            </w:r>
          </w:p>
        </w:tc>
        <w:tc>
          <w:tcPr>
            <w:tcW w:w="1319" w:type="dxa"/>
            <w:vAlign w:val="bottom"/>
          </w:tcPr>
          <w:p w14:paraId="219914CA" w14:textId="4247572E" w:rsidR="004D38AB" w:rsidRPr="001814CE" w:rsidRDefault="004D38AB" w:rsidP="004D38AB">
            <w:pPr>
              <w:pStyle w:val="BodyText"/>
              <w:tabs>
                <w:tab w:val="left" w:pos="720"/>
              </w:tabs>
              <w:spacing w:after="0" w:line="300" w:lineRule="auto"/>
              <w:jc w:val="center"/>
              <w:rPr>
                <w:rFonts w:cs="Arial"/>
              </w:rPr>
            </w:pPr>
            <w:r>
              <w:rPr>
                <w:rFonts w:cs="Arial"/>
                <w:color w:val="000000"/>
              </w:rPr>
              <w:t>20</w:t>
            </w:r>
          </w:p>
        </w:tc>
        <w:tc>
          <w:tcPr>
            <w:tcW w:w="1321" w:type="dxa"/>
            <w:vAlign w:val="bottom"/>
          </w:tcPr>
          <w:p w14:paraId="08BF5763" w14:textId="7EFF5989" w:rsidR="004D38AB" w:rsidRPr="001814CE" w:rsidRDefault="004D38AB" w:rsidP="004D38AB">
            <w:pPr>
              <w:pStyle w:val="BodyText"/>
              <w:tabs>
                <w:tab w:val="left" w:pos="720"/>
              </w:tabs>
              <w:spacing w:after="0" w:line="300" w:lineRule="auto"/>
              <w:jc w:val="center"/>
              <w:rPr>
                <w:rFonts w:cs="Arial"/>
              </w:rPr>
            </w:pPr>
            <w:r>
              <w:rPr>
                <w:rFonts w:cs="Arial"/>
                <w:color w:val="000000"/>
              </w:rPr>
              <w:t>5</w:t>
            </w:r>
          </w:p>
        </w:tc>
        <w:tc>
          <w:tcPr>
            <w:tcW w:w="1321" w:type="dxa"/>
            <w:vAlign w:val="bottom"/>
          </w:tcPr>
          <w:p w14:paraId="2F8827D0" w14:textId="12FAE9DD" w:rsidR="004D38AB" w:rsidRPr="001814CE" w:rsidRDefault="004D38AB" w:rsidP="004D38AB">
            <w:pPr>
              <w:pStyle w:val="BodyText"/>
              <w:tabs>
                <w:tab w:val="left" w:pos="720"/>
              </w:tabs>
              <w:spacing w:after="0" w:line="300" w:lineRule="auto"/>
              <w:jc w:val="center"/>
              <w:rPr>
                <w:rFonts w:cs="Arial"/>
              </w:rPr>
            </w:pPr>
            <w:r>
              <w:rPr>
                <w:rFonts w:cs="Arial"/>
                <w:color w:val="000000"/>
              </w:rPr>
              <w:t>79</w:t>
            </w:r>
          </w:p>
        </w:tc>
        <w:tc>
          <w:tcPr>
            <w:tcW w:w="1320" w:type="dxa"/>
            <w:vAlign w:val="bottom"/>
          </w:tcPr>
          <w:p w14:paraId="156C2EE8" w14:textId="46676B28" w:rsidR="004D38AB" w:rsidRPr="001814CE" w:rsidRDefault="004D38AB" w:rsidP="004D38AB">
            <w:pPr>
              <w:pStyle w:val="BodyText"/>
              <w:tabs>
                <w:tab w:val="left" w:pos="720"/>
              </w:tabs>
              <w:spacing w:after="0" w:line="300" w:lineRule="auto"/>
              <w:jc w:val="center"/>
              <w:rPr>
                <w:rFonts w:cs="Arial"/>
              </w:rPr>
            </w:pPr>
            <w:r>
              <w:rPr>
                <w:rFonts w:cs="Arial"/>
                <w:color w:val="000000"/>
              </w:rPr>
              <w:t>105</w:t>
            </w:r>
          </w:p>
        </w:tc>
        <w:tc>
          <w:tcPr>
            <w:tcW w:w="1321" w:type="dxa"/>
            <w:vAlign w:val="bottom"/>
          </w:tcPr>
          <w:p w14:paraId="725033AC" w14:textId="30EE0370" w:rsidR="004D38AB" w:rsidRPr="001814CE" w:rsidRDefault="004D38AB" w:rsidP="004D38AB">
            <w:pPr>
              <w:pStyle w:val="BodyText"/>
              <w:tabs>
                <w:tab w:val="left" w:pos="720"/>
              </w:tabs>
              <w:spacing w:after="0" w:line="300" w:lineRule="auto"/>
              <w:jc w:val="center"/>
              <w:rPr>
                <w:rFonts w:cs="Arial"/>
              </w:rPr>
            </w:pPr>
            <w:r>
              <w:rPr>
                <w:rFonts w:cs="Arial"/>
                <w:color w:val="000000"/>
              </w:rPr>
              <w:t>40</w:t>
            </w:r>
          </w:p>
        </w:tc>
        <w:tc>
          <w:tcPr>
            <w:tcW w:w="1321" w:type="dxa"/>
            <w:vAlign w:val="bottom"/>
          </w:tcPr>
          <w:p w14:paraId="09DB52EF" w14:textId="39DA6F4B" w:rsidR="004D38AB" w:rsidRPr="001814CE" w:rsidRDefault="004D38AB" w:rsidP="004D38AB">
            <w:pPr>
              <w:pStyle w:val="BodyText"/>
              <w:tabs>
                <w:tab w:val="left" w:pos="720"/>
              </w:tabs>
              <w:spacing w:after="0" w:line="300" w:lineRule="auto"/>
              <w:jc w:val="center"/>
              <w:rPr>
                <w:rFonts w:cs="Arial"/>
              </w:rPr>
            </w:pPr>
            <w:r>
              <w:rPr>
                <w:rFonts w:cs="Arial"/>
                <w:color w:val="000000"/>
              </w:rPr>
              <w:t>65</w:t>
            </w:r>
          </w:p>
        </w:tc>
      </w:tr>
      <w:tr w:rsidR="004D38AB" w:rsidRPr="008D4A27" w14:paraId="729C416D" w14:textId="77777777" w:rsidTr="00172F56">
        <w:trPr>
          <w:jc w:val="center"/>
        </w:trPr>
        <w:tc>
          <w:tcPr>
            <w:tcW w:w="1705" w:type="dxa"/>
          </w:tcPr>
          <w:p w14:paraId="08F35048" w14:textId="77777777" w:rsidR="004D38AB" w:rsidRPr="008D4A27" w:rsidRDefault="004D38AB" w:rsidP="004D38AB">
            <w:pPr>
              <w:pStyle w:val="BodyText"/>
              <w:tabs>
                <w:tab w:val="left" w:pos="720"/>
              </w:tabs>
              <w:spacing w:after="0" w:line="300" w:lineRule="auto"/>
              <w:rPr>
                <w:rFonts w:cs="Arial"/>
              </w:rPr>
            </w:pPr>
            <w:r w:rsidRPr="008D4A27">
              <w:rPr>
                <w:rFonts w:cs="Arial"/>
                <w:color w:val="000000"/>
              </w:rPr>
              <w:t>Kirkham</w:t>
            </w:r>
          </w:p>
        </w:tc>
        <w:tc>
          <w:tcPr>
            <w:tcW w:w="1319" w:type="dxa"/>
            <w:vAlign w:val="bottom"/>
          </w:tcPr>
          <w:p w14:paraId="795B981E" w14:textId="09386DF3" w:rsidR="004D38AB" w:rsidRPr="001814CE" w:rsidRDefault="004D38AB" w:rsidP="004D38AB">
            <w:pPr>
              <w:pStyle w:val="BodyText"/>
              <w:tabs>
                <w:tab w:val="left" w:pos="720"/>
              </w:tabs>
              <w:spacing w:after="0" w:line="300" w:lineRule="auto"/>
              <w:jc w:val="center"/>
              <w:rPr>
                <w:rFonts w:cs="Arial"/>
              </w:rPr>
            </w:pPr>
            <w:r>
              <w:rPr>
                <w:rFonts w:cs="Arial"/>
                <w:color w:val="000000"/>
              </w:rPr>
              <w:t>61</w:t>
            </w:r>
          </w:p>
        </w:tc>
        <w:tc>
          <w:tcPr>
            <w:tcW w:w="1321" w:type="dxa"/>
            <w:vAlign w:val="bottom"/>
          </w:tcPr>
          <w:p w14:paraId="49E7BF6B" w14:textId="00A569D0" w:rsidR="004D38AB" w:rsidRPr="001814CE" w:rsidRDefault="004D38AB" w:rsidP="004D38AB">
            <w:pPr>
              <w:pStyle w:val="BodyText"/>
              <w:tabs>
                <w:tab w:val="left" w:pos="720"/>
              </w:tabs>
              <w:spacing w:after="0" w:line="300" w:lineRule="auto"/>
              <w:jc w:val="center"/>
              <w:rPr>
                <w:rFonts w:cs="Arial"/>
              </w:rPr>
            </w:pPr>
            <w:r>
              <w:rPr>
                <w:rFonts w:cs="Arial"/>
                <w:color w:val="000000"/>
              </w:rPr>
              <w:t>99</w:t>
            </w:r>
          </w:p>
        </w:tc>
        <w:tc>
          <w:tcPr>
            <w:tcW w:w="1321" w:type="dxa"/>
            <w:vAlign w:val="bottom"/>
          </w:tcPr>
          <w:p w14:paraId="5AA743E9" w14:textId="74D0218D" w:rsidR="004D38AB" w:rsidRPr="001814CE" w:rsidRDefault="004D38AB" w:rsidP="004D38AB">
            <w:pPr>
              <w:pStyle w:val="BodyText"/>
              <w:tabs>
                <w:tab w:val="left" w:pos="720"/>
              </w:tabs>
              <w:spacing w:after="0" w:line="300" w:lineRule="auto"/>
              <w:jc w:val="center"/>
              <w:rPr>
                <w:rFonts w:cs="Arial"/>
              </w:rPr>
            </w:pPr>
            <w:r>
              <w:rPr>
                <w:rFonts w:cs="Arial"/>
                <w:color w:val="000000"/>
              </w:rPr>
              <w:t>75</w:t>
            </w:r>
          </w:p>
        </w:tc>
        <w:tc>
          <w:tcPr>
            <w:tcW w:w="1320" w:type="dxa"/>
            <w:vAlign w:val="bottom"/>
          </w:tcPr>
          <w:p w14:paraId="5DE52BE4" w14:textId="072D01F8" w:rsidR="004D38AB" w:rsidRPr="001814CE" w:rsidRDefault="004D38AB" w:rsidP="004D38AB">
            <w:pPr>
              <w:pStyle w:val="BodyText"/>
              <w:tabs>
                <w:tab w:val="left" w:pos="720"/>
              </w:tabs>
              <w:spacing w:after="0" w:line="300" w:lineRule="auto"/>
              <w:jc w:val="center"/>
              <w:rPr>
                <w:rFonts w:cs="Arial"/>
              </w:rPr>
            </w:pPr>
            <w:r>
              <w:rPr>
                <w:rFonts w:cs="Arial"/>
                <w:color w:val="000000"/>
              </w:rPr>
              <w:t>235</w:t>
            </w:r>
          </w:p>
        </w:tc>
        <w:tc>
          <w:tcPr>
            <w:tcW w:w="1321" w:type="dxa"/>
            <w:vAlign w:val="bottom"/>
          </w:tcPr>
          <w:p w14:paraId="3BD1B966" w14:textId="7C82D755" w:rsidR="004D38AB" w:rsidRPr="001814CE" w:rsidRDefault="004D38AB" w:rsidP="004D38AB">
            <w:pPr>
              <w:pStyle w:val="BodyText"/>
              <w:tabs>
                <w:tab w:val="left" w:pos="720"/>
              </w:tabs>
              <w:spacing w:after="0" w:line="300" w:lineRule="auto"/>
              <w:jc w:val="center"/>
              <w:rPr>
                <w:rFonts w:cs="Arial"/>
              </w:rPr>
            </w:pPr>
            <w:r>
              <w:rPr>
                <w:rFonts w:cs="Arial"/>
                <w:color w:val="000000"/>
              </w:rPr>
              <w:t>100</w:t>
            </w:r>
          </w:p>
        </w:tc>
        <w:tc>
          <w:tcPr>
            <w:tcW w:w="1321" w:type="dxa"/>
            <w:vAlign w:val="bottom"/>
          </w:tcPr>
          <w:p w14:paraId="77C24349" w14:textId="06CE5355" w:rsidR="004D38AB" w:rsidRPr="001814CE" w:rsidRDefault="004D38AB" w:rsidP="004D38AB">
            <w:pPr>
              <w:pStyle w:val="BodyText"/>
              <w:tabs>
                <w:tab w:val="left" w:pos="720"/>
              </w:tabs>
              <w:spacing w:after="0" w:line="300" w:lineRule="auto"/>
              <w:jc w:val="center"/>
              <w:rPr>
                <w:rFonts w:cs="Arial"/>
              </w:rPr>
            </w:pPr>
            <w:r>
              <w:rPr>
                <w:rFonts w:cs="Arial"/>
                <w:color w:val="000000"/>
              </w:rPr>
              <w:t>135</w:t>
            </w:r>
          </w:p>
        </w:tc>
      </w:tr>
      <w:tr w:rsidR="004D38AB" w:rsidRPr="008D4A27" w14:paraId="48AAB92F" w14:textId="77777777" w:rsidTr="00172F56">
        <w:trPr>
          <w:jc w:val="center"/>
        </w:trPr>
        <w:tc>
          <w:tcPr>
            <w:tcW w:w="1705" w:type="dxa"/>
          </w:tcPr>
          <w:p w14:paraId="6F86E0D1" w14:textId="77777777" w:rsidR="004D38AB" w:rsidRPr="008D4A27" w:rsidRDefault="004D38AB" w:rsidP="004D38AB">
            <w:pPr>
              <w:pStyle w:val="BodyText"/>
              <w:tabs>
                <w:tab w:val="left" w:pos="720"/>
              </w:tabs>
              <w:spacing w:after="0" w:line="300" w:lineRule="auto"/>
              <w:rPr>
                <w:rFonts w:cs="Arial"/>
                <w:color w:val="000000"/>
              </w:rPr>
            </w:pPr>
            <w:r w:rsidRPr="008D4A27">
              <w:rPr>
                <w:rFonts w:cs="Arial"/>
                <w:color w:val="000000"/>
              </w:rPr>
              <w:t>Wesham</w:t>
            </w:r>
          </w:p>
        </w:tc>
        <w:tc>
          <w:tcPr>
            <w:tcW w:w="1319" w:type="dxa"/>
            <w:vAlign w:val="bottom"/>
          </w:tcPr>
          <w:p w14:paraId="246B9342" w14:textId="526F2D88"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0</w:t>
            </w:r>
          </w:p>
        </w:tc>
        <w:tc>
          <w:tcPr>
            <w:tcW w:w="1321" w:type="dxa"/>
            <w:vAlign w:val="bottom"/>
          </w:tcPr>
          <w:p w14:paraId="4DFD2304" w14:textId="465C9BD3"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69</w:t>
            </w:r>
          </w:p>
        </w:tc>
        <w:tc>
          <w:tcPr>
            <w:tcW w:w="1321" w:type="dxa"/>
            <w:vAlign w:val="bottom"/>
          </w:tcPr>
          <w:p w14:paraId="03353AB5" w14:textId="56A659A9"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74</w:t>
            </w:r>
          </w:p>
        </w:tc>
        <w:tc>
          <w:tcPr>
            <w:tcW w:w="1320" w:type="dxa"/>
            <w:vAlign w:val="bottom"/>
          </w:tcPr>
          <w:p w14:paraId="2C19D499" w14:textId="62072890"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143</w:t>
            </w:r>
          </w:p>
        </w:tc>
        <w:tc>
          <w:tcPr>
            <w:tcW w:w="1321" w:type="dxa"/>
            <w:vAlign w:val="bottom"/>
          </w:tcPr>
          <w:p w14:paraId="75FDB6D1" w14:textId="2C6AD831"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70</w:t>
            </w:r>
          </w:p>
        </w:tc>
        <w:tc>
          <w:tcPr>
            <w:tcW w:w="1321" w:type="dxa"/>
            <w:vAlign w:val="bottom"/>
          </w:tcPr>
          <w:p w14:paraId="215B5A7A" w14:textId="5A0E6AE5"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73</w:t>
            </w:r>
          </w:p>
        </w:tc>
      </w:tr>
      <w:tr w:rsidR="004D38AB" w:rsidRPr="008D4A27" w14:paraId="3B1AA2FE" w14:textId="77777777" w:rsidTr="00172F56">
        <w:trPr>
          <w:jc w:val="center"/>
        </w:trPr>
        <w:tc>
          <w:tcPr>
            <w:tcW w:w="1705" w:type="dxa"/>
          </w:tcPr>
          <w:p w14:paraId="588F291F" w14:textId="77777777" w:rsidR="004D38AB" w:rsidRPr="008D4A27" w:rsidRDefault="004D38AB" w:rsidP="004D38AB">
            <w:pPr>
              <w:pStyle w:val="BodyText"/>
              <w:tabs>
                <w:tab w:val="left" w:pos="720"/>
              </w:tabs>
              <w:spacing w:after="0" w:line="300" w:lineRule="auto"/>
              <w:rPr>
                <w:rFonts w:cs="Arial"/>
                <w:color w:val="000000"/>
              </w:rPr>
            </w:pPr>
            <w:r w:rsidRPr="008D4A27">
              <w:rPr>
                <w:rFonts w:cs="Arial"/>
                <w:color w:val="000000"/>
              </w:rPr>
              <w:t>Freckleton</w:t>
            </w:r>
          </w:p>
        </w:tc>
        <w:tc>
          <w:tcPr>
            <w:tcW w:w="1319" w:type="dxa"/>
            <w:vAlign w:val="bottom"/>
          </w:tcPr>
          <w:p w14:paraId="07297D6E" w14:textId="6E2B1AC9"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0</w:t>
            </w:r>
          </w:p>
        </w:tc>
        <w:tc>
          <w:tcPr>
            <w:tcW w:w="1321" w:type="dxa"/>
            <w:vAlign w:val="bottom"/>
          </w:tcPr>
          <w:p w14:paraId="5DBD9F67" w14:textId="18ED0340"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23</w:t>
            </w:r>
          </w:p>
        </w:tc>
        <w:tc>
          <w:tcPr>
            <w:tcW w:w="1321" w:type="dxa"/>
            <w:vAlign w:val="bottom"/>
          </w:tcPr>
          <w:p w14:paraId="4E992655" w14:textId="0BA00D57"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58</w:t>
            </w:r>
          </w:p>
        </w:tc>
        <w:tc>
          <w:tcPr>
            <w:tcW w:w="1320" w:type="dxa"/>
            <w:vAlign w:val="bottom"/>
          </w:tcPr>
          <w:p w14:paraId="646064A4" w14:textId="4416A5A7"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81</w:t>
            </w:r>
          </w:p>
        </w:tc>
        <w:tc>
          <w:tcPr>
            <w:tcW w:w="1321" w:type="dxa"/>
            <w:vAlign w:val="bottom"/>
          </w:tcPr>
          <w:p w14:paraId="6101D8A5" w14:textId="5FACDA8B"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50</w:t>
            </w:r>
          </w:p>
        </w:tc>
        <w:tc>
          <w:tcPr>
            <w:tcW w:w="1321" w:type="dxa"/>
            <w:vAlign w:val="bottom"/>
          </w:tcPr>
          <w:p w14:paraId="1EE10F74" w14:textId="5AD85220"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31</w:t>
            </w:r>
          </w:p>
        </w:tc>
      </w:tr>
      <w:tr w:rsidR="004D38AB" w:rsidRPr="008D4A27" w14:paraId="1DA9F8A1" w14:textId="77777777" w:rsidTr="00172F56">
        <w:trPr>
          <w:jc w:val="center"/>
        </w:trPr>
        <w:tc>
          <w:tcPr>
            <w:tcW w:w="1705" w:type="dxa"/>
          </w:tcPr>
          <w:p w14:paraId="07EBB98D" w14:textId="77777777" w:rsidR="004D38AB" w:rsidRPr="008D4A27" w:rsidRDefault="004D38AB" w:rsidP="004D38AB">
            <w:pPr>
              <w:pStyle w:val="BodyText"/>
              <w:tabs>
                <w:tab w:val="left" w:pos="720"/>
              </w:tabs>
              <w:spacing w:after="0" w:line="300" w:lineRule="auto"/>
              <w:rPr>
                <w:rFonts w:cs="Arial"/>
                <w:color w:val="000000"/>
              </w:rPr>
            </w:pPr>
            <w:r w:rsidRPr="008D4A27">
              <w:rPr>
                <w:rFonts w:cs="Arial"/>
                <w:color w:val="000000"/>
              </w:rPr>
              <w:t>Rural North</w:t>
            </w:r>
          </w:p>
        </w:tc>
        <w:tc>
          <w:tcPr>
            <w:tcW w:w="1319" w:type="dxa"/>
            <w:vAlign w:val="bottom"/>
          </w:tcPr>
          <w:p w14:paraId="793A1070" w14:textId="45EF13D3"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37</w:t>
            </w:r>
          </w:p>
        </w:tc>
        <w:tc>
          <w:tcPr>
            <w:tcW w:w="1321" w:type="dxa"/>
            <w:vAlign w:val="bottom"/>
          </w:tcPr>
          <w:p w14:paraId="43959E0F" w14:textId="2A7B1A75"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57</w:t>
            </w:r>
          </w:p>
        </w:tc>
        <w:tc>
          <w:tcPr>
            <w:tcW w:w="1321" w:type="dxa"/>
            <w:vAlign w:val="bottom"/>
          </w:tcPr>
          <w:p w14:paraId="5DDD8B93" w14:textId="16A0B2A6"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25</w:t>
            </w:r>
          </w:p>
        </w:tc>
        <w:tc>
          <w:tcPr>
            <w:tcW w:w="1320" w:type="dxa"/>
            <w:vAlign w:val="bottom"/>
          </w:tcPr>
          <w:p w14:paraId="17407659" w14:textId="435B1AC2"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119</w:t>
            </w:r>
          </w:p>
        </w:tc>
        <w:tc>
          <w:tcPr>
            <w:tcW w:w="1321" w:type="dxa"/>
            <w:vAlign w:val="bottom"/>
          </w:tcPr>
          <w:p w14:paraId="1F08F60C" w14:textId="3AA83708"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30</w:t>
            </w:r>
          </w:p>
        </w:tc>
        <w:tc>
          <w:tcPr>
            <w:tcW w:w="1321" w:type="dxa"/>
            <w:vAlign w:val="bottom"/>
          </w:tcPr>
          <w:p w14:paraId="35D3E94D" w14:textId="4DD3AF62"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89</w:t>
            </w:r>
          </w:p>
        </w:tc>
      </w:tr>
      <w:tr w:rsidR="004D38AB" w:rsidRPr="008D4A27" w14:paraId="42A43B1C" w14:textId="77777777" w:rsidTr="00172F56">
        <w:trPr>
          <w:jc w:val="center"/>
        </w:trPr>
        <w:tc>
          <w:tcPr>
            <w:tcW w:w="1705" w:type="dxa"/>
          </w:tcPr>
          <w:p w14:paraId="1CB4012C" w14:textId="77777777" w:rsidR="004D38AB" w:rsidRPr="008D4A27" w:rsidRDefault="004D38AB" w:rsidP="004D38AB">
            <w:pPr>
              <w:pStyle w:val="BodyText"/>
              <w:tabs>
                <w:tab w:val="left" w:pos="720"/>
              </w:tabs>
              <w:spacing w:after="0" w:line="300" w:lineRule="auto"/>
              <w:rPr>
                <w:rFonts w:cs="Arial"/>
                <w:color w:val="000000"/>
              </w:rPr>
            </w:pPr>
            <w:r w:rsidRPr="008D4A27">
              <w:rPr>
                <w:rFonts w:cs="Arial"/>
                <w:color w:val="000000"/>
              </w:rPr>
              <w:t>Rural West</w:t>
            </w:r>
          </w:p>
        </w:tc>
        <w:tc>
          <w:tcPr>
            <w:tcW w:w="1319" w:type="dxa"/>
            <w:vAlign w:val="bottom"/>
          </w:tcPr>
          <w:p w14:paraId="409DAFCE" w14:textId="01824E35"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13</w:t>
            </w:r>
          </w:p>
        </w:tc>
        <w:tc>
          <w:tcPr>
            <w:tcW w:w="1321" w:type="dxa"/>
            <w:vAlign w:val="bottom"/>
          </w:tcPr>
          <w:p w14:paraId="7C6E3BDD" w14:textId="14CF01AA"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55</w:t>
            </w:r>
          </w:p>
        </w:tc>
        <w:tc>
          <w:tcPr>
            <w:tcW w:w="1321" w:type="dxa"/>
            <w:vAlign w:val="bottom"/>
          </w:tcPr>
          <w:p w14:paraId="2BFB78CF" w14:textId="0D739FA0"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18</w:t>
            </w:r>
          </w:p>
        </w:tc>
        <w:tc>
          <w:tcPr>
            <w:tcW w:w="1320" w:type="dxa"/>
            <w:vAlign w:val="bottom"/>
          </w:tcPr>
          <w:p w14:paraId="695669D9" w14:textId="77410AC0"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86</w:t>
            </w:r>
          </w:p>
        </w:tc>
        <w:tc>
          <w:tcPr>
            <w:tcW w:w="1321" w:type="dxa"/>
            <w:vAlign w:val="bottom"/>
          </w:tcPr>
          <w:p w14:paraId="3327A311" w14:textId="48DB0FB7"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10</w:t>
            </w:r>
          </w:p>
        </w:tc>
        <w:tc>
          <w:tcPr>
            <w:tcW w:w="1321" w:type="dxa"/>
            <w:vAlign w:val="bottom"/>
          </w:tcPr>
          <w:p w14:paraId="12A798F9" w14:textId="12C8A99C"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76</w:t>
            </w:r>
          </w:p>
        </w:tc>
      </w:tr>
      <w:tr w:rsidR="004D38AB" w:rsidRPr="008D4A27" w14:paraId="2504FDC6" w14:textId="77777777" w:rsidTr="00172F56">
        <w:trPr>
          <w:jc w:val="center"/>
        </w:trPr>
        <w:tc>
          <w:tcPr>
            <w:tcW w:w="1705" w:type="dxa"/>
          </w:tcPr>
          <w:p w14:paraId="317C72EB" w14:textId="77777777" w:rsidR="004D38AB" w:rsidRPr="008D4A27" w:rsidRDefault="004D38AB" w:rsidP="004D38AB">
            <w:pPr>
              <w:pStyle w:val="BodyText"/>
              <w:tabs>
                <w:tab w:val="left" w:pos="720"/>
              </w:tabs>
              <w:spacing w:after="0" w:line="300" w:lineRule="auto"/>
              <w:rPr>
                <w:rFonts w:cs="Arial"/>
                <w:color w:val="000000"/>
              </w:rPr>
            </w:pPr>
            <w:r w:rsidRPr="008D4A27">
              <w:rPr>
                <w:rFonts w:cs="Arial"/>
                <w:color w:val="000000"/>
              </w:rPr>
              <w:t>Rural East</w:t>
            </w:r>
          </w:p>
        </w:tc>
        <w:tc>
          <w:tcPr>
            <w:tcW w:w="1319" w:type="dxa"/>
            <w:vAlign w:val="bottom"/>
          </w:tcPr>
          <w:p w14:paraId="0E5181BB" w14:textId="4F2984F3"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0</w:t>
            </w:r>
          </w:p>
        </w:tc>
        <w:tc>
          <w:tcPr>
            <w:tcW w:w="1321" w:type="dxa"/>
            <w:vAlign w:val="bottom"/>
          </w:tcPr>
          <w:p w14:paraId="67EAAD09" w14:textId="14C597F7"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46</w:t>
            </w:r>
          </w:p>
        </w:tc>
        <w:tc>
          <w:tcPr>
            <w:tcW w:w="1321" w:type="dxa"/>
            <w:vAlign w:val="bottom"/>
          </w:tcPr>
          <w:p w14:paraId="30FD24C3" w14:textId="349C7C0F"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12</w:t>
            </w:r>
          </w:p>
        </w:tc>
        <w:tc>
          <w:tcPr>
            <w:tcW w:w="1320" w:type="dxa"/>
            <w:vAlign w:val="bottom"/>
          </w:tcPr>
          <w:p w14:paraId="7A78154B" w14:textId="0529B6C9"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58</w:t>
            </w:r>
          </w:p>
        </w:tc>
        <w:tc>
          <w:tcPr>
            <w:tcW w:w="1321" w:type="dxa"/>
            <w:vAlign w:val="bottom"/>
          </w:tcPr>
          <w:p w14:paraId="6BD5D0E2" w14:textId="797EF838"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25</w:t>
            </w:r>
          </w:p>
        </w:tc>
        <w:tc>
          <w:tcPr>
            <w:tcW w:w="1321" w:type="dxa"/>
            <w:vAlign w:val="bottom"/>
          </w:tcPr>
          <w:p w14:paraId="04BB6B03" w14:textId="44F5C1BB"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33</w:t>
            </w:r>
          </w:p>
        </w:tc>
      </w:tr>
      <w:tr w:rsidR="004D38AB" w:rsidRPr="008D4A27" w14:paraId="0B9158A6" w14:textId="77777777" w:rsidTr="00172F56">
        <w:trPr>
          <w:jc w:val="center"/>
        </w:trPr>
        <w:tc>
          <w:tcPr>
            <w:tcW w:w="1705" w:type="dxa"/>
          </w:tcPr>
          <w:p w14:paraId="4B886ACC" w14:textId="77777777" w:rsidR="004D38AB" w:rsidRPr="008D4A27" w:rsidRDefault="004D38AB" w:rsidP="004D38AB">
            <w:pPr>
              <w:pStyle w:val="BodyText"/>
              <w:tabs>
                <w:tab w:val="left" w:pos="720"/>
              </w:tabs>
              <w:spacing w:after="0" w:line="300" w:lineRule="auto"/>
              <w:rPr>
                <w:rFonts w:cs="Arial"/>
                <w:color w:val="000000"/>
              </w:rPr>
            </w:pPr>
            <w:r w:rsidRPr="008D4A27">
              <w:rPr>
                <w:rFonts w:cs="Arial"/>
                <w:color w:val="000000"/>
              </w:rPr>
              <w:t>TOTAL</w:t>
            </w:r>
          </w:p>
        </w:tc>
        <w:tc>
          <w:tcPr>
            <w:tcW w:w="1319" w:type="dxa"/>
            <w:vAlign w:val="bottom"/>
          </w:tcPr>
          <w:p w14:paraId="4B75F418" w14:textId="1F74D3BF"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527</w:t>
            </w:r>
          </w:p>
        </w:tc>
        <w:tc>
          <w:tcPr>
            <w:tcW w:w="1321" w:type="dxa"/>
            <w:vAlign w:val="bottom"/>
          </w:tcPr>
          <w:p w14:paraId="07220A59" w14:textId="7FA8CDBB"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1,024</w:t>
            </w:r>
          </w:p>
        </w:tc>
        <w:tc>
          <w:tcPr>
            <w:tcW w:w="1321" w:type="dxa"/>
            <w:vAlign w:val="bottom"/>
          </w:tcPr>
          <w:p w14:paraId="3FF3B2B4" w14:textId="5E6E8B7F"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1,165</w:t>
            </w:r>
          </w:p>
        </w:tc>
        <w:tc>
          <w:tcPr>
            <w:tcW w:w="1320" w:type="dxa"/>
            <w:vAlign w:val="bottom"/>
          </w:tcPr>
          <w:p w14:paraId="031B69FA" w14:textId="2A182BA7"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2,716</w:t>
            </w:r>
          </w:p>
        </w:tc>
        <w:tc>
          <w:tcPr>
            <w:tcW w:w="1321" w:type="dxa"/>
            <w:vAlign w:val="bottom"/>
          </w:tcPr>
          <w:p w14:paraId="4DBD5357" w14:textId="110C4DB4"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625</w:t>
            </w:r>
          </w:p>
        </w:tc>
        <w:tc>
          <w:tcPr>
            <w:tcW w:w="1321" w:type="dxa"/>
            <w:vAlign w:val="bottom"/>
          </w:tcPr>
          <w:p w14:paraId="7333214C" w14:textId="47927C75" w:rsidR="004D38AB" w:rsidRPr="001814CE" w:rsidRDefault="004D38AB" w:rsidP="004D38AB">
            <w:pPr>
              <w:pStyle w:val="BodyText"/>
              <w:tabs>
                <w:tab w:val="left" w:pos="720"/>
              </w:tabs>
              <w:spacing w:after="0" w:line="300" w:lineRule="auto"/>
              <w:jc w:val="center"/>
              <w:rPr>
                <w:rFonts w:cs="Arial"/>
                <w:color w:val="000000"/>
              </w:rPr>
            </w:pPr>
            <w:r>
              <w:rPr>
                <w:rFonts w:cs="Arial"/>
                <w:color w:val="000000"/>
              </w:rPr>
              <w:t>2,091</w:t>
            </w:r>
          </w:p>
        </w:tc>
      </w:tr>
    </w:tbl>
    <w:p w14:paraId="62028B7B" w14:textId="2AAD8845" w:rsidR="0007167E" w:rsidRDefault="0014104A" w:rsidP="0014104A">
      <w:pPr>
        <w:spacing w:line="300" w:lineRule="auto"/>
        <w:jc w:val="center"/>
        <w:rPr>
          <w:rFonts w:ascii="Arial" w:hAnsi="Arial" w:cs="Arial"/>
          <w:sz w:val="20"/>
          <w:szCs w:val="20"/>
        </w:rPr>
      </w:pPr>
      <w:r>
        <w:rPr>
          <w:rFonts w:ascii="Arial" w:hAnsi="Arial" w:cs="Arial"/>
          <w:sz w:val="20"/>
          <w:szCs w:val="20"/>
        </w:rPr>
        <w:t>Source: Range of sources, including household survey</w:t>
      </w:r>
    </w:p>
    <w:p w14:paraId="4A58C4AE" w14:textId="77777777" w:rsidR="009E6992" w:rsidRPr="002143DA" w:rsidRDefault="009E6992" w:rsidP="00172F56">
      <w:pPr>
        <w:spacing w:line="300" w:lineRule="auto"/>
        <w:jc w:val="both"/>
        <w:rPr>
          <w:rFonts w:ascii="Arial" w:hAnsi="Arial" w:cs="Arial"/>
          <w:sz w:val="20"/>
          <w:szCs w:val="20"/>
          <w:lang w:eastAsia="ja-JP"/>
        </w:rPr>
      </w:pPr>
    </w:p>
    <w:p w14:paraId="24254D58" w14:textId="6EB6507C" w:rsidR="0007167E" w:rsidRPr="00620FE9" w:rsidRDefault="0007167E">
      <w:pPr>
        <w:pStyle w:val="11Bodytext"/>
        <w:numPr>
          <w:ilvl w:val="1"/>
          <w:numId w:val="76"/>
        </w:numPr>
        <w:spacing w:before="0" w:after="0" w:line="300" w:lineRule="auto"/>
        <w:ind w:left="720" w:hanging="720"/>
        <w:rPr>
          <w:color w:val="auto"/>
        </w:rPr>
      </w:pPr>
      <w:r>
        <w:t xml:space="preserve">The table below shows the overall calculation of affordable housing need for households able to rent housing but not buy. The analysis shows that there is a need for </w:t>
      </w:r>
      <w:r w:rsidR="003551DF">
        <w:t xml:space="preserve">874 </w:t>
      </w:r>
      <w:r>
        <w:t xml:space="preserve">dwellings across the area </w:t>
      </w:r>
      <w:r w:rsidR="003551DF">
        <w:t xml:space="preserve">(175 per annum) </w:t>
      </w:r>
      <w:r>
        <w:t xml:space="preserve">– an affordable need is seen in </w:t>
      </w:r>
      <w:r w:rsidR="003551DF">
        <w:t xml:space="preserve">most </w:t>
      </w:r>
      <w:r>
        <w:t xml:space="preserve">sub-areas, but particularly </w:t>
      </w:r>
      <w:r w:rsidR="00432414">
        <w:t>St. Annes</w:t>
      </w:r>
      <w:r>
        <w:t xml:space="preserve"> (which does h</w:t>
      </w:r>
      <w:r w:rsidR="009E6992">
        <w:t>a</w:t>
      </w:r>
      <w:r>
        <w:t>ve a particular conce</w:t>
      </w:r>
      <w:r w:rsidR="009E6992">
        <w:t>n</w:t>
      </w:r>
      <w:r>
        <w:t>tration of private rented housing).</w:t>
      </w:r>
    </w:p>
    <w:p w14:paraId="70F8AD41" w14:textId="77777777" w:rsidR="00620FE9" w:rsidRPr="009E6992" w:rsidRDefault="00620FE9" w:rsidP="00172F56">
      <w:pPr>
        <w:pStyle w:val="11Bodytext"/>
        <w:numPr>
          <w:ilvl w:val="0"/>
          <w:numId w:val="0"/>
        </w:numPr>
        <w:spacing w:before="0" w:after="0" w:line="300" w:lineRule="auto"/>
        <w:rPr>
          <w:color w:val="auto"/>
        </w:rPr>
      </w:pPr>
    </w:p>
    <w:tbl>
      <w:tblPr>
        <w:tblStyle w:val="TableTheme"/>
        <w:tblW w:w="5000" w:type="pct"/>
        <w:tblLayout w:type="fixed"/>
        <w:tblLook w:val="04A0" w:firstRow="1" w:lastRow="0" w:firstColumn="1" w:lastColumn="0" w:noHBand="0" w:noVBand="1"/>
      </w:tblPr>
      <w:tblGrid>
        <w:gridCol w:w="1705"/>
        <w:gridCol w:w="1319"/>
        <w:gridCol w:w="1321"/>
        <w:gridCol w:w="1321"/>
        <w:gridCol w:w="1320"/>
        <w:gridCol w:w="1321"/>
        <w:gridCol w:w="1321"/>
      </w:tblGrid>
      <w:tr w:rsidR="00B30804" w:rsidRPr="00B30804" w14:paraId="6B225C75" w14:textId="77777777" w:rsidTr="008469E3">
        <w:tc>
          <w:tcPr>
            <w:tcW w:w="9628" w:type="dxa"/>
            <w:gridSpan w:val="7"/>
          </w:tcPr>
          <w:p w14:paraId="4DA9189F" w14:textId="633A9A28" w:rsidR="00B30804" w:rsidRPr="00B30804" w:rsidRDefault="00B30804" w:rsidP="0014104A">
            <w:pPr>
              <w:pStyle w:val="BodyText"/>
              <w:keepNext/>
              <w:tabs>
                <w:tab w:val="left" w:pos="720"/>
              </w:tabs>
              <w:spacing w:before="60" w:after="60" w:line="300" w:lineRule="auto"/>
              <w:jc w:val="center"/>
              <w:rPr>
                <w:rFonts w:cs="Arial"/>
                <w:b/>
                <w:bCs/>
              </w:rPr>
            </w:pPr>
            <w:r w:rsidRPr="00B30804">
              <w:rPr>
                <w:rFonts w:cs="Arial"/>
                <w:b/>
                <w:bCs/>
              </w:rPr>
              <w:t>Figure 3.</w:t>
            </w:r>
            <w:r w:rsidR="00AD29A6">
              <w:rPr>
                <w:rFonts w:cs="Arial"/>
                <w:b/>
                <w:bCs/>
              </w:rPr>
              <w:t>13</w:t>
            </w:r>
            <w:r w:rsidRPr="00B30804">
              <w:rPr>
                <w:rFonts w:cs="Arial"/>
                <w:b/>
                <w:bCs/>
              </w:rPr>
              <w:t xml:space="preserve">: Estimated Need for </w:t>
            </w:r>
            <w:r>
              <w:rPr>
                <w:rFonts w:cs="Arial"/>
                <w:b/>
                <w:bCs/>
              </w:rPr>
              <w:t>Affordable Home Ownership</w:t>
            </w:r>
            <w:r w:rsidRPr="00B30804">
              <w:rPr>
                <w:rFonts w:cs="Arial"/>
                <w:b/>
                <w:bCs/>
              </w:rPr>
              <w:t xml:space="preserve"> by sub-area (</w:t>
            </w:r>
            <w:r w:rsidR="003551DF">
              <w:rPr>
                <w:rFonts w:cs="Arial"/>
                <w:b/>
                <w:bCs/>
              </w:rPr>
              <w:t>5-years</w:t>
            </w:r>
            <w:r w:rsidRPr="00B30804">
              <w:rPr>
                <w:rFonts w:cs="Arial"/>
                <w:b/>
                <w:bCs/>
              </w:rPr>
              <w:t>)</w:t>
            </w:r>
          </w:p>
        </w:tc>
      </w:tr>
      <w:tr w:rsidR="0007167E" w:rsidRPr="008D4A27" w14:paraId="0D5C83E2" w14:textId="77777777" w:rsidTr="00B30804">
        <w:tc>
          <w:tcPr>
            <w:tcW w:w="1705" w:type="dxa"/>
          </w:tcPr>
          <w:p w14:paraId="2D228781" w14:textId="77777777" w:rsidR="0007167E" w:rsidRPr="008D4A27" w:rsidRDefault="0007167E" w:rsidP="0014104A">
            <w:pPr>
              <w:pStyle w:val="BodyText"/>
              <w:keepNext/>
              <w:tabs>
                <w:tab w:val="left" w:pos="720"/>
              </w:tabs>
              <w:spacing w:after="0" w:line="300" w:lineRule="auto"/>
              <w:rPr>
                <w:rFonts w:cs="Arial"/>
                <w:b/>
              </w:rPr>
            </w:pPr>
          </w:p>
        </w:tc>
        <w:tc>
          <w:tcPr>
            <w:tcW w:w="1319" w:type="dxa"/>
            <w:hideMark/>
          </w:tcPr>
          <w:p w14:paraId="20B5318A" w14:textId="77777777" w:rsidR="0007167E" w:rsidRPr="008D4A27" w:rsidRDefault="0007167E" w:rsidP="0014104A">
            <w:pPr>
              <w:pStyle w:val="BodyText"/>
              <w:keepNext/>
              <w:tabs>
                <w:tab w:val="left" w:pos="720"/>
              </w:tabs>
              <w:spacing w:after="0" w:line="300" w:lineRule="auto"/>
              <w:jc w:val="center"/>
              <w:rPr>
                <w:rFonts w:cs="Arial"/>
              </w:rPr>
            </w:pPr>
            <w:r w:rsidRPr="008D4A27">
              <w:rPr>
                <w:rFonts w:cs="Arial"/>
              </w:rPr>
              <w:t>Current need</w:t>
            </w:r>
          </w:p>
        </w:tc>
        <w:tc>
          <w:tcPr>
            <w:tcW w:w="1321" w:type="dxa"/>
            <w:hideMark/>
          </w:tcPr>
          <w:p w14:paraId="623A2E28" w14:textId="5A38ED23" w:rsidR="0007167E" w:rsidRPr="008D4A27" w:rsidRDefault="0007167E" w:rsidP="0014104A">
            <w:pPr>
              <w:pStyle w:val="BodyText"/>
              <w:keepNext/>
              <w:tabs>
                <w:tab w:val="left" w:pos="720"/>
              </w:tabs>
              <w:spacing w:after="0" w:line="300" w:lineRule="auto"/>
              <w:jc w:val="center"/>
              <w:rPr>
                <w:rFonts w:cs="Arial"/>
              </w:rPr>
            </w:pPr>
            <w:r w:rsidRPr="008D4A27">
              <w:rPr>
                <w:rFonts w:cs="Arial"/>
              </w:rPr>
              <w:t>Newly forming households</w:t>
            </w:r>
          </w:p>
        </w:tc>
        <w:tc>
          <w:tcPr>
            <w:tcW w:w="1321" w:type="dxa"/>
            <w:hideMark/>
          </w:tcPr>
          <w:p w14:paraId="6D09A91E" w14:textId="54EE342D" w:rsidR="0007167E" w:rsidRPr="008D4A27" w:rsidRDefault="0007167E" w:rsidP="0014104A">
            <w:pPr>
              <w:pStyle w:val="BodyText"/>
              <w:keepNext/>
              <w:tabs>
                <w:tab w:val="left" w:pos="720"/>
              </w:tabs>
              <w:spacing w:after="0" w:line="300" w:lineRule="auto"/>
              <w:jc w:val="center"/>
              <w:rPr>
                <w:rFonts w:cs="Arial"/>
              </w:rPr>
            </w:pPr>
            <w:r w:rsidRPr="008D4A27">
              <w:rPr>
                <w:rFonts w:cs="Arial"/>
              </w:rPr>
              <w:t>Existing households falling into need</w:t>
            </w:r>
          </w:p>
        </w:tc>
        <w:tc>
          <w:tcPr>
            <w:tcW w:w="1320" w:type="dxa"/>
            <w:hideMark/>
          </w:tcPr>
          <w:p w14:paraId="26A9D604" w14:textId="77777777" w:rsidR="0007167E" w:rsidRPr="008D4A27" w:rsidRDefault="0007167E" w:rsidP="0014104A">
            <w:pPr>
              <w:pStyle w:val="BodyText"/>
              <w:keepNext/>
              <w:tabs>
                <w:tab w:val="left" w:pos="720"/>
              </w:tabs>
              <w:spacing w:after="0" w:line="300" w:lineRule="auto"/>
              <w:jc w:val="center"/>
              <w:rPr>
                <w:rFonts w:cs="Arial"/>
              </w:rPr>
            </w:pPr>
            <w:r w:rsidRPr="008D4A27">
              <w:rPr>
                <w:rFonts w:cs="Arial"/>
              </w:rPr>
              <w:t>Total Gross Need</w:t>
            </w:r>
          </w:p>
        </w:tc>
        <w:tc>
          <w:tcPr>
            <w:tcW w:w="1321" w:type="dxa"/>
            <w:hideMark/>
          </w:tcPr>
          <w:p w14:paraId="5C842381" w14:textId="7B5581FC" w:rsidR="0007167E" w:rsidRPr="008D4A27" w:rsidRDefault="0007167E" w:rsidP="0014104A">
            <w:pPr>
              <w:pStyle w:val="BodyText"/>
              <w:keepNext/>
              <w:tabs>
                <w:tab w:val="left" w:pos="720"/>
              </w:tabs>
              <w:spacing w:after="0" w:line="300" w:lineRule="auto"/>
              <w:jc w:val="center"/>
              <w:rPr>
                <w:rFonts w:cs="Arial"/>
              </w:rPr>
            </w:pPr>
            <w:r w:rsidRPr="008D4A27">
              <w:rPr>
                <w:rFonts w:cs="Arial"/>
              </w:rPr>
              <w:t>Resales Supply</w:t>
            </w:r>
          </w:p>
        </w:tc>
        <w:tc>
          <w:tcPr>
            <w:tcW w:w="1321" w:type="dxa"/>
            <w:hideMark/>
          </w:tcPr>
          <w:p w14:paraId="5452F3B7" w14:textId="77777777" w:rsidR="0007167E" w:rsidRPr="008D4A27" w:rsidRDefault="0007167E" w:rsidP="0014104A">
            <w:pPr>
              <w:pStyle w:val="BodyText"/>
              <w:keepNext/>
              <w:tabs>
                <w:tab w:val="left" w:pos="720"/>
              </w:tabs>
              <w:spacing w:after="0" w:line="300" w:lineRule="auto"/>
              <w:jc w:val="center"/>
              <w:rPr>
                <w:rFonts w:cs="Arial"/>
              </w:rPr>
            </w:pPr>
            <w:r w:rsidRPr="008D4A27">
              <w:rPr>
                <w:rFonts w:cs="Arial"/>
              </w:rPr>
              <w:t>Net Need</w:t>
            </w:r>
          </w:p>
        </w:tc>
      </w:tr>
      <w:tr w:rsidR="003551DF" w:rsidRPr="008D4A27" w14:paraId="0B8A4915" w14:textId="77777777" w:rsidTr="00172F56">
        <w:tc>
          <w:tcPr>
            <w:tcW w:w="1705" w:type="dxa"/>
          </w:tcPr>
          <w:p w14:paraId="313C24C2" w14:textId="2A77A754" w:rsidR="003551DF" w:rsidRPr="008D4A27" w:rsidRDefault="003551DF" w:rsidP="0014104A">
            <w:pPr>
              <w:pStyle w:val="BodyText"/>
              <w:keepNext/>
              <w:tabs>
                <w:tab w:val="left" w:pos="720"/>
              </w:tabs>
              <w:spacing w:after="0" w:line="300" w:lineRule="auto"/>
              <w:rPr>
                <w:rFonts w:cs="Arial"/>
              </w:rPr>
            </w:pPr>
            <w:r>
              <w:rPr>
                <w:rFonts w:cs="Arial"/>
                <w:color w:val="000000"/>
              </w:rPr>
              <w:t>St. Annes</w:t>
            </w:r>
          </w:p>
        </w:tc>
        <w:tc>
          <w:tcPr>
            <w:tcW w:w="1319" w:type="dxa"/>
            <w:vAlign w:val="bottom"/>
          </w:tcPr>
          <w:p w14:paraId="6B5AEE08" w14:textId="515481BB"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212</w:t>
            </w:r>
          </w:p>
        </w:tc>
        <w:tc>
          <w:tcPr>
            <w:tcW w:w="1321" w:type="dxa"/>
            <w:vAlign w:val="bottom"/>
          </w:tcPr>
          <w:p w14:paraId="1A6A94A8" w14:textId="3201C58A"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180</w:t>
            </w:r>
          </w:p>
        </w:tc>
        <w:tc>
          <w:tcPr>
            <w:tcW w:w="1321" w:type="dxa"/>
            <w:vAlign w:val="bottom"/>
          </w:tcPr>
          <w:p w14:paraId="05D5AC4E" w14:textId="09041A79"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600</w:t>
            </w:r>
          </w:p>
        </w:tc>
        <w:tc>
          <w:tcPr>
            <w:tcW w:w="1320" w:type="dxa"/>
            <w:vAlign w:val="bottom"/>
          </w:tcPr>
          <w:p w14:paraId="713FD372" w14:textId="7D78578A"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992</w:t>
            </w:r>
          </w:p>
        </w:tc>
        <w:tc>
          <w:tcPr>
            <w:tcW w:w="1321" w:type="dxa"/>
            <w:vAlign w:val="bottom"/>
          </w:tcPr>
          <w:p w14:paraId="389FB593" w14:textId="0CC34332"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380</w:t>
            </w:r>
          </w:p>
        </w:tc>
        <w:tc>
          <w:tcPr>
            <w:tcW w:w="1321" w:type="dxa"/>
            <w:vAlign w:val="bottom"/>
          </w:tcPr>
          <w:p w14:paraId="6205974D" w14:textId="39F58498"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612</w:t>
            </w:r>
          </w:p>
        </w:tc>
      </w:tr>
      <w:tr w:rsidR="003551DF" w:rsidRPr="008D4A27" w14:paraId="5349296E" w14:textId="77777777" w:rsidTr="00172F56">
        <w:tc>
          <w:tcPr>
            <w:tcW w:w="1705" w:type="dxa"/>
          </w:tcPr>
          <w:p w14:paraId="53225184" w14:textId="77777777" w:rsidR="003551DF" w:rsidRPr="008D4A27" w:rsidRDefault="003551DF" w:rsidP="0014104A">
            <w:pPr>
              <w:pStyle w:val="BodyText"/>
              <w:keepNext/>
              <w:tabs>
                <w:tab w:val="left" w:pos="720"/>
              </w:tabs>
              <w:spacing w:after="0" w:line="300" w:lineRule="auto"/>
              <w:rPr>
                <w:rFonts w:cs="Arial"/>
              </w:rPr>
            </w:pPr>
            <w:r w:rsidRPr="008D4A27">
              <w:rPr>
                <w:rFonts w:cs="Arial"/>
                <w:color w:val="000000"/>
              </w:rPr>
              <w:t>Lytham</w:t>
            </w:r>
          </w:p>
        </w:tc>
        <w:tc>
          <w:tcPr>
            <w:tcW w:w="1319" w:type="dxa"/>
            <w:vAlign w:val="bottom"/>
          </w:tcPr>
          <w:p w14:paraId="669E1935" w14:textId="1AEC943C"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0</w:t>
            </w:r>
          </w:p>
        </w:tc>
        <w:tc>
          <w:tcPr>
            <w:tcW w:w="1321" w:type="dxa"/>
            <w:vAlign w:val="bottom"/>
          </w:tcPr>
          <w:p w14:paraId="5A39E171" w14:textId="00FF938C"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233</w:t>
            </w:r>
          </w:p>
        </w:tc>
        <w:tc>
          <w:tcPr>
            <w:tcW w:w="1321" w:type="dxa"/>
            <w:vAlign w:val="bottom"/>
          </w:tcPr>
          <w:p w14:paraId="798A880F" w14:textId="67CC1BDA"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141</w:t>
            </w:r>
          </w:p>
        </w:tc>
        <w:tc>
          <w:tcPr>
            <w:tcW w:w="1320" w:type="dxa"/>
            <w:vAlign w:val="bottom"/>
          </w:tcPr>
          <w:p w14:paraId="5292A9C0" w14:textId="1C556AAB"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374</w:t>
            </w:r>
          </w:p>
        </w:tc>
        <w:tc>
          <w:tcPr>
            <w:tcW w:w="1321" w:type="dxa"/>
            <w:vAlign w:val="bottom"/>
          </w:tcPr>
          <w:p w14:paraId="5F86FFCB" w14:textId="13E9D35A"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272</w:t>
            </w:r>
          </w:p>
        </w:tc>
        <w:tc>
          <w:tcPr>
            <w:tcW w:w="1321" w:type="dxa"/>
            <w:vAlign w:val="bottom"/>
          </w:tcPr>
          <w:p w14:paraId="590FEECE" w14:textId="0C5DE423"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102</w:t>
            </w:r>
          </w:p>
        </w:tc>
      </w:tr>
      <w:tr w:rsidR="003551DF" w:rsidRPr="008D4A27" w14:paraId="12314161" w14:textId="77777777" w:rsidTr="00172F56">
        <w:tc>
          <w:tcPr>
            <w:tcW w:w="1705" w:type="dxa"/>
          </w:tcPr>
          <w:p w14:paraId="38C73D93" w14:textId="77777777" w:rsidR="003551DF" w:rsidRPr="008D4A27" w:rsidRDefault="003551DF" w:rsidP="0014104A">
            <w:pPr>
              <w:pStyle w:val="BodyText"/>
              <w:keepNext/>
              <w:tabs>
                <w:tab w:val="left" w:pos="720"/>
              </w:tabs>
              <w:spacing w:after="0" w:line="300" w:lineRule="auto"/>
              <w:rPr>
                <w:rFonts w:cs="Arial"/>
              </w:rPr>
            </w:pPr>
            <w:r w:rsidRPr="008D4A27">
              <w:rPr>
                <w:rFonts w:cs="Arial"/>
                <w:color w:val="000000"/>
              </w:rPr>
              <w:t>Warton</w:t>
            </w:r>
          </w:p>
        </w:tc>
        <w:tc>
          <w:tcPr>
            <w:tcW w:w="1319" w:type="dxa"/>
            <w:vAlign w:val="bottom"/>
          </w:tcPr>
          <w:p w14:paraId="4E91F75C" w14:textId="0905CE49"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19</w:t>
            </w:r>
          </w:p>
        </w:tc>
        <w:tc>
          <w:tcPr>
            <w:tcW w:w="1321" w:type="dxa"/>
            <w:vAlign w:val="bottom"/>
          </w:tcPr>
          <w:p w14:paraId="50CB5EC9" w14:textId="3EC78981"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38</w:t>
            </w:r>
          </w:p>
        </w:tc>
        <w:tc>
          <w:tcPr>
            <w:tcW w:w="1321" w:type="dxa"/>
            <w:vAlign w:val="bottom"/>
          </w:tcPr>
          <w:p w14:paraId="2500211C" w14:textId="07F3028B"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14</w:t>
            </w:r>
          </w:p>
        </w:tc>
        <w:tc>
          <w:tcPr>
            <w:tcW w:w="1320" w:type="dxa"/>
            <w:vAlign w:val="bottom"/>
          </w:tcPr>
          <w:p w14:paraId="1102EBB8" w14:textId="10B53876"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71</w:t>
            </w:r>
          </w:p>
        </w:tc>
        <w:tc>
          <w:tcPr>
            <w:tcW w:w="1321" w:type="dxa"/>
            <w:vAlign w:val="bottom"/>
          </w:tcPr>
          <w:p w14:paraId="38199C54" w14:textId="1343AF8E"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43</w:t>
            </w:r>
          </w:p>
        </w:tc>
        <w:tc>
          <w:tcPr>
            <w:tcW w:w="1321" w:type="dxa"/>
            <w:vAlign w:val="bottom"/>
          </w:tcPr>
          <w:p w14:paraId="498F1BFB" w14:textId="26B2A644"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28</w:t>
            </w:r>
          </w:p>
        </w:tc>
      </w:tr>
      <w:tr w:rsidR="003551DF" w:rsidRPr="008D4A27" w14:paraId="1DB6169B" w14:textId="77777777" w:rsidTr="00172F56">
        <w:tc>
          <w:tcPr>
            <w:tcW w:w="1705" w:type="dxa"/>
          </w:tcPr>
          <w:p w14:paraId="06A5EDE0" w14:textId="77777777" w:rsidR="003551DF" w:rsidRPr="008D4A27" w:rsidRDefault="003551DF" w:rsidP="0014104A">
            <w:pPr>
              <w:pStyle w:val="BodyText"/>
              <w:keepNext/>
              <w:tabs>
                <w:tab w:val="left" w:pos="720"/>
              </w:tabs>
              <w:spacing w:after="0" w:line="300" w:lineRule="auto"/>
              <w:rPr>
                <w:rFonts w:cs="Arial"/>
              </w:rPr>
            </w:pPr>
            <w:r w:rsidRPr="008D4A27">
              <w:rPr>
                <w:rFonts w:cs="Arial"/>
                <w:color w:val="000000"/>
              </w:rPr>
              <w:t>FB Periphery</w:t>
            </w:r>
          </w:p>
        </w:tc>
        <w:tc>
          <w:tcPr>
            <w:tcW w:w="1319" w:type="dxa"/>
            <w:vAlign w:val="bottom"/>
          </w:tcPr>
          <w:p w14:paraId="26A3505E" w14:textId="2EA143B7"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0</w:t>
            </w:r>
          </w:p>
        </w:tc>
        <w:tc>
          <w:tcPr>
            <w:tcW w:w="1321" w:type="dxa"/>
            <w:vAlign w:val="bottom"/>
          </w:tcPr>
          <w:p w14:paraId="624EDD25" w14:textId="7BAF821E"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7</w:t>
            </w:r>
          </w:p>
        </w:tc>
        <w:tc>
          <w:tcPr>
            <w:tcW w:w="1321" w:type="dxa"/>
            <w:vAlign w:val="bottom"/>
          </w:tcPr>
          <w:p w14:paraId="0686BAB9" w14:textId="171FB369"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18</w:t>
            </w:r>
          </w:p>
        </w:tc>
        <w:tc>
          <w:tcPr>
            <w:tcW w:w="1320" w:type="dxa"/>
            <w:vAlign w:val="bottom"/>
          </w:tcPr>
          <w:p w14:paraId="79B5FC5B" w14:textId="36327606"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25</w:t>
            </w:r>
          </w:p>
        </w:tc>
        <w:tc>
          <w:tcPr>
            <w:tcW w:w="1321" w:type="dxa"/>
            <w:vAlign w:val="bottom"/>
          </w:tcPr>
          <w:p w14:paraId="559F3541" w14:textId="48E68478"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26</w:t>
            </w:r>
          </w:p>
        </w:tc>
        <w:tc>
          <w:tcPr>
            <w:tcW w:w="1321" w:type="dxa"/>
            <w:vAlign w:val="bottom"/>
          </w:tcPr>
          <w:p w14:paraId="57CAE4BD" w14:textId="4E74C396"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-1</w:t>
            </w:r>
          </w:p>
        </w:tc>
      </w:tr>
      <w:tr w:rsidR="003551DF" w:rsidRPr="008D4A27" w14:paraId="741ABAA6" w14:textId="77777777" w:rsidTr="00172F56">
        <w:tc>
          <w:tcPr>
            <w:tcW w:w="1705" w:type="dxa"/>
          </w:tcPr>
          <w:p w14:paraId="6D8DFA05" w14:textId="77777777" w:rsidR="003551DF" w:rsidRPr="008D4A27" w:rsidRDefault="003551DF" w:rsidP="0014104A">
            <w:pPr>
              <w:pStyle w:val="BodyText"/>
              <w:keepNext/>
              <w:tabs>
                <w:tab w:val="left" w:pos="720"/>
              </w:tabs>
              <w:spacing w:after="0" w:line="300" w:lineRule="auto"/>
              <w:rPr>
                <w:rFonts w:cs="Arial"/>
              </w:rPr>
            </w:pPr>
            <w:r w:rsidRPr="008D4A27">
              <w:rPr>
                <w:rFonts w:cs="Arial"/>
                <w:color w:val="000000"/>
              </w:rPr>
              <w:t>Kirkham</w:t>
            </w:r>
          </w:p>
        </w:tc>
        <w:tc>
          <w:tcPr>
            <w:tcW w:w="1319" w:type="dxa"/>
            <w:vAlign w:val="bottom"/>
          </w:tcPr>
          <w:p w14:paraId="7ABD771E" w14:textId="70804315"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0</w:t>
            </w:r>
          </w:p>
        </w:tc>
        <w:tc>
          <w:tcPr>
            <w:tcW w:w="1321" w:type="dxa"/>
            <w:vAlign w:val="bottom"/>
          </w:tcPr>
          <w:p w14:paraId="518FA9EA" w14:textId="039A648F"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112</w:t>
            </w:r>
          </w:p>
        </w:tc>
        <w:tc>
          <w:tcPr>
            <w:tcW w:w="1321" w:type="dxa"/>
            <w:vAlign w:val="bottom"/>
          </w:tcPr>
          <w:p w14:paraId="0F766521" w14:textId="55107307"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61</w:t>
            </w:r>
          </w:p>
        </w:tc>
        <w:tc>
          <w:tcPr>
            <w:tcW w:w="1320" w:type="dxa"/>
            <w:vAlign w:val="bottom"/>
          </w:tcPr>
          <w:p w14:paraId="4C1264C6" w14:textId="7319AC68"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173</w:t>
            </w:r>
          </w:p>
        </w:tc>
        <w:tc>
          <w:tcPr>
            <w:tcW w:w="1321" w:type="dxa"/>
            <w:vAlign w:val="bottom"/>
          </w:tcPr>
          <w:p w14:paraId="78B0EC33" w14:textId="3AF7FBF5"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74</w:t>
            </w:r>
          </w:p>
        </w:tc>
        <w:tc>
          <w:tcPr>
            <w:tcW w:w="1321" w:type="dxa"/>
            <w:vAlign w:val="bottom"/>
          </w:tcPr>
          <w:p w14:paraId="36624C6D" w14:textId="5689A850" w:rsidR="003551DF" w:rsidRPr="003551DF" w:rsidRDefault="003551DF" w:rsidP="0014104A">
            <w:pPr>
              <w:pStyle w:val="BodyText"/>
              <w:keepNext/>
              <w:tabs>
                <w:tab w:val="left" w:pos="720"/>
              </w:tabs>
              <w:spacing w:after="0" w:line="300" w:lineRule="auto"/>
              <w:jc w:val="center"/>
              <w:rPr>
                <w:rFonts w:cs="Arial"/>
              </w:rPr>
            </w:pPr>
            <w:r w:rsidRPr="00172F56">
              <w:rPr>
                <w:rFonts w:cs="Arial"/>
                <w:color w:val="000000"/>
              </w:rPr>
              <w:t>99</w:t>
            </w:r>
          </w:p>
        </w:tc>
      </w:tr>
      <w:tr w:rsidR="003551DF" w:rsidRPr="008D4A27" w14:paraId="7D5E8353" w14:textId="77777777" w:rsidTr="00172F56">
        <w:tc>
          <w:tcPr>
            <w:tcW w:w="1705" w:type="dxa"/>
          </w:tcPr>
          <w:p w14:paraId="40777654" w14:textId="77777777" w:rsidR="003551DF" w:rsidRPr="008D4A27" w:rsidRDefault="003551DF" w:rsidP="0014104A">
            <w:pPr>
              <w:pStyle w:val="BodyText"/>
              <w:keepNext/>
              <w:tabs>
                <w:tab w:val="left" w:pos="720"/>
              </w:tabs>
              <w:spacing w:after="0" w:line="300" w:lineRule="auto"/>
              <w:rPr>
                <w:rFonts w:cs="Arial"/>
                <w:color w:val="000000"/>
              </w:rPr>
            </w:pPr>
            <w:r w:rsidRPr="008D4A27">
              <w:rPr>
                <w:rFonts w:cs="Arial"/>
                <w:color w:val="000000"/>
              </w:rPr>
              <w:t>Wesham</w:t>
            </w:r>
          </w:p>
        </w:tc>
        <w:tc>
          <w:tcPr>
            <w:tcW w:w="1319" w:type="dxa"/>
            <w:vAlign w:val="bottom"/>
          </w:tcPr>
          <w:p w14:paraId="42035074" w14:textId="7A0AFBBF"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0</w:t>
            </w:r>
          </w:p>
        </w:tc>
        <w:tc>
          <w:tcPr>
            <w:tcW w:w="1321" w:type="dxa"/>
            <w:vAlign w:val="bottom"/>
          </w:tcPr>
          <w:p w14:paraId="1432471D" w14:textId="1268C3CD"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28</w:t>
            </w:r>
          </w:p>
        </w:tc>
        <w:tc>
          <w:tcPr>
            <w:tcW w:w="1321" w:type="dxa"/>
            <w:vAlign w:val="bottom"/>
          </w:tcPr>
          <w:p w14:paraId="67DED642" w14:textId="582C5B39"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12</w:t>
            </w:r>
          </w:p>
        </w:tc>
        <w:tc>
          <w:tcPr>
            <w:tcW w:w="1320" w:type="dxa"/>
            <w:vAlign w:val="bottom"/>
          </w:tcPr>
          <w:p w14:paraId="6ACEA10D" w14:textId="38B48C0C"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40</w:t>
            </w:r>
          </w:p>
        </w:tc>
        <w:tc>
          <w:tcPr>
            <w:tcW w:w="1321" w:type="dxa"/>
            <w:vAlign w:val="bottom"/>
          </w:tcPr>
          <w:p w14:paraId="14057253" w14:textId="016D893F"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24</w:t>
            </w:r>
          </w:p>
        </w:tc>
        <w:tc>
          <w:tcPr>
            <w:tcW w:w="1321" w:type="dxa"/>
            <w:vAlign w:val="bottom"/>
          </w:tcPr>
          <w:p w14:paraId="2FFFA4B5" w14:textId="6236E40A"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16</w:t>
            </w:r>
          </w:p>
        </w:tc>
      </w:tr>
      <w:tr w:rsidR="003551DF" w:rsidRPr="008D4A27" w14:paraId="2132B6BE" w14:textId="77777777" w:rsidTr="00172F56">
        <w:tc>
          <w:tcPr>
            <w:tcW w:w="1705" w:type="dxa"/>
          </w:tcPr>
          <w:p w14:paraId="2DE1039C" w14:textId="77777777" w:rsidR="003551DF" w:rsidRPr="008D4A27" w:rsidRDefault="003551DF" w:rsidP="0014104A">
            <w:pPr>
              <w:pStyle w:val="BodyText"/>
              <w:keepNext/>
              <w:tabs>
                <w:tab w:val="left" w:pos="720"/>
              </w:tabs>
              <w:spacing w:after="0" w:line="300" w:lineRule="auto"/>
              <w:rPr>
                <w:rFonts w:cs="Arial"/>
                <w:color w:val="000000"/>
              </w:rPr>
            </w:pPr>
            <w:r w:rsidRPr="008D4A27">
              <w:rPr>
                <w:rFonts w:cs="Arial"/>
                <w:color w:val="000000"/>
              </w:rPr>
              <w:t>Freckleton</w:t>
            </w:r>
          </w:p>
        </w:tc>
        <w:tc>
          <w:tcPr>
            <w:tcW w:w="1319" w:type="dxa"/>
            <w:vAlign w:val="bottom"/>
          </w:tcPr>
          <w:p w14:paraId="2C544646" w14:textId="6ED74FA3"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0</w:t>
            </w:r>
          </w:p>
        </w:tc>
        <w:tc>
          <w:tcPr>
            <w:tcW w:w="1321" w:type="dxa"/>
            <w:vAlign w:val="bottom"/>
          </w:tcPr>
          <w:p w14:paraId="3818B3A9" w14:textId="55171D1F"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21</w:t>
            </w:r>
          </w:p>
        </w:tc>
        <w:tc>
          <w:tcPr>
            <w:tcW w:w="1321" w:type="dxa"/>
            <w:vAlign w:val="bottom"/>
          </w:tcPr>
          <w:p w14:paraId="26B13822" w14:textId="72C5004E"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0</w:t>
            </w:r>
          </w:p>
        </w:tc>
        <w:tc>
          <w:tcPr>
            <w:tcW w:w="1320" w:type="dxa"/>
            <w:vAlign w:val="bottom"/>
          </w:tcPr>
          <w:p w14:paraId="77C32CBE" w14:textId="0AA9AC92"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21</w:t>
            </w:r>
          </w:p>
        </w:tc>
        <w:tc>
          <w:tcPr>
            <w:tcW w:w="1321" w:type="dxa"/>
            <w:vAlign w:val="bottom"/>
          </w:tcPr>
          <w:p w14:paraId="15985E4D" w14:textId="2A4E16CF"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60</w:t>
            </w:r>
          </w:p>
        </w:tc>
        <w:tc>
          <w:tcPr>
            <w:tcW w:w="1321" w:type="dxa"/>
            <w:vAlign w:val="bottom"/>
          </w:tcPr>
          <w:p w14:paraId="11666B65" w14:textId="10CDDEC4"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-39</w:t>
            </w:r>
          </w:p>
        </w:tc>
      </w:tr>
      <w:tr w:rsidR="003551DF" w:rsidRPr="008D4A27" w14:paraId="36A3401D" w14:textId="77777777" w:rsidTr="00172F56">
        <w:tc>
          <w:tcPr>
            <w:tcW w:w="1705" w:type="dxa"/>
          </w:tcPr>
          <w:p w14:paraId="31996194" w14:textId="77777777" w:rsidR="003551DF" w:rsidRPr="008D4A27" w:rsidRDefault="003551DF" w:rsidP="0014104A">
            <w:pPr>
              <w:pStyle w:val="BodyText"/>
              <w:keepNext/>
              <w:tabs>
                <w:tab w:val="left" w:pos="720"/>
              </w:tabs>
              <w:spacing w:after="0" w:line="300" w:lineRule="auto"/>
              <w:rPr>
                <w:rFonts w:cs="Arial"/>
                <w:color w:val="000000"/>
              </w:rPr>
            </w:pPr>
            <w:r w:rsidRPr="008D4A27">
              <w:rPr>
                <w:rFonts w:cs="Arial"/>
                <w:color w:val="000000"/>
              </w:rPr>
              <w:t>Rural North</w:t>
            </w:r>
          </w:p>
        </w:tc>
        <w:tc>
          <w:tcPr>
            <w:tcW w:w="1319" w:type="dxa"/>
            <w:vAlign w:val="bottom"/>
          </w:tcPr>
          <w:p w14:paraId="64413A56" w14:textId="44E7B755"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0</w:t>
            </w:r>
          </w:p>
        </w:tc>
        <w:tc>
          <w:tcPr>
            <w:tcW w:w="1321" w:type="dxa"/>
            <w:vAlign w:val="bottom"/>
          </w:tcPr>
          <w:p w14:paraId="3567F1B3" w14:textId="0870FF37"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95</w:t>
            </w:r>
          </w:p>
        </w:tc>
        <w:tc>
          <w:tcPr>
            <w:tcW w:w="1321" w:type="dxa"/>
            <w:vAlign w:val="bottom"/>
          </w:tcPr>
          <w:p w14:paraId="6FB02E8D" w14:textId="71FB9175"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11</w:t>
            </w:r>
          </w:p>
        </w:tc>
        <w:tc>
          <w:tcPr>
            <w:tcW w:w="1320" w:type="dxa"/>
            <w:vAlign w:val="bottom"/>
          </w:tcPr>
          <w:p w14:paraId="54F6BED9" w14:textId="5B082359"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106</w:t>
            </w:r>
          </w:p>
        </w:tc>
        <w:tc>
          <w:tcPr>
            <w:tcW w:w="1321" w:type="dxa"/>
            <w:vAlign w:val="bottom"/>
          </w:tcPr>
          <w:p w14:paraId="19046CC4" w14:textId="6240F242"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60</w:t>
            </w:r>
          </w:p>
        </w:tc>
        <w:tc>
          <w:tcPr>
            <w:tcW w:w="1321" w:type="dxa"/>
            <w:vAlign w:val="bottom"/>
          </w:tcPr>
          <w:p w14:paraId="59CD5E30" w14:textId="709AC183"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46</w:t>
            </w:r>
          </w:p>
        </w:tc>
      </w:tr>
      <w:tr w:rsidR="003551DF" w:rsidRPr="008D4A27" w14:paraId="0EC96633" w14:textId="77777777" w:rsidTr="00172F56">
        <w:tc>
          <w:tcPr>
            <w:tcW w:w="1705" w:type="dxa"/>
          </w:tcPr>
          <w:p w14:paraId="2FDF68DC" w14:textId="77777777" w:rsidR="003551DF" w:rsidRPr="008D4A27" w:rsidRDefault="003551DF" w:rsidP="0014104A">
            <w:pPr>
              <w:pStyle w:val="BodyText"/>
              <w:keepNext/>
              <w:tabs>
                <w:tab w:val="left" w:pos="720"/>
              </w:tabs>
              <w:spacing w:after="0" w:line="300" w:lineRule="auto"/>
              <w:rPr>
                <w:rFonts w:cs="Arial"/>
                <w:color w:val="000000"/>
              </w:rPr>
            </w:pPr>
            <w:r w:rsidRPr="008D4A27">
              <w:rPr>
                <w:rFonts w:cs="Arial"/>
                <w:color w:val="000000"/>
              </w:rPr>
              <w:t>Rural West</w:t>
            </w:r>
          </w:p>
        </w:tc>
        <w:tc>
          <w:tcPr>
            <w:tcW w:w="1319" w:type="dxa"/>
            <w:vAlign w:val="bottom"/>
          </w:tcPr>
          <w:p w14:paraId="28C68EF9" w14:textId="7BFEC23C"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0</w:t>
            </w:r>
          </w:p>
        </w:tc>
        <w:tc>
          <w:tcPr>
            <w:tcW w:w="1321" w:type="dxa"/>
            <w:vAlign w:val="bottom"/>
          </w:tcPr>
          <w:p w14:paraId="6467B222" w14:textId="776E7D8A"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39</w:t>
            </w:r>
          </w:p>
        </w:tc>
        <w:tc>
          <w:tcPr>
            <w:tcW w:w="1321" w:type="dxa"/>
            <w:vAlign w:val="bottom"/>
          </w:tcPr>
          <w:p w14:paraId="7929ADB8" w14:textId="64D3202D"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0</w:t>
            </w:r>
          </w:p>
        </w:tc>
        <w:tc>
          <w:tcPr>
            <w:tcW w:w="1320" w:type="dxa"/>
            <w:vAlign w:val="bottom"/>
          </w:tcPr>
          <w:p w14:paraId="4EFA7736" w14:textId="128640BB"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39</w:t>
            </w:r>
          </w:p>
        </w:tc>
        <w:tc>
          <w:tcPr>
            <w:tcW w:w="1321" w:type="dxa"/>
            <w:vAlign w:val="bottom"/>
          </w:tcPr>
          <w:p w14:paraId="79BC26C2" w14:textId="436E0C5E"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34</w:t>
            </w:r>
          </w:p>
        </w:tc>
        <w:tc>
          <w:tcPr>
            <w:tcW w:w="1321" w:type="dxa"/>
            <w:vAlign w:val="bottom"/>
          </w:tcPr>
          <w:p w14:paraId="4227E001" w14:textId="6FDD4218"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5</w:t>
            </w:r>
          </w:p>
        </w:tc>
      </w:tr>
      <w:tr w:rsidR="003551DF" w:rsidRPr="008D4A27" w14:paraId="7EF7F4F3" w14:textId="77777777" w:rsidTr="00172F56">
        <w:tc>
          <w:tcPr>
            <w:tcW w:w="1705" w:type="dxa"/>
          </w:tcPr>
          <w:p w14:paraId="5F627237" w14:textId="77777777" w:rsidR="003551DF" w:rsidRPr="008D4A27" w:rsidRDefault="003551DF" w:rsidP="0014104A">
            <w:pPr>
              <w:pStyle w:val="BodyText"/>
              <w:keepNext/>
              <w:tabs>
                <w:tab w:val="left" w:pos="720"/>
              </w:tabs>
              <w:spacing w:after="0" w:line="300" w:lineRule="auto"/>
              <w:rPr>
                <w:rFonts w:cs="Arial"/>
                <w:color w:val="000000"/>
              </w:rPr>
            </w:pPr>
            <w:r w:rsidRPr="008D4A27">
              <w:rPr>
                <w:rFonts w:cs="Arial"/>
                <w:color w:val="000000"/>
              </w:rPr>
              <w:t>Rural East</w:t>
            </w:r>
          </w:p>
        </w:tc>
        <w:tc>
          <w:tcPr>
            <w:tcW w:w="1319" w:type="dxa"/>
            <w:vAlign w:val="bottom"/>
          </w:tcPr>
          <w:p w14:paraId="5EC490F4" w14:textId="163D8BA8"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0</w:t>
            </w:r>
          </w:p>
        </w:tc>
        <w:tc>
          <w:tcPr>
            <w:tcW w:w="1321" w:type="dxa"/>
            <w:vAlign w:val="bottom"/>
          </w:tcPr>
          <w:p w14:paraId="35F9CCD7" w14:textId="5223661A"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28</w:t>
            </w:r>
          </w:p>
        </w:tc>
        <w:tc>
          <w:tcPr>
            <w:tcW w:w="1321" w:type="dxa"/>
            <w:vAlign w:val="bottom"/>
          </w:tcPr>
          <w:p w14:paraId="4B3412AC" w14:textId="3310C485"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0</w:t>
            </w:r>
          </w:p>
        </w:tc>
        <w:tc>
          <w:tcPr>
            <w:tcW w:w="1320" w:type="dxa"/>
            <w:vAlign w:val="bottom"/>
          </w:tcPr>
          <w:p w14:paraId="27BD1DAA" w14:textId="254FEA53"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28</w:t>
            </w:r>
          </w:p>
        </w:tc>
        <w:tc>
          <w:tcPr>
            <w:tcW w:w="1321" w:type="dxa"/>
            <w:vAlign w:val="bottom"/>
          </w:tcPr>
          <w:p w14:paraId="1D27B9AF" w14:textId="05DD3AFD"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24</w:t>
            </w:r>
          </w:p>
        </w:tc>
        <w:tc>
          <w:tcPr>
            <w:tcW w:w="1321" w:type="dxa"/>
            <w:vAlign w:val="bottom"/>
          </w:tcPr>
          <w:p w14:paraId="180B2786" w14:textId="132C9E4E"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4</w:t>
            </w:r>
          </w:p>
        </w:tc>
      </w:tr>
      <w:tr w:rsidR="003551DF" w:rsidRPr="008D4A27" w14:paraId="1CEB7C0A" w14:textId="77777777" w:rsidTr="00172F56">
        <w:tc>
          <w:tcPr>
            <w:tcW w:w="1705" w:type="dxa"/>
          </w:tcPr>
          <w:p w14:paraId="097D141A" w14:textId="77777777" w:rsidR="003551DF" w:rsidRPr="008D4A27" w:rsidRDefault="003551DF" w:rsidP="0014104A">
            <w:pPr>
              <w:pStyle w:val="BodyText"/>
              <w:keepNext/>
              <w:tabs>
                <w:tab w:val="left" w:pos="720"/>
              </w:tabs>
              <w:spacing w:after="0" w:line="300" w:lineRule="auto"/>
              <w:rPr>
                <w:rFonts w:cs="Arial"/>
                <w:color w:val="000000"/>
              </w:rPr>
            </w:pPr>
            <w:r w:rsidRPr="008D4A27">
              <w:rPr>
                <w:rFonts w:cs="Arial"/>
                <w:color w:val="000000"/>
              </w:rPr>
              <w:t>TOTAL</w:t>
            </w:r>
          </w:p>
        </w:tc>
        <w:tc>
          <w:tcPr>
            <w:tcW w:w="1319" w:type="dxa"/>
            <w:vAlign w:val="bottom"/>
          </w:tcPr>
          <w:p w14:paraId="1E78ECCF" w14:textId="31C1D820"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232</w:t>
            </w:r>
          </w:p>
        </w:tc>
        <w:tc>
          <w:tcPr>
            <w:tcW w:w="1321" w:type="dxa"/>
            <w:vAlign w:val="bottom"/>
          </w:tcPr>
          <w:p w14:paraId="20217FFE" w14:textId="748D0988"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782</w:t>
            </w:r>
          </w:p>
        </w:tc>
        <w:tc>
          <w:tcPr>
            <w:tcW w:w="1321" w:type="dxa"/>
            <w:vAlign w:val="bottom"/>
          </w:tcPr>
          <w:p w14:paraId="4037EEFE" w14:textId="61B3924D"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857</w:t>
            </w:r>
          </w:p>
        </w:tc>
        <w:tc>
          <w:tcPr>
            <w:tcW w:w="1320" w:type="dxa"/>
            <w:vAlign w:val="bottom"/>
          </w:tcPr>
          <w:p w14:paraId="3CD85732" w14:textId="41008364"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1,871</w:t>
            </w:r>
          </w:p>
        </w:tc>
        <w:tc>
          <w:tcPr>
            <w:tcW w:w="1321" w:type="dxa"/>
            <w:vAlign w:val="bottom"/>
          </w:tcPr>
          <w:p w14:paraId="5295F999" w14:textId="4BBD70FD"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997</w:t>
            </w:r>
          </w:p>
        </w:tc>
        <w:tc>
          <w:tcPr>
            <w:tcW w:w="1321" w:type="dxa"/>
            <w:vAlign w:val="bottom"/>
          </w:tcPr>
          <w:p w14:paraId="5E9533A7" w14:textId="3DA475B3" w:rsidR="003551DF" w:rsidRPr="003551DF" w:rsidRDefault="003551DF" w:rsidP="0014104A">
            <w:pPr>
              <w:pStyle w:val="BodyText"/>
              <w:keepNext/>
              <w:tabs>
                <w:tab w:val="left" w:pos="720"/>
              </w:tabs>
              <w:spacing w:after="0" w:line="300" w:lineRule="auto"/>
              <w:jc w:val="center"/>
              <w:rPr>
                <w:rFonts w:cs="Arial"/>
                <w:color w:val="000000"/>
              </w:rPr>
            </w:pPr>
            <w:r w:rsidRPr="00172F56">
              <w:rPr>
                <w:rFonts w:cs="Arial"/>
                <w:color w:val="000000"/>
              </w:rPr>
              <w:t>874</w:t>
            </w:r>
          </w:p>
        </w:tc>
      </w:tr>
    </w:tbl>
    <w:p w14:paraId="11025477" w14:textId="69441B0F" w:rsidR="0007167E" w:rsidRDefault="0014104A" w:rsidP="0014104A">
      <w:pPr>
        <w:spacing w:line="300" w:lineRule="auto"/>
        <w:jc w:val="center"/>
        <w:rPr>
          <w:rFonts w:ascii="Arial" w:hAnsi="Arial" w:cs="Arial"/>
          <w:sz w:val="20"/>
          <w:szCs w:val="20"/>
        </w:rPr>
      </w:pPr>
      <w:r>
        <w:rPr>
          <w:rFonts w:ascii="Arial" w:hAnsi="Arial" w:cs="Arial"/>
          <w:sz w:val="20"/>
          <w:szCs w:val="20"/>
        </w:rPr>
        <w:t>Source: Range of sources, including household survey</w:t>
      </w:r>
    </w:p>
    <w:p w14:paraId="7F463B9E" w14:textId="3CB1BC60" w:rsidR="00B30804" w:rsidRDefault="00B30804" w:rsidP="00172F56">
      <w:pPr>
        <w:spacing w:line="300" w:lineRule="auto"/>
        <w:jc w:val="both"/>
        <w:rPr>
          <w:rFonts w:ascii="Arial" w:hAnsi="Arial" w:cs="Arial"/>
          <w:sz w:val="20"/>
          <w:szCs w:val="20"/>
        </w:rPr>
      </w:pPr>
    </w:p>
    <w:p w14:paraId="216F21FD" w14:textId="3BA83F96" w:rsidR="0007167E" w:rsidRPr="00B30804" w:rsidRDefault="0007167E">
      <w:pPr>
        <w:pStyle w:val="11Bodytext"/>
        <w:numPr>
          <w:ilvl w:val="1"/>
          <w:numId w:val="76"/>
        </w:numPr>
        <w:spacing w:before="0" w:after="0" w:line="300" w:lineRule="auto"/>
        <w:ind w:left="720" w:hanging="720"/>
        <w:rPr>
          <w:color w:val="auto"/>
        </w:rPr>
      </w:pPr>
      <w:r>
        <w:t>Whilst the need above is provided down to sub-area level, it should be remembered that affordable need can be met across the Borough as and when opportunities arise, and so specific sub-area data should not be treated as a local target.</w:t>
      </w:r>
    </w:p>
    <w:p w14:paraId="409C1FE1" w14:textId="193CD14C" w:rsidR="00B30804" w:rsidRDefault="00B30804" w:rsidP="00172F56">
      <w:pPr>
        <w:pStyle w:val="11Bodytext"/>
        <w:numPr>
          <w:ilvl w:val="0"/>
          <w:numId w:val="0"/>
        </w:numPr>
        <w:spacing w:before="0" w:after="0" w:line="300" w:lineRule="auto"/>
      </w:pPr>
    </w:p>
    <w:p w14:paraId="42D807D1" w14:textId="07EAD502" w:rsidR="00B30804" w:rsidRPr="007236BD" w:rsidRDefault="00B30804" w:rsidP="00172F56">
      <w:pPr>
        <w:spacing w:line="300" w:lineRule="auto"/>
        <w:jc w:val="both"/>
        <w:rPr>
          <w:rFonts w:ascii="Arial" w:hAnsi="Arial" w:cs="Arial"/>
          <w:b/>
          <w:lang w:eastAsia="ja-JP"/>
        </w:rPr>
      </w:pPr>
      <w:r>
        <w:rPr>
          <w:rFonts w:ascii="Arial" w:hAnsi="Arial" w:cs="Arial"/>
          <w:b/>
          <w:lang w:eastAsia="ja-JP"/>
        </w:rPr>
        <w:t>Implications of the Analysis</w:t>
      </w:r>
    </w:p>
    <w:p w14:paraId="74B0A707" w14:textId="77777777" w:rsidR="00B30804" w:rsidRPr="002143DA" w:rsidRDefault="00B30804" w:rsidP="00172F56">
      <w:pPr>
        <w:spacing w:line="300" w:lineRule="auto"/>
        <w:jc w:val="both"/>
        <w:rPr>
          <w:rFonts w:ascii="Arial" w:hAnsi="Arial" w:cs="Arial"/>
          <w:sz w:val="20"/>
          <w:szCs w:val="20"/>
          <w:lang w:eastAsia="ja-JP"/>
        </w:rPr>
      </w:pPr>
    </w:p>
    <w:p w14:paraId="7999403F" w14:textId="0409AAA1" w:rsidR="0007167E" w:rsidRPr="00B30804" w:rsidRDefault="0007167E">
      <w:pPr>
        <w:pStyle w:val="11Bodytext"/>
        <w:numPr>
          <w:ilvl w:val="1"/>
          <w:numId w:val="76"/>
        </w:numPr>
        <w:spacing w:before="0" w:after="0" w:line="300" w:lineRule="auto"/>
        <w:ind w:left="720" w:hanging="720"/>
        <w:rPr>
          <w:color w:val="auto"/>
        </w:rPr>
      </w:pPr>
      <w:r>
        <w:t xml:space="preserve">Given the analysis above, it would be reasonable to conclude that there is a need to provide housing under the definition of ‘affordable home ownership’ – although </w:t>
      </w:r>
      <w:r w:rsidR="003551DF">
        <w:t xml:space="preserve">the need for rented forms of </w:t>
      </w:r>
      <w:r w:rsidR="00931AE7">
        <w:t>affordable</w:t>
      </w:r>
      <w:r w:rsidR="003551DF">
        <w:t xml:space="preserve"> housing is more acute (over 70% of the need identified by the survey).</w:t>
      </w:r>
    </w:p>
    <w:p w14:paraId="2A9E520A" w14:textId="77777777" w:rsidR="00B30804" w:rsidRPr="00B30804" w:rsidRDefault="00B30804" w:rsidP="00172F56">
      <w:pPr>
        <w:pStyle w:val="11Bodytext"/>
        <w:numPr>
          <w:ilvl w:val="0"/>
          <w:numId w:val="0"/>
        </w:numPr>
        <w:spacing w:before="0" w:after="0" w:line="300" w:lineRule="auto"/>
        <w:rPr>
          <w:color w:val="auto"/>
        </w:rPr>
      </w:pPr>
    </w:p>
    <w:p w14:paraId="07429778" w14:textId="01E38303" w:rsidR="0007167E" w:rsidRPr="00B30804" w:rsidRDefault="0007167E">
      <w:pPr>
        <w:pStyle w:val="11Bodytext"/>
        <w:numPr>
          <w:ilvl w:val="1"/>
          <w:numId w:val="76"/>
        </w:numPr>
        <w:spacing w:before="0" w:after="0" w:line="300" w:lineRule="auto"/>
        <w:ind w:left="720" w:hanging="720"/>
        <w:rPr>
          <w:color w:val="auto"/>
        </w:rPr>
      </w:pPr>
      <w:r>
        <w:t>Regardless, there are many households in Fylde who are being excluded from the owner-occupied sector. This can be seen by analysis of tenure change, which saw the number of households living in private rented accommodation increasing by 58% from 2001 to 2011 (with the likelihood that there have been further increases since). Over the same period, the number of owners with a mortgage dropped by 9%. That said, some households will choose to privately rent, for example as it is a more flexible option that may be more suitable for a particular household’s life stage (e.g. if moving locations with employment).</w:t>
      </w:r>
    </w:p>
    <w:p w14:paraId="044B238D" w14:textId="77777777" w:rsidR="00B30804" w:rsidRPr="00B30804" w:rsidRDefault="00B30804" w:rsidP="00172F56">
      <w:pPr>
        <w:pStyle w:val="11Bodytext"/>
        <w:numPr>
          <w:ilvl w:val="0"/>
          <w:numId w:val="0"/>
        </w:numPr>
        <w:spacing w:before="0" w:after="0" w:line="300" w:lineRule="auto"/>
        <w:rPr>
          <w:color w:val="auto"/>
        </w:rPr>
      </w:pPr>
    </w:p>
    <w:p w14:paraId="20B97D55" w14:textId="01311E5D" w:rsidR="0007167E" w:rsidRPr="00B30804" w:rsidRDefault="0007167E">
      <w:pPr>
        <w:pStyle w:val="11Bodytext"/>
        <w:numPr>
          <w:ilvl w:val="1"/>
          <w:numId w:val="76"/>
        </w:numPr>
        <w:spacing w:before="0" w:after="0" w:line="300" w:lineRule="auto"/>
        <w:ind w:left="720" w:hanging="720"/>
        <w:rPr>
          <w:color w:val="auto"/>
        </w:rPr>
      </w:pPr>
      <w:r>
        <w:t>On this basis, and as previously noted, it seems likely in Fylde that access to owner-occupation is being restricted by access to capital (e.g. for deposits, stamp duty, legal costs) as well as potentially some mortgage restrictions (e.g. where employment is temporary) rather than simply being due to the cost of housing to buy (although this will be a factor).</w:t>
      </w:r>
      <w:r w:rsidR="00DD51B5">
        <w:t xml:space="preserve"> The high level of debt shown by the survey in relation to </w:t>
      </w:r>
      <w:r w:rsidR="00931AE7">
        <w:t>households</w:t>
      </w:r>
      <w:r w:rsidR="00DD51B5">
        <w:t xml:space="preserve"> living in rented accommodation will also be an important factor.</w:t>
      </w:r>
    </w:p>
    <w:p w14:paraId="1DE816B9" w14:textId="3786D1B2" w:rsidR="00B30804" w:rsidRDefault="00B30804">
      <w:pPr>
        <w:pStyle w:val="11Bodytext"/>
        <w:numPr>
          <w:ilvl w:val="0"/>
          <w:numId w:val="0"/>
        </w:numPr>
        <w:spacing w:before="0" w:after="0" w:line="300" w:lineRule="auto"/>
        <w:rPr>
          <w:color w:val="auto"/>
        </w:rPr>
      </w:pPr>
    </w:p>
    <w:p w14:paraId="4A277933" w14:textId="7455946E" w:rsidR="00177D13" w:rsidRDefault="00177D13">
      <w:pPr>
        <w:pStyle w:val="11Bodytext"/>
        <w:numPr>
          <w:ilvl w:val="0"/>
          <w:numId w:val="0"/>
        </w:numPr>
        <w:spacing w:before="0" w:after="0" w:line="300" w:lineRule="auto"/>
        <w:rPr>
          <w:color w:val="auto"/>
        </w:rPr>
      </w:pPr>
    </w:p>
    <w:p w14:paraId="122C4111" w14:textId="1208A819" w:rsidR="00177D13" w:rsidRDefault="00177D13">
      <w:pPr>
        <w:pStyle w:val="11Bodytext"/>
        <w:numPr>
          <w:ilvl w:val="0"/>
          <w:numId w:val="0"/>
        </w:numPr>
        <w:spacing w:before="0" w:after="0" w:line="300" w:lineRule="auto"/>
        <w:rPr>
          <w:color w:val="auto"/>
        </w:rPr>
      </w:pPr>
    </w:p>
    <w:p w14:paraId="712582CC" w14:textId="24E138C2" w:rsidR="00177D13" w:rsidRDefault="00177D13">
      <w:pPr>
        <w:pStyle w:val="11Bodytext"/>
        <w:numPr>
          <w:ilvl w:val="0"/>
          <w:numId w:val="0"/>
        </w:numPr>
        <w:spacing w:before="0" w:after="0" w:line="300" w:lineRule="auto"/>
        <w:rPr>
          <w:color w:val="auto"/>
        </w:rPr>
      </w:pPr>
    </w:p>
    <w:p w14:paraId="6F4B20DF" w14:textId="77777777" w:rsidR="00177D13" w:rsidRPr="00B30804" w:rsidRDefault="00177D13" w:rsidP="00172F56">
      <w:pPr>
        <w:pStyle w:val="11Bodytext"/>
        <w:numPr>
          <w:ilvl w:val="0"/>
          <w:numId w:val="0"/>
        </w:numPr>
        <w:spacing w:before="0" w:after="0" w:line="300" w:lineRule="auto"/>
        <w:rPr>
          <w:color w:val="auto"/>
        </w:rPr>
      </w:pPr>
    </w:p>
    <w:p w14:paraId="0C6AD769" w14:textId="2C979207" w:rsidR="00DD51B5" w:rsidRPr="007236BD" w:rsidRDefault="00DD51B5" w:rsidP="00DD51B5">
      <w:pPr>
        <w:spacing w:line="300" w:lineRule="auto"/>
        <w:jc w:val="both"/>
        <w:rPr>
          <w:rFonts w:ascii="Arial" w:hAnsi="Arial" w:cs="Arial"/>
          <w:b/>
          <w:lang w:eastAsia="ja-JP"/>
        </w:rPr>
      </w:pPr>
      <w:r>
        <w:rPr>
          <w:rFonts w:ascii="Arial" w:hAnsi="Arial" w:cs="Arial"/>
          <w:b/>
          <w:lang w:eastAsia="ja-JP"/>
        </w:rPr>
        <w:t>The Relationship Between Affordable Need and Overall Housing Need</w:t>
      </w:r>
    </w:p>
    <w:p w14:paraId="79D68A64" w14:textId="77777777" w:rsidR="00DD51B5" w:rsidRPr="002143DA" w:rsidRDefault="00DD51B5" w:rsidP="00DD51B5">
      <w:pPr>
        <w:spacing w:line="300" w:lineRule="auto"/>
        <w:jc w:val="both"/>
        <w:rPr>
          <w:rFonts w:ascii="Arial" w:hAnsi="Arial" w:cs="Arial"/>
          <w:sz w:val="20"/>
          <w:szCs w:val="20"/>
          <w:lang w:eastAsia="ja-JP"/>
        </w:rPr>
      </w:pPr>
    </w:p>
    <w:p w14:paraId="3A0F7271" w14:textId="186252F1" w:rsidR="00DD51B5" w:rsidRPr="00172F56" w:rsidRDefault="00DD51B5">
      <w:pPr>
        <w:pStyle w:val="11Bodytext"/>
        <w:numPr>
          <w:ilvl w:val="1"/>
          <w:numId w:val="76"/>
        </w:numPr>
        <w:spacing w:before="0" w:after="0" w:line="300" w:lineRule="auto"/>
        <w:ind w:left="720" w:hanging="720"/>
        <w:rPr>
          <w:color w:val="auto"/>
        </w:rPr>
      </w:pPr>
      <w:r w:rsidRPr="00373E88">
        <w:t>The PPG encourages local authorities to consider increasing planned housing numbers where this can help to meet the identified affordable need. Specifically, the wording of the PPG [2a-024] states:</w:t>
      </w:r>
    </w:p>
    <w:p w14:paraId="0F149AF3" w14:textId="77777777" w:rsidR="00DD51B5" w:rsidRPr="00172F56" w:rsidRDefault="00DD51B5" w:rsidP="00172F56">
      <w:pPr>
        <w:pStyle w:val="11Bodytext"/>
        <w:numPr>
          <w:ilvl w:val="0"/>
          <w:numId w:val="0"/>
        </w:numPr>
        <w:spacing w:before="0" w:after="0" w:line="300" w:lineRule="auto"/>
      </w:pPr>
    </w:p>
    <w:p w14:paraId="7DA6197C" w14:textId="15B58954" w:rsidR="00DD51B5" w:rsidRDefault="00DD51B5" w:rsidP="00DD51B5">
      <w:pPr>
        <w:pStyle w:val="11Bodytext"/>
        <w:numPr>
          <w:ilvl w:val="0"/>
          <w:numId w:val="0"/>
        </w:numPr>
        <w:spacing w:before="0" w:after="0" w:line="240" w:lineRule="auto"/>
        <w:ind w:left="720"/>
        <w:jc w:val="left"/>
        <w:rPr>
          <w:i/>
          <w:color w:val="auto"/>
        </w:rPr>
      </w:pPr>
      <w:r w:rsidRPr="00907AE2">
        <w:rPr>
          <w:i/>
          <w:color w:val="auto"/>
        </w:rPr>
        <w:t>‘The total affordable housing need can then be considered in the context of its likely delivery as a proportion of mixed market and affordable housing developments, given the probable percentage of affordable housing to be delivered by market housing led developments. An increase in the total housing figures included in the strategic plan may need to be considered where it could help deliver the required number of affordable homes’</w:t>
      </w:r>
    </w:p>
    <w:p w14:paraId="70622970" w14:textId="77777777" w:rsidR="00DD51B5" w:rsidRDefault="00DD51B5" w:rsidP="00172F56">
      <w:pPr>
        <w:pStyle w:val="11Bodytext"/>
        <w:numPr>
          <w:ilvl w:val="0"/>
          <w:numId w:val="0"/>
        </w:numPr>
        <w:spacing w:before="0" w:after="0" w:line="240" w:lineRule="auto"/>
        <w:ind w:left="794" w:hanging="794"/>
        <w:jc w:val="left"/>
        <w:rPr>
          <w:i/>
          <w:color w:val="auto"/>
        </w:rPr>
      </w:pPr>
    </w:p>
    <w:p w14:paraId="682CB257" w14:textId="1604F5B6" w:rsidR="00DD51B5" w:rsidRPr="00172F56" w:rsidRDefault="00DD51B5">
      <w:pPr>
        <w:pStyle w:val="11Bodytext"/>
        <w:numPr>
          <w:ilvl w:val="1"/>
          <w:numId w:val="76"/>
        </w:numPr>
        <w:spacing w:before="0" w:after="0" w:line="300" w:lineRule="auto"/>
        <w:ind w:left="720" w:hanging="720"/>
        <w:rPr>
          <w:color w:val="auto"/>
        </w:rPr>
      </w:pPr>
      <w:r w:rsidRPr="00373E88">
        <w:t>However, the relationship between affordable housing need and overall housing need is complex. This was recognised in the Planning Advisory Service (PAS) Technical Advice Note of July 2015. PAS conclude that there is no arithmetical way of combining the OAN (calculated through demographic projections) and the affordable need. There are a number of reasons why the two cannot be ‘arithmetically’ linked.</w:t>
      </w:r>
    </w:p>
    <w:p w14:paraId="5752FBA4" w14:textId="77777777" w:rsidR="00DD51B5" w:rsidRPr="00172F56" w:rsidRDefault="00DD51B5" w:rsidP="00172F56">
      <w:pPr>
        <w:pStyle w:val="11Bodytext"/>
        <w:numPr>
          <w:ilvl w:val="0"/>
          <w:numId w:val="0"/>
        </w:numPr>
        <w:spacing w:before="0" w:after="0" w:line="300" w:lineRule="auto"/>
        <w:rPr>
          <w:color w:val="auto"/>
        </w:rPr>
      </w:pPr>
    </w:p>
    <w:p w14:paraId="15C29D08" w14:textId="41ABB35C" w:rsidR="00DD51B5" w:rsidRPr="00172F56" w:rsidRDefault="00DD51B5">
      <w:pPr>
        <w:pStyle w:val="11Bodytext"/>
        <w:numPr>
          <w:ilvl w:val="1"/>
          <w:numId w:val="76"/>
        </w:numPr>
        <w:spacing w:before="0" w:after="0" w:line="300" w:lineRule="auto"/>
        <w:ind w:left="720" w:hanging="720"/>
        <w:rPr>
          <w:color w:val="auto"/>
        </w:rPr>
      </w:pPr>
      <w:r w:rsidRPr="00373E88">
        <w:t xml:space="preserve">Firstly, the modelling contains a category in the projection of </w:t>
      </w:r>
      <w:r w:rsidRPr="00DD51B5">
        <w:rPr>
          <w:i/>
        </w:rPr>
        <w:t>‘existing households falling into need’</w:t>
      </w:r>
      <w:r w:rsidRPr="00373E88">
        <w:t xml:space="preserve">; these households already have accommodation and hence if they were to move to alternative accommodation, they would release a dwelling for use by another household – there is no net need to provide additional homes. The modelling also contains </w:t>
      </w:r>
      <w:r w:rsidRPr="00DD51B5">
        <w:rPr>
          <w:i/>
        </w:rPr>
        <w:t>‘newly forming households’</w:t>
      </w:r>
      <w:r w:rsidRPr="00373E88">
        <w:t xml:space="preserve">; these households </w:t>
      </w:r>
      <w:r>
        <w:t xml:space="preserve">would </w:t>
      </w:r>
      <w:r w:rsidR="00931AE7">
        <w:t>form</w:t>
      </w:r>
      <w:r>
        <w:t xml:space="preserve"> part of the</w:t>
      </w:r>
      <w:r w:rsidRPr="00373E88">
        <w:t xml:space="preserve"> demographic modelling </w:t>
      </w:r>
      <w:r>
        <w:t>used to derive overall housing need numbers through the Standard Method</w:t>
      </w:r>
      <w:r w:rsidRPr="00373E88">
        <w:t>.</w:t>
      </w:r>
    </w:p>
    <w:p w14:paraId="4DAE1C4C" w14:textId="77777777" w:rsidR="00DD51B5" w:rsidRPr="00172F56" w:rsidRDefault="00DD51B5" w:rsidP="00172F56">
      <w:pPr>
        <w:pStyle w:val="11Bodytext"/>
        <w:numPr>
          <w:ilvl w:val="0"/>
          <w:numId w:val="0"/>
        </w:numPr>
        <w:spacing w:before="0" w:after="0" w:line="300" w:lineRule="auto"/>
        <w:rPr>
          <w:color w:val="auto"/>
        </w:rPr>
      </w:pPr>
    </w:p>
    <w:p w14:paraId="660F052F" w14:textId="59979B64" w:rsidR="00DD51B5" w:rsidRPr="00172F56" w:rsidRDefault="00DD51B5">
      <w:pPr>
        <w:pStyle w:val="11Bodytext"/>
        <w:numPr>
          <w:ilvl w:val="1"/>
          <w:numId w:val="76"/>
        </w:numPr>
        <w:spacing w:before="0" w:after="0" w:line="300" w:lineRule="auto"/>
        <w:ind w:left="720" w:hanging="720"/>
        <w:rPr>
          <w:color w:val="auto"/>
        </w:rPr>
      </w:pPr>
      <w:r w:rsidRPr="00373E88">
        <w:t xml:space="preserve">This just leaves the </w:t>
      </w:r>
      <w:r w:rsidRPr="00DD51B5">
        <w:rPr>
          <w:i/>
        </w:rPr>
        <w:t>‘current need’</w:t>
      </w:r>
      <w:r w:rsidRPr="00373E88">
        <w:t>; much of this group will be similar to the existing households already described (in that they are already living in accommodation) although it is possible that a number will be households without housing (mainly concealed households) – these households are not included in the demographic modelling and so are arguably an additional need, although uplifts for market signals/affordability (as included in the Government’s Standard Method) would be expected to deal with such households.</w:t>
      </w:r>
    </w:p>
    <w:p w14:paraId="2831314F" w14:textId="77777777" w:rsidR="00DD51B5" w:rsidRPr="00172F56" w:rsidRDefault="00DD51B5" w:rsidP="00172F56">
      <w:pPr>
        <w:pStyle w:val="11Bodytext"/>
        <w:numPr>
          <w:ilvl w:val="0"/>
          <w:numId w:val="0"/>
        </w:numPr>
        <w:spacing w:before="0" w:after="0" w:line="300" w:lineRule="auto"/>
        <w:rPr>
          <w:color w:val="auto"/>
        </w:rPr>
      </w:pPr>
    </w:p>
    <w:p w14:paraId="6946CEA3" w14:textId="29027CCC" w:rsidR="00DD51B5" w:rsidRPr="00172F56" w:rsidRDefault="00DD51B5">
      <w:pPr>
        <w:pStyle w:val="11Bodytext"/>
        <w:numPr>
          <w:ilvl w:val="1"/>
          <w:numId w:val="76"/>
        </w:numPr>
        <w:spacing w:before="0" w:after="0" w:line="300" w:lineRule="auto"/>
        <w:ind w:left="720" w:hanging="720"/>
        <w:rPr>
          <w:color w:val="auto"/>
        </w:rPr>
      </w:pPr>
      <w:r w:rsidRPr="00373E88">
        <w:t xml:space="preserve">The analysis estimates an annual need for </w:t>
      </w:r>
      <w:r w:rsidR="004D38AB">
        <w:t>418</w:t>
      </w:r>
      <w:r w:rsidRPr="00373E88">
        <w:t xml:space="preserve"> rented affordable homes</w:t>
      </w:r>
      <w:r>
        <w:t xml:space="preserve"> plus 175 for affordable home ownership (</w:t>
      </w:r>
      <w:r w:rsidR="004657E8">
        <w:t>593</w:t>
      </w:r>
      <w:r>
        <w:t xml:space="preserve"> per annum in total). This</w:t>
      </w:r>
      <w:r w:rsidRPr="00373E88">
        <w:t xml:space="preserve"> is notionally </w:t>
      </w:r>
      <w:r>
        <w:t>nearly double</w:t>
      </w:r>
      <w:r w:rsidRPr="00373E88">
        <w:t xml:space="preserve"> a Local Housing Need of </w:t>
      </w:r>
      <w:r>
        <w:t>305</w:t>
      </w:r>
      <w:r w:rsidRPr="00373E88">
        <w:t xml:space="preserve"> dwellings per annum (as calculated using the Standard Method</w:t>
      </w:r>
      <w:r>
        <w:t xml:space="preserve"> and contained in the Local Plan</w:t>
      </w:r>
      <w:r w:rsidRPr="00373E88">
        <w:t>).</w:t>
      </w:r>
      <w:r>
        <w:t xml:space="preserve"> </w:t>
      </w:r>
      <w:r w:rsidRPr="00172F56">
        <w:rPr>
          <w:color w:val="auto"/>
        </w:rPr>
        <w:t>However, as noted, caution should be exercised in trying to make a direct link between affordable need and planned delivery, with the key point being that many of those households picked up as having a need will already be living in housing and so providing an affordable option does not lead to an overall net increase in the need for housing (as they would vacate a home to be used by someone else).</w:t>
      </w:r>
    </w:p>
    <w:p w14:paraId="09C4DE28" w14:textId="77777777" w:rsidR="00DD51B5" w:rsidRPr="00172F56" w:rsidRDefault="00DD51B5" w:rsidP="00172F56">
      <w:pPr>
        <w:pStyle w:val="11Bodytext"/>
        <w:numPr>
          <w:ilvl w:val="0"/>
          <w:numId w:val="0"/>
        </w:numPr>
        <w:spacing w:before="0" w:after="0" w:line="300" w:lineRule="auto"/>
        <w:rPr>
          <w:color w:val="auto"/>
        </w:rPr>
      </w:pPr>
    </w:p>
    <w:p w14:paraId="5C723900" w14:textId="1199628A" w:rsidR="00DD51B5" w:rsidRPr="00172F56" w:rsidRDefault="00DD51B5">
      <w:pPr>
        <w:pStyle w:val="11Bodytext"/>
        <w:numPr>
          <w:ilvl w:val="1"/>
          <w:numId w:val="76"/>
        </w:numPr>
        <w:spacing w:before="0" w:after="0" w:line="300" w:lineRule="auto"/>
        <w:ind w:left="720" w:hanging="720"/>
        <w:rPr>
          <w:color w:val="auto"/>
        </w:rPr>
      </w:pPr>
      <w:r w:rsidRPr="00172F56">
        <w:rPr>
          <w:color w:val="auto"/>
        </w:rPr>
        <w:t xml:space="preserve">It is possible to investigate this is some more detail by re-running the model and excluding those already living in accommodation. This is shown in the table below which identifies that meeting these needs would lead to an affordable need for </w:t>
      </w:r>
      <w:r w:rsidR="004657E8">
        <w:rPr>
          <w:color w:val="auto"/>
        </w:rPr>
        <w:t>212</w:t>
      </w:r>
      <w:r w:rsidRPr="00172F56">
        <w:rPr>
          <w:color w:val="auto"/>
        </w:rPr>
        <w:t xml:space="preserve"> homes (</w:t>
      </w:r>
      <w:r w:rsidR="004657E8">
        <w:rPr>
          <w:color w:val="auto"/>
        </w:rPr>
        <w:t>42</w:t>
      </w:r>
      <w:r w:rsidRPr="00172F56">
        <w:rPr>
          <w:color w:val="auto"/>
        </w:rPr>
        <w:t xml:space="preserve"> per annum) across the study area – notionally less than </w:t>
      </w:r>
      <w:r w:rsidR="004657E8">
        <w:rPr>
          <w:color w:val="auto"/>
        </w:rPr>
        <w:t>15</w:t>
      </w:r>
      <w:r w:rsidRPr="00172F56">
        <w:rPr>
          <w:color w:val="auto"/>
        </w:rPr>
        <w:t>% of the Standard Method. This figure is theoretical and should not be seen to be minimising the need (which is clearly acute). It does however show that there is a substantial difference in the figures when looking at overall housing shortages.</w:t>
      </w:r>
    </w:p>
    <w:p w14:paraId="26DC9B93" w14:textId="77777777" w:rsidR="00DD51B5" w:rsidRPr="00172F56" w:rsidRDefault="00DD51B5" w:rsidP="00172F56">
      <w:pPr>
        <w:pStyle w:val="11Bodytext"/>
        <w:numPr>
          <w:ilvl w:val="0"/>
          <w:numId w:val="0"/>
        </w:numPr>
        <w:spacing w:before="0" w:after="0" w:line="300" w:lineRule="auto"/>
        <w:rPr>
          <w:color w:val="auto"/>
        </w:rPr>
      </w:pPr>
    </w:p>
    <w:tbl>
      <w:tblPr>
        <w:tblStyle w:val="TableTheme"/>
        <w:tblW w:w="8199" w:type="dxa"/>
        <w:jc w:val="center"/>
        <w:tblLayout w:type="fixed"/>
        <w:tblLook w:val="04A0" w:firstRow="1" w:lastRow="0" w:firstColumn="1" w:lastColumn="0" w:noHBand="0" w:noVBand="1"/>
      </w:tblPr>
      <w:tblGrid>
        <w:gridCol w:w="3539"/>
        <w:gridCol w:w="1553"/>
        <w:gridCol w:w="1553"/>
        <w:gridCol w:w="1554"/>
      </w:tblGrid>
      <w:tr w:rsidR="0014104A" w:rsidRPr="0014104A" w14:paraId="20F07880" w14:textId="77777777" w:rsidTr="00AB7CF1">
        <w:trPr>
          <w:jc w:val="center"/>
        </w:trPr>
        <w:tc>
          <w:tcPr>
            <w:tcW w:w="8199" w:type="dxa"/>
            <w:gridSpan w:val="4"/>
          </w:tcPr>
          <w:p w14:paraId="3A77CC96" w14:textId="6ABBFC3D" w:rsidR="00DD51B5" w:rsidRPr="00172F56" w:rsidRDefault="00DD51B5" w:rsidP="00172F56">
            <w:pPr>
              <w:pStyle w:val="Heading4"/>
              <w:spacing w:before="0" w:line="300" w:lineRule="auto"/>
              <w:ind w:left="0" w:firstLine="0"/>
              <w:jc w:val="center"/>
              <w:rPr>
                <w:rFonts w:cs="Arial"/>
                <w:i w:val="0"/>
                <w:iCs w:val="0"/>
                <w:color w:val="auto"/>
              </w:rPr>
            </w:pPr>
            <w:r w:rsidRPr="00172F56">
              <w:rPr>
                <w:rFonts w:ascii="Arial" w:hAnsi="Arial" w:cs="Arial"/>
                <w:i w:val="0"/>
                <w:iCs w:val="0"/>
                <w:color w:val="auto"/>
                <w:lang w:eastAsia="en-US"/>
              </w:rPr>
              <w:t>Figure 3.</w:t>
            </w:r>
            <w:r w:rsidR="00DF6242">
              <w:rPr>
                <w:rFonts w:ascii="Arial" w:hAnsi="Arial" w:cs="Arial"/>
                <w:i w:val="0"/>
                <w:iCs w:val="0"/>
                <w:color w:val="auto"/>
                <w:lang w:eastAsia="en-US"/>
              </w:rPr>
              <w:t>1</w:t>
            </w:r>
            <w:r w:rsidRPr="00172F56">
              <w:rPr>
                <w:rFonts w:ascii="Arial" w:hAnsi="Arial" w:cs="Arial"/>
                <w:i w:val="0"/>
                <w:iCs w:val="0"/>
                <w:color w:val="auto"/>
                <w:lang w:eastAsia="en-US"/>
              </w:rPr>
              <w:t>4: Estimated Need for Affordable Housing (social/affordable rented) excluding households already in accommodation – Fylde</w:t>
            </w:r>
            <w:r w:rsidR="0014104A">
              <w:rPr>
                <w:rFonts w:ascii="Arial" w:hAnsi="Arial" w:cs="Arial"/>
                <w:i w:val="0"/>
                <w:iCs w:val="0"/>
                <w:color w:val="auto"/>
                <w:lang w:eastAsia="en-US"/>
              </w:rPr>
              <w:t xml:space="preserve"> (5-years)</w:t>
            </w:r>
          </w:p>
        </w:tc>
      </w:tr>
      <w:tr w:rsidR="00DD51B5" w:rsidRPr="000427F2" w14:paraId="0015383B" w14:textId="4A8872AA" w:rsidTr="00172F56">
        <w:trPr>
          <w:jc w:val="center"/>
        </w:trPr>
        <w:tc>
          <w:tcPr>
            <w:tcW w:w="3539" w:type="dxa"/>
          </w:tcPr>
          <w:p w14:paraId="33D59882" w14:textId="77777777" w:rsidR="00DD51B5" w:rsidRPr="000427F2" w:rsidRDefault="00DD51B5" w:rsidP="0014104A">
            <w:pPr>
              <w:pStyle w:val="BodyText"/>
              <w:keepNext/>
              <w:tabs>
                <w:tab w:val="left" w:pos="720"/>
              </w:tabs>
              <w:spacing w:after="0" w:line="300" w:lineRule="auto"/>
              <w:rPr>
                <w:rFonts w:cs="Arial"/>
                <w:b/>
              </w:rPr>
            </w:pPr>
          </w:p>
        </w:tc>
        <w:tc>
          <w:tcPr>
            <w:tcW w:w="1553" w:type="dxa"/>
          </w:tcPr>
          <w:p w14:paraId="244875C4" w14:textId="5E8E0971" w:rsidR="00DD51B5" w:rsidRPr="000427F2" w:rsidRDefault="00DD51B5" w:rsidP="0014104A">
            <w:pPr>
              <w:pStyle w:val="BodyText"/>
              <w:keepNext/>
              <w:tabs>
                <w:tab w:val="left" w:pos="720"/>
              </w:tabs>
              <w:spacing w:after="0" w:line="300" w:lineRule="auto"/>
              <w:jc w:val="center"/>
              <w:rPr>
                <w:rFonts w:cs="Arial"/>
              </w:rPr>
            </w:pPr>
            <w:r>
              <w:rPr>
                <w:rFonts w:cs="Arial"/>
              </w:rPr>
              <w:t>Rented housing</w:t>
            </w:r>
          </w:p>
        </w:tc>
        <w:tc>
          <w:tcPr>
            <w:tcW w:w="1553" w:type="dxa"/>
          </w:tcPr>
          <w:p w14:paraId="0ADA9F12" w14:textId="45A28D52" w:rsidR="00DD51B5" w:rsidRPr="000427F2" w:rsidRDefault="00DD51B5" w:rsidP="0014104A">
            <w:pPr>
              <w:pStyle w:val="BodyText"/>
              <w:keepNext/>
              <w:tabs>
                <w:tab w:val="left" w:pos="720"/>
              </w:tabs>
              <w:spacing w:after="0" w:line="300" w:lineRule="auto"/>
              <w:jc w:val="center"/>
              <w:rPr>
                <w:rFonts w:cs="Arial"/>
              </w:rPr>
            </w:pPr>
            <w:r>
              <w:rPr>
                <w:rFonts w:cs="Arial"/>
              </w:rPr>
              <w:t>Affordable home ownership</w:t>
            </w:r>
          </w:p>
        </w:tc>
        <w:tc>
          <w:tcPr>
            <w:tcW w:w="1554" w:type="dxa"/>
          </w:tcPr>
          <w:p w14:paraId="6FA3B773" w14:textId="41A76399" w:rsidR="00DD51B5" w:rsidRPr="00B54C5D" w:rsidRDefault="00DD51B5" w:rsidP="0014104A">
            <w:pPr>
              <w:pStyle w:val="BodyText"/>
              <w:keepNext/>
              <w:tabs>
                <w:tab w:val="left" w:pos="720"/>
              </w:tabs>
              <w:spacing w:after="0" w:line="300" w:lineRule="auto"/>
              <w:jc w:val="center"/>
              <w:rPr>
                <w:rFonts w:cs="Arial"/>
              </w:rPr>
            </w:pPr>
            <w:r>
              <w:rPr>
                <w:rFonts w:cs="Arial"/>
              </w:rPr>
              <w:t>TOTAL</w:t>
            </w:r>
          </w:p>
        </w:tc>
      </w:tr>
      <w:tr w:rsidR="004657E8" w:rsidRPr="00721EA3" w14:paraId="7B315754" w14:textId="76C1B2DB" w:rsidTr="00172F56">
        <w:trPr>
          <w:jc w:val="center"/>
        </w:trPr>
        <w:tc>
          <w:tcPr>
            <w:tcW w:w="3539" w:type="dxa"/>
          </w:tcPr>
          <w:p w14:paraId="491AD5DF" w14:textId="77777777" w:rsidR="004657E8" w:rsidRPr="00721EA3" w:rsidRDefault="004657E8" w:rsidP="004657E8">
            <w:pPr>
              <w:pStyle w:val="BodyText"/>
              <w:keepNext/>
              <w:tabs>
                <w:tab w:val="left" w:pos="720"/>
              </w:tabs>
              <w:spacing w:after="0" w:line="300" w:lineRule="auto"/>
              <w:rPr>
                <w:rFonts w:cs="Arial"/>
              </w:rPr>
            </w:pPr>
            <w:r w:rsidRPr="00B54C5D">
              <w:rPr>
                <w:rFonts w:cs="Arial"/>
              </w:rPr>
              <w:t>Current need</w:t>
            </w:r>
          </w:p>
        </w:tc>
        <w:tc>
          <w:tcPr>
            <w:tcW w:w="1553" w:type="dxa"/>
            <w:vAlign w:val="bottom"/>
          </w:tcPr>
          <w:p w14:paraId="258BACD3" w14:textId="2DEBDC88" w:rsidR="004657E8" w:rsidRPr="004657E8" w:rsidRDefault="004657E8" w:rsidP="004657E8">
            <w:pPr>
              <w:pStyle w:val="BodyText"/>
              <w:keepNext/>
              <w:tabs>
                <w:tab w:val="left" w:pos="720"/>
              </w:tabs>
              <w:spacing w:after="0" w:line="300" w:lineRule="auto"/>
              <w:jc w:val="center"/>
              <w:rPr>
                <w:rFonts w:cs="Arial"/>
              </w:rPr>
            </w:pPr>
            <w:r w:rsidRPr="004657E8">
              <w:rPr>
                <w:rFonts w:cs="Arial"/>
                <w:color w:val="000000"/>
              </w:rPr>
              <w:t>28</w:t>
            </w:r>
          </w:p>
        </w:tc>
        <w:tc>
          <w:tcPr>
            <w:tcW w:w="1553" w:type="dxa"/>
            <w:vAlign w:val="bottom"/>
          </w:tcPr>
          <w:p w14:paraId="7A71CF79" w14:textId="3880ADD1" w:rsidR="004657E8" w:rsidRPr="004657E8" w:rsidRDefault="004657E8" w:rsidP="004657E8">
            <w:pPr>
              <w:pStyle w:val="BodyText"/>
              <w:keepNext/>
              <w:tabs>
                <w:tab w:val="left" w:pos="720"/>
              </w:tabs>
              <w:spacing w:after="0" w:line="300" w:lineRule="auto"/>
              <w:jc w:val="center"/>
              <w:rPr>
                <w:rFonts w:cs="Arial"/>
              </w:rPr>
            </w:pPr>
            <w:r w:rsidRPr="004657E8">
              <w:rPr>
                <w:rFonts w:cs="Arial"/>
                <w:color w:val="000000"/>
              </w:rPr>
              <w:t>0</w:t>
            </w:r>
          </w:p>
        </w:tc>
        <w:tc>
          <w:tcPr>
            <w:tcW w:w="1554" w:type="dxa"/>
            <w:vAlign w:val="bottom"/>
          </w:tcPr>
          <w:p w14:paraId="7FF773F7" w14:textId="32CC33F0" w:rsidR="004657E8" w:rsidRPr="004657E8" w:rsidRDefault="004657E8" w:rsidP="004657E8">
            <w:pPr>
              <w:pStyle w:val="BodyText"/>
              <w:keepNext/>
              <w:tabs>
                <w:tab w:val="left" w:pos="720"/>
              </w:tabs>
              <w:spacing w:after="0" w:line="300" w:lineRule="auto"/>
              <w:jc w:val="center"/>
              <w:rPr>
                <w:rFonts w:cs="Arial"/>
                <w:color w:val="000000"/>
              </w:rPr>
            </w:pPr>
            <w:r w:rsidRPr="004657E8">
              <w:rPr>
                <w:rFonts w:cs="Arial"/>
                <w:color w:val="000000"/>
              </w:rPr>
              <w:t>28</w:t>
            </w:r>
          </w:p>
        </w:tc>
      </w:tr>
      <w:tr w:rsidR="004657E8" w:rsidRPr="00721EA3" w14:paraId="4CFD23C3" w14:textId="5328C709" w:rsidTr="00172F56">
        <w:trPr>
          <w:jc w:val="center"/>
        </w:trPr>
        <w:tc>
          <w:tcPr>
            <w:tcW w:w="3539" w:type="dxa"/>
          </w:tcPr>
          <w:p w14:paraId="2EF033D1" w14:textId="77777777" w:rsidR="004657E8" w:rsidRPr="00373E88" w:rsidRDefault="004657E8" w:rsidP="004657E8">
            <w:pPr>
              <w:pStyle w:val="BodyText"/>
              <w:keepNext/>
              <w:tabs>
                <w:tab w:val="left" w:pos="720"/>
              </w:tabs>
              <w:spacing w:after="0" w:line="300" w:lineRule="auto"/>
              <w:rPr>
                <w:rFonts w:ascii="Arial Narrow" w:hAnsi="Arial Narrow" w:cs="Arial"/>
              </w:rPr>
            </w:pPr>
            <w:r w:rsidRPr="00B54C5D">
              <w:rPr>
                <w:rFonts w:cs="Arial"/>
              </w:rPr>
              <w:t>Newly forming households</w:t>
            </w:r>
          </w:p>
        </w:tc>
        <w:tc>
          <w:tcPr>
            <w:tcW w:w="1553" w:type="dxa"/>
            <w:vAlign w:val="bottom"/>
          </w:tcPr>
          <w:p w14:paraId="5000ADF8" w14:textId="48550365" w:rsidR="004657E8" w:rsidRPr="004657E8" w:rsidRDefault="004657E8" w:rsidP="004657E8">
            <w:pPr>
              <w:pStyle w:val="BodyText"/>
              <w:keepNext/>
              <w:tabs>
                <w:tab w:val="left" w:pos="720"/>
              </w:tabs>
              <w:spacing w:after="0" w:line="300" w:lineRule="auto"/>
              <w:jc w:val="center"/>
              <w:rPr>
                <w:rFonts w:cs="Arial"/>
              </w:rPr>
            </w:pPr>
            <w:r w:rsidRPr="004657E8">
              <w:rPr>
                <w:rFonts w:cs="Arial"/>
                <w:color w:val="000000"/>
              </w:rPr>
              <w:t>1,024</w:t>
            </w:r>
          </w:p>
        </w:tc>
        <w:tc>
          <w:tcPr>
            <w:tcW w:w="1553" w:type="dxa"/>
            <w:vAlign w:val="bottom"/>
          </w:tcPr>
          <w:p w14:paraId="451EE327" w14:textId="65066CF5" w:rsidR="004657E8" w:rsidRPr="004657E8" w:rsidRDefault="004657E8" w:rsidP="004657E8">
            <w:pPr>
              <w:pStyle w:val="BodyText"/>
              <w:keepNext/>
              <w:tabs>
                <w:tab w:val="left" w:pos="720"/>
              </w:tabs>
              <w:spacing w:after="0" w:line="300" w:lineRule="auto"/>
              <w:jc w:val="center"/>
              <w:rPr>
                <w:rFonts w:cs="Arial"/>
              </w:rPr>
            </w:pPr>
            <w:r w:rsidRPr="004657E8">
              <w:rPr>
                <w:rFonts w:cs="Arial"/>
                <w:color w:val="000000"/>
              </w:rPr>
              <w:t>782</w:t>
            </w:r>
          </w:p>
        </w:tc>
        <w:tc>
          <w:tcPr>
            <w:tcW w:w="1554" w:type="dxa"/>
            <w:vAlign w:val="bottom"/>
          </w:tcPr>
          <w:p w14:paraId="5E688B4B" w14:textId="7483E6CE" w:rsidR="004657E8" w:rsidRPr="004657E8" w:rsidRDefault="004657E8" w:rsidP="004657E8">
            <w:pPr>
              <w:pStyle w:val="BodyText"/>
              <w:keepNext/>
              <w:tabs>
                <w:tab w:val="left" w:pos="720"/>
              </w:tabs>
              <w:spacing w:after="0" w:line="300" w:lineRule="auto"/>
              <w:jc w:val="center"/>
              <w:rPr>
                <w:rFonts w:cs="Arial"/>
                <w:color w:val="000000"/>
              </w:rPr>
            </w:pPr>
            <w:r w:rsidRPr="004657E8">
              <w:rPr>
                <w:rFonts w:cs="Arial"/>
                <w:color w:val="000000"/>
              </w:rPr>
              <w:t>1,806</w:t>
            </w:r>
          </w:p>
        </w:tc>
      </w:tr>
      <w:tr w:rsidR="004657E8" w:rsidRPr="00721EA3" w14:paraId="57C7B380" w14:textId="6BB4B314" w:rsidTr="00172F56">
        <w:trPr>
          <w:jc w:val="center"/>
        </w:trPr>
        <w:tc>
          <w:tcPr>
            <w:tcW w:w="3539" w:type="dxa"/>
          </w:tcPr>
          <w:p w14:paraId="2651CC74" w14:textId="77777777" w:rsidR="004657E8" w:rsidRPr="00721EA3" w:rsidRDefault="004657E8" w:rsidP="004657E8">
            <w:pPr>
              <w:pStyle w:val="BodyText"/>
              <w:keepNext/>
              <w:tabs>
                <w:tab w:val="left" w:pos="720"/>
              </w:tabs>
              <w:spacing w:after="0" w:line="300" w:lineRule="auto"/>
              <w:rPr>
                <w:rFonts w:ascii="Arial Narrow" w:hAnsi="Arial Narrow" w:cs="Arial"/>
              </w:rPr>
            </w:pPr>
            <w:r w:rsidRPr="00B54C5D">
              <w:rPr>
                <w:rFonts w:cs="Arial"/>
              </w:rPr>
              <w:t>Existing households falling into need</w:t>
            </w:r>
          </w:p>
        </w:tc>
        <w:tc>
          <w:tcPr>
            <w:tcW w:w="1553" w:type="dxa"/>
            <w:vAlign w:val="bottom"/>
          </w:tcPr>
          <w:p w14:paraId="2B1D4519" w14:textId="42ACF112" w:rsidR="004657E8" w:rsidRPr="004657E8" w:rsidRDefault="004657E8" w:rsidP="004657E8">
            <w:pPr>
              <w:pStyle w:val="BodyText"/>
              <w:keepNext/>
              <w:tabs>
                <w:tab w:val="left" w:pos="720"/>
              </w:tabs>
              <w:spacing w:after="0" w:line="300" w:lineRule="auto"/>
              <w:jc w:val="center"/>
              <w:rPr>
                <w:rFonts w:cs="Arial"/>
              </w:rPr>
            </w:pPr>
            <w:r w:rsidRPr="004657E8">
              <w:rPr>
                <w:rFonts w:cs="Arial"/>
                <w:color w:val="000000"/>
              </w:rPr>
              <w:t>0</w:t>
            </w:r>
          </w:p>
        </w:tc>
        <w:tc>
          <w:tcPr>
            <w:tcW w:w="1553" w:type="dxa"/>
            <w:vAlign w:val="bottom"/>
          </w:tcPr>
          <w:p w14:paraId="1CF0AA73" w14:textId="131788BE" w:rsidR="004657E8" w:rsidRPr="004657E8" w:rsidRDefault="004657E8" w:rsidP="004657E8">
            <w:pPr>
              <w:pStyle w:val="BodyText"/>
              <w:keepNext/>
              <w:tabs>
                <w:tab w:val="left" w:pos="720"/>
              </w:tabs>
              <w:spacing w:after="0" w:line="300" w:lineRule="auto"/>
              <w:jc w:val="center"/>
              <w:rPr>
                <w:rFonts w:cs="Arial"/>
              </w:rPr>
            </w:pPr>
            <w:r w:rsidRPr="004657E8">
              <w:rPr>
                <w:rFonts w:cs="Arial"/>
                <w:color w:val="000000"/>
              </w:rPr>
              <w:t>0</w:t>
            </w:r>
          </w:p>
        </w:tc>
        <w:tc>
          <w:tcPr>
            <w:tcW w:w="1554" w:type="dxa"/>
            <w:vAlign w:val="bottom"/>
          </w:tcPr>
          <w:p w14:paraId="0E47099E" w14:textId="5E439840" w:rsidR="004657E8" w:rsidRPr="004657E8" w:rsidRDefault="004657E8" w:rsidP="004657E8">
            <w:pPr>
              <w:pStyle w:val="BodyText"/>
              <w:keepNext/>
              <w:tabs>
                <w:tab w:val="left" w:pos="720"/>
              </w:tabs>
              <w:spacing w:after="0" w:line="300" w:lineRule="auto"/>
              <w:jc w:val="center"/>
              <w:rPr>
                <w:rFonts w:cs="Arial"/>
                <w:color w:val="000000"/>
              </w:rPr>
            </w:pPr>
            <w:r w:rsidRPr="004657E8">
              <w:rPr>
                <w:rFonts w:cs="Arial"/>
                <w:color w:val="000000"/>
              </w:rPr>
              <w:t>0</w:t>
            </w:r>
          </w:p>
        </w:tc>
      </w:tr>
      <w:tr w:rsidR="004657E8" w:rsidRPr="00721EA3" w14:paraId="4A2668D5" w14:textId="5648B5E8" w:rsidTr="00172F56">
        <w:trPr>
          <w:jc w:val="center"/>
        </w:trPr>
        <w:tc>
          <w:tcPr>
            <w:tcW w:w="3539" w:type="dxa"/>
          </w:tcPr>
          <w:p w14:paraId="233E1868" w14:textId="77777777" w:rsidR="004657E8" w:rsidRPr="00721EA3" w:rsidRDefault="004657E8" w:rsidP="004657E8">
            <w:pPr>
              <w:pStyle w:val="BodyText"/>
              <w:keepNext/>
              <w:tabs>
                <w:tab w:val="left" w:pos="720"/>
              </w:tabs>
              <w:spacing w:after="0" w:line="300" w:lineRule="auto"/>
              <w:rPr>
                <w:rFonts w:cs="Arial"/>
              </w:rPr>
            </w:pPr>
            <w:r w:rsidRPr="00B54C5D">
              <w:rPr>
                <w:rFonts w:cs="Arial"/>
              </w:rPr>
              <w:t>Total Gross Need</w:t>
            </w:r>
          </w:p>
        </w:tc>
        <w:tc>
          <w:tcPr>
            <w:tcW w:w="1553" w:type="dxa"/>
            <w:vAlign w:val="bottom"/>
          </w:tcPr>
          <w:p w14:paraId="203B1EA2" w14:textId="3B235AD3" w:rsidR="004657E8" w:rsidRPr="004657E8" w:rsidRDefault="004657E8" w:rsidP="004657E8">
            <w:pPr>
              <w:pStyle w:val="BodyText"/>
              <w:keepNext/>
              <w:tabs>
                <w:tab w:val="left" w:pos="720"/>
              </w:tabs>
              <w:spacing w:after="0" w:line="300" w:lineRule="auto"/>
              <w:jc w:val="center"/>
              <w:rPr>
                <w:rFonts w:cs="Arial"/>
              </w:rPr>
            </w:pPr>
            <w:r w:rsidRPr="004657E8">
              <w:rPr>
                <w:rFonts w:cs="Arial"/>
                <w:color w:val="000000"/>
              </w:rPr>
              <w:t>1,052</w:t>
            </w:r>
          </w:p>
        </w:tc>
        <w:tc>
          <w:tcPr>
            <w:tcW w:w="1553" w:type="dxa"/>
            <w:vAlign w:val="bottom"/>
          </w:tcPr>
          <w:p w14:paraId="1712DFF5" w14:textId="410EC3AC" w:rsidR="004657E8" w:rsidRPr="004657E8" w:rsidRDefault="004657E8" w:rsidP="004657E8">
            <w:pPr>
              <w:pStyle w:val="BodyText"/>
              <w:keepNext/>
              <w:tabs>
                <w:tab w:val="left" w:pos="720"/>
              </w:tabs>
              <w:spacing w:after="0" w:line="300" w:lineRule="auto"/>
              <w:jc w:val="center"/>
              <w:rPr>
                <w:rFonts w:cs="Arial"/>
              </w:rPr>
            </w:pPr>
            <w:r w:rsidRPr="004657E8">
              <w:rPr>
                <w:rFonts w:cs="Arial"/>
                <w:color w:val="000000"/>
              </w:rPr>
              <w:t>782</w:t>
            </w:r>
          </w:p>
        </w:tc>
        <w:tc>
          <w:tcPr>
            <w:tcW w:w="1554" w:type="dxa"/>
            <w:vAlign w:val="bottom"/>
          </w:tcPr>
          <w:p w14:paraId="3E77785F" w14:textId="244A00F3" w:rsidR="004657E8" w:rsidRPr="004657E8" w:rsidRDefault="004657E8" w:rsidP="004657E8">
            <w:pPr>
              <w:pStyle w:val="BodyText"/>
              <w:keepNext/>
              <w:tabs>
                <w:tab w:val="left" w:pos="720"/>
              </w:tabs>
              <w:spacing w:after="0" w:line="300" w:lineRule="auto"/>
              <w:jc w:val="center"/>
              <w:rPr>
                <w:rFonts w:cs="Arial"/>
                <w:color w:val="000000"/>
              </w:rPr>
            </w:pPr>
            <w:r w:rsidRPr="004657E8">
              <w:rPr>
                <w:rFonts w:cs="Arial"/>
                <w:color w:val="000000"/>
              </w:rPr>
              <w:t>1,834</w:t>
            </w:r>
          </w:p>
        </w:tc>
      </w:tr>
      <w:tr w:rsidR="004657E8" w:rsidRPr="00721EA3" w14:paraId="79AC043C" w14:textId="0851AE5B" w:rsidTr="00172F56">
        <w:trPr>
          <w:jc w:val="center"/>
        </w:trPr>
        <w:tc>
          <w:tcPr>
            <w:tcW w:w="3539" w:type="dxa"/>
          </w:tcPr>
          <w:p w14:paraId="3E90A160" w14:textId="77777777" w:rsidR="004657E8" w:rsidRPr="00721EA3" w:rsidRDefault="004657E8" w:rsidP="004657E8">
            <w:pPr>
              <w:pStyle w:val="BodyText"/>
              <w:keepNext/>
              <w:tabs>
                <w:tab w:val="left" w:pos="720"/>
              </w:tabs>
              <w:spacing w:after="0" w:line="300" w:lineRule="auto"/>
              <w:rPr>
                <w:rFonts w:cs="Arial"/>
              </w:rPr>
            </w:pPr>
            <w:r w:rsidRPr="00B54C5D">
              <w:rPr>
                <w:rFonts w:cs="Arial"/>
              </w:rPr>
              <w:t>Re-let Supply</w:t>
            </w:r>
          </w:p>
        </w:tc>
        <w:tc>
          <w:tcPr>
            <w:tcW w:w="1553" w:type="dxa"/>
            <w:vAlign w:val="bottom"/>
          </w:tcPr>
          <w:p w14:paraId="4D8BAC3A" w14:textId="01BDDF89" w:rsidR="004657E8" w:rsidRPr="004657E8" w:rsidRDefault="004657E8" w:rsidP="004657E8">
            <w:pPr>
              <w:pStyle w:val="BodyText"/>
              <w:keepNext/>
              <w:tabs>
                <w:tab w:val="left" w:pos="720"/>
              </w:tabs>
              <w:spacing w:after="0" w:line="300" w:lineRule="auto"/>
              <w:jc w:val="center"/>
              <w:rPr>
                <w:rFonts w:cs="Arial"/>
              </w:rPr>
            </w:pPr>
            <w:r w:rsidRPr="004657E8">
              <w:rPr>
                <w:rFonts w:cs="Arial"/>
                <w:color w:val="000000"/>
              </w:rPr>
              <w:t>625</w:t>
            </w:r>
          </w:p>
        </w:tc>
        <w:tc>
          <w:tcPr>
            <w:tcW w:w="1553" w:type="dxa"/>
            <w:vAlign w:val="bottom"/>
          </w:tcPr>
          <w:p w14:paraId="025B0A6F" w14:textId="32D5D158" w:rsidR="004657E8" w:rsidRPr="004657E8" w:rsidRDefault="004657E8" w:rsidP="004657E8">
            <w:pPr>
              <w:pStyle w:val="BodyText"/>
              <w:keepNext/>
              <w:tabs>
                <w:tab w:val="left" w:pos="720"/>
              </w:tabs>
              <w:spacing w:after="0" w:line="300" w:lineRule="auto"/>
              <w:jc w:val="center"/>
              <w:rPr>
                <w:rFonts w:cs="Arial"/>
              </w:rPr>
            </w:pPr>
            <w:r w:rsidRPr="004657E8">
              <w:rPr>
                <w:rFonts w:cs="Arial"/>
                <w:color w:val="000000"/>
              </w:rPr>
              <w:t>997</w:t>
            </w:r>
          </w:p>
        </w:tc>
        <w:tc>
          <w:tcPr>
            <w:tcW w:w="1554" w:type="dxa"/>
            <w:vAlign w:val="bottom"/>
          </w:tcPr>
          <w:p w14:paraId="409A845E" w14:textId="604DBA13" w:rsidR="004657E8" w:rsidRPr="004657E8" w:rsidRDefault="004657E8" w:rsidP="004657E8">
            <w:pPr>
              <w:pStyle w:val="BodyText"/>
              <w:keepNext/>
              <w:tabs>
                <w:tab w:val="left" w:pos="720"/>
              </w:tabs>
              <w:spacing w:after="0" w:line="300" w:lineRule="auto"/>
              <w:jc w:val="center"/>
              <w:rPr>
                <w:rFonts w:cs="Arial"/>
                <w:color w:val="000000"/>
              </w:rPr>
            </w:pPr>
            <w:r w:rsidRPr="004657E8">
              <w:rPr>
                <w:rFonts w:cs="Arial"/>
                <w:color w:val="000000"/>
              </w:rPr>
              <w:t>1,622</w:t>
            </w:r>
          </w:p>
        </w:tc>
      </w:tr>
      <w:tr w:rsidR="004657E8" w:rsidRPr="00721EA3" w14:paraId="379025A4" w14:textId="02D4E38B" w:rsidTr="00172F56">
        <w:trPr>
          <w:trHeight w:val="58"/>
          <w:jc w:val="center"/>
        </w:trPr>
        <w:tc>
          <w:tcPr>
            <w:tcW w:w="3539" w:type="dxa"/>
          </w:tcPr>
          <w:p w14:paraId="572B6FAD" w14:textId="77777777" w:rsidR="004657E8" w:rsidRDefault="004657E8" w:rsidP="004657E8">
            <w:pPr>
              <w:pStyle w:val="BodyText"/>
              <w:keepNext/>
              <w:tabs>
                <w:tab w:val="left" w:pos="720"/>
              </w:tabs>
              <w:spacing w:after="0" w:line="300" w:lineRule="auto"/>
              <w:rPr>
                <w:rFonts w:cs="Arial"/>
              </w:rPr>
            </w:pPr>
            <w:r w:rsidRPr="00B54C5D">
              <w:rPr>
                <w:rFonts w:cs="Arial"/>
              </w:rPr>
              <w:t>Net Need</w:t>
            </w:r>
          </w:p>
        </w:tc>
        <w:tc>
          <w:tcPr>
            <w:tcW w:w="1553" w:type="dxa"/>
            <w:vAlign w:val="bottom"/>
          </w:tcPr>
          <w:p w14:paraId="386836C2" w14:textId="50351F8D" w:rsidR="004657E8" w:rsidRPr="004657E8" w:rsidRDefault="004657E8" w:rsidP="004657E8">
            <w:pPr>
              <w:pStyle w:val="BodyText"/>
              <w:keepNext/>
              <w:tabs>
                <w:tab w:val="left" w:pos="720"/>
              </w:tabs>
              <w:spacing w:after="0" w:line="300" w:lineRule="auto"/>
              <w:jc w:val="center"/>
              <w:rPr>
                <w:rFonts w:cs="Arial"/>
                <w:color w:val="000000"/>
              </w:rPr>
            </w:pPr>
            <w:r w:rsidRPr="004657E8">
              <w:rPr>
                <w:rFonts w:cs="Arial"/>
                <w:color w:val="000000"/>
              </w:rPr>
              <w:t>427</w:t>
            </w:r>
          </w:p>
        </w:tc>
        <w:tc>
          <w:tcPr>
            <w:tcW w:w="1553" w:type="dxa"/>
            <w:vAlign w:val="bottom"/>
          </w:tcPr>
          <w:p w14:paraId="1109946F" w14:textId="0A6765FA" w:rsidR="004657E8" w:rsidRPr="004657E8" w:rsidRDefault="004657E8" w:rsidP="004657E8">
            <w:pPr>
              <w:pStyle w:val="BodyText"/>
              <w:keepNext/>
              <w:tabs>
                <w:tab w:val="left" w:pos="720"/>
              </w:tabs>
              <w:spacing w:after="0" w:line="300" w:lineRule="auto"/>
              <w:jc w:val="center"/>
              <w:rPr>
                <w:rFonts w:cs="Arial"/>
                <w:color w:val="000000"/>
              </w:rPr>
            </w:pPr>
            <w:r w:rsidRPr="004657E8">
              <w:rPr>
                <w:rFonts w:cs="Arial"/>
                <w:color w:val="000000"/>
              </w:rPr>
              <w:t>-215</w:t>
            </w:r>
          </w:p>
        </w:tc>
        <w:tc>
          <w:tcPr>
            <w:tcW w:w="1554" w:type="dxa"/>
            <w:vAlign w:val="bottom"/>
          </w:tcPr>
          <w:p w14:paraId="3C29F35C" w14:textId="77ECF3E0" w:rsidR="004657E8" w:rsidRPr="004657E8" w:rsidRDefault="004657E8" w:rsidP="004657E8">
            <w:pPr>
              <w:pStyle w:val="BodyText"/>
              <w:keepNext/>
              <w:tabs>
                <w:tab w:val="left" w:pos="720"/>
              </w:tabs>
              <w:spacing w:after="0" w:line="300" w:lineRule="auto"/>
              <w:jc w:val="center"/>
              <w:rPr>
                <w:rFonts w:cs="Arial"/>
                <w:color w:val="000000"/>
              </w:rPr>
            </w:pPr>
            <w:r w:rsidRPr="004657E8">
              <w:rPr>
                <w:rFonts w:cs="Arial"/>
                <w:color w:val="000000"/>
              </w:rPr>
              <w:t>212</w:t>
            </w:r>
          </w:p>
        </w:tc>
      </w:tr>
    </w:tbl>
    <w:p w14:paraId="3000CAB6" w14:textId="66477BB3" w:rsidR="00DD51B5" w:rsidRPr="00172F56" w:rsidRDefault="00DD51B5" w:rsidP="00172F56">
      <w:pPr>
        <w:spacing w:line="300" w:lineRule="auto"/>
        <w:jc w:val="center"/>
        <w:rPr>
          <w:rFonts w:ascii="Arial" w:hAnsi="Arial" w:cs="Arial"/>
          <w:sz w:val="20"/>
          <w:szCs w:val="20"/>
        </w:rPr>
      </w:pPr>
      <w:r w:rsidRPr="00172F56">
        <w:rPr>
          <w:rFonts w:ascii="Arial" w:hAnsi="Arial" w:cs="Arial"/>
          <w:sz w:val="20"/>
          <w:szCs w:val="20"/>
        </w:rPr>
        <w:t>Source: Range of sources</w:t>
      </w:r>
      <w:r w:rsidR="0014104A">
        <w:rPr>
          <w:rFonts w:ascii="Arial" w:hAnsi="Arial" w:cs="Arial"/>
          <w:sz w:val="20"/>
          <w:szCs w:val="20"/>
        </w:rPr>
        <w:t>, including household survey</w:t>
      </w:r>
    </w:p>
    <w:p w14:paraId="132BC6A3" w14:textId="77777777" w:rsidR="00DD51B5" w:rsidRPr="0092551A" w:rsidRDefault="00DD51B5" w:rsidP="00DD51B5">
      <w:pPr>
        <w:pStyle w:val="11Bodytext"/>
        <w:numPr>
          <w:ilvl w:val="0"/>
          <w:numId w:val="0"/>
        </w:numPr>
        <w:spacing w:before="0" w:after="0" w:line="300" w:lineRule="auto"/>
        <w:rPr>
          <w:color w:val="auto"/>
        </w:rPr>
      </w:pPr>
    </w:p>
    <w:p w14:paraId="693664A4" w14:textId="16DC0F1D" w:rsidR="00DD51B5" w:rsidRPr="00172F56" w:rsidRDefault="00DD51B5">
      <w:pPr>
        <w:pStyle w:val="11Bodytext"/>
        <w:numPr>
          <w:ilvl w:val="1"/>
          <w:numId w:val="76"/>
        </w:numPr>
        <w:spacing w:before="0" w:after="0" w:line="300" w:lineRule="auto"/>
        <w:ind w:left="720" w:hanging="720"/>
        <w:rPr>
          <w:color w:val="auto"/>
        </w:rPr>
      </w:pPr>
      <w:r w:rsidRPr="00373E88">
        <w:t xml:space="preserve">It is </w:t>
      </w:r>
      <w:r>
        <w:t>also</w:t>
      </w:r>
      <w:r w:rsidRPr="00373E88">
        <w:t xml:space="preserve"> worth briefly thinking about how affordable need works in practice and the housing available to those unable to access market housing without Housing Benefit. In particular, the role played by the Private Rented Sector (PRS) in providing housing for households who require financial support in meeting their housing needs should be recognised.</w:t>
      </w:r>
    </w:p>
    <w:p w14:paraId="133C7EDD" w14:textId="77777777" w:rsidR="00DD51B5" w:rsidRPr="00172F56" w:rsidRDefault="00DD51B5" w:rsidP="00172F56">
      <w:pPr>
        <w:pStyle w:val="11Bodytext"/>
        <w:numPr>
          <w:ilvl w:val="0"/>
          <w:numId w:val="0"/>
        </w:numPr>
        <w:spacing w:before="0" w:after="0" w:line="300" w:lineRule="auto"/>
        <w:rPr>
          <w:color w:val="auto"/>
        </w:rPr>
      </w:pPr>
    </w:p>
    <w:p w14:paraId="66BFC65C" w14:textId="66F92890" w:rsidR="00DD51B5" w:rsidRPr="00172F56" w:rsidRDefault="00DD51B5">
      <w:pPr>
        <w:pStyle w:val="11Bodytext"/>
        <w:numPr>
          <w:ilvl w:val="1"/>
          <w:numId w:val="76"/>
        </w:numPr>
        <w:spacing w:before="0" w:after="0" w:line="300" w:lineRule="auto"/>
        <w:ind w:left="720" w:hanging="720"/>
        <w:rPr>
          <w:color w:val="auto"/>
        </w:rPr>
      </w:pPr>
      <w:r w:rsidRPr="00373E88">
        <w:t xml:space="preserve">Whilst the Private Rented Sector (PRS) does not fall within the types of affordable housing set out in the NPPF (other than affordable private rent which is a specific tenure separate from the main ‘full market’ PRS), it has evidently been playing a role in meeting the needs of households who require financial support in meeting their housing need. Government recognises this, and indeed legislated through the 2011 Localism Act to allow Councils to discharge their “homelessness duty” through providing an offer of a suitable </w:t>
      </w:r>
      <w:r w:rsidR="003C7AF4">
        <w:t>housing</w:t>
      </w:r>
      <w:r w:rsidRPr="00373E88">
        <w:t xml:space="preserve"> in the PRS.</w:t>
      </w:r>
    </w:p>
    <w:p w14:paraId="24279BB0" w14:textId="77777777" w:rsidR="00DD51B5" w:rsidRPr="00172F56" w:rsidRDefault="00DD51B5" w:rsidP="00172F56">
      <w:pPr>
        <w:pStyle w:val="11Bodytext"/>
        <w:numPr>
          <w:ilvl w:val="0"/>
          <w:numId w:val="0"/>
        </w:numPr>
        <w:spacing w:before="0" w:after="0" w:line="300" w:lineRule="auto"/>
        <w:rPr>
          <w:color w:val="auto"/>
        </w:rPr>
      </w:pPr>
    </w:p>
    <w:p w14:paraId="6629AF01" w14:textId="23273960" w:rsidR="00DD51B5" w:rsidRPr="00172F56" w:rsidRDefault="00DD51B5">
      <w:pPr>
        <w:pStyle w:val="11Bodytext"/>
        <w:numPr>
          <w:ilvl w:val="1"/>
          <w:numId w:val="76"/>
        </w:numPr>
        <w:spacing w:before="0" w:after="0" w:line="300" w:lineRule="auto"/>
        <w:ind w:left="720" w:hanging="720"/>
        <w:rPr>
          <w:color w:val="auto"/>
        </w:rPr>
      </w:pPr>
      <w:r w:rsidRPr="00373E88">
        <w:t xml:space="preserve">It is also worth reflecting on the NPPF (Annex 2) definition of affordable housing. This says: </w:t>
      </w:r>
      <w:r w:rsidRPr="00DD51B5">
        <w:rPr>
          <w:i/>
        </w:rPr>
        <w:t xml:space="preserve">‘Affordable housing: housing for sale or rent, for those whose </w:t>
      </w:r>
      <w:r w:rsidRPr="00DD51B5">
        <w:rPr>
          <w:i/>
          <w:u w:val="single"/>
        </w:rPr>
        <w:t>needs are not met by the market’</w:t>
      </w:r>
      <w:r w:rsidRPr="00373E88">
        <w:t xml:space="preserve"> [emphasis added]. Clearly where a household is able to access suitable housing in the private rented sector (with or without Housing Benefit) it is the case that these needs are being met by the market (as within the NPPF definition). As such the role played by the private rented sector should be </w:t>
      </w:r>
      <w:r w:rsidRPr="00F950C2">
        <w:t>recognised – it is evidently part of the functioning housing market.</w:t>
      </w:r>
    </w:p>
    <w:p w14:paraId="32D0E0EE" w14:textId="77777777" w:rsidR="00DD51B5" w:rsidRPr="00172F56" w:rsidRDefault="00DD51B5" w:rsidP="00172F56">
      <w:pPr>
        <w:pStyle w:val="11Bodytext"/>
        <w:numPr>
          <w:ilvl w:val="0"/>
          <w:numId w:val="0"/>
        </w:numPr>
        <w:spacing w:before="0" w:after="0" w:line="300" w:lineRule="auto"/>
        <w:rPr>
          <w:color w:val="auto"/>
        </w:rPr>
      </w:pPr>
    </w:p>
    <w:p w14:paraId="682BB5AB" w14:textId="2DF5D9AB" w:rsidR="00DD51B5" w:rsidRPr="00172F56" w:rsidRDefault="00DD51B5">
      <w:pPr>
        <w:pStyle w:val="11Bodytext"/>
        <w:numPr>
          <w:ilvl w:val="1"/>
          <w:numId w:val="76"/>
        </w:numPr>
        <w:spacing w:before="0" w:after="0" w:line="300" w:lineRule="auto"/>
        <w:ind w:left="720" w:hanging="720"/>
        <w:rPr>
          <w:color w:val="auto"/>
        </w:rPr>
      </w:pPr>
      <w:r w:rsidRPr="00396F8E">
        <w:t xml:space="preserve">Data from the Department of Work and Pensions (DWP) has been used to look at the number of Housing Benefit supported private rented homes. As of </w:t>
      </w:r>
      <w:r>
        <w:t>May 2022</w:t>
      </w:r>
      <w:r w:rsidRPr="00396F8E">
        <w:t xml:space="preserve">, it is estimated that there were around </w:t>
      </w:r>
      <w:r>
        <w:t>3,000</w:t>
      </w:r>
      <w:r w:rsidRPr="00396F8E">
        <w:t xml:space="preserve"> benefit claimants in the private rented sector in </w:t>
      </w:r>
      <w:r>
        <w:t>Fylde</w:t>
      </w:r>
      <w:r w:rsidRPr="00396F8E">
        <w:t>. From this, it is clear that the PRS contributes to the wider delivery of ‘affordable homes’ with the support of benefit claims, and further complicates any attempts to find a relationship between affordable need and overall housing need.</w:t>
      </w:r>
    </w:p>
    <w:p w14:paraId="10B277C7" w14:textId="77777777" w:rsidR="00DD51B5" w:rsidRPr="00172F56" w:rsidRDefault="00DD51B5" w:rsidP="00172F56">
      <w:pPr>
        <w:pStyle w:val="11Bodytext"/>
        <w:numPr>
          <w:ilvl w:val="0"/>
          <w:numId w:val="0"/>
        </w:numPr>
        <w:spacing w:before="0" w:after="0" w:line="300" w:lineRule="auto"/>
        <w:rPr>
          <w:color w:val="auto"/>
        </w:rPr>
      </w:pPr>
    </w:p>
    <w:p w14:paraId="6FE54812" w14:textId="7F5A85F2" w:rsidR="00DD51B5" w:rsidRPr="00172F56" w:rsidRDefault="00DD51B5">
      <w:pPr>
        <w:pStyle w:val="11Bodytext"/>
        <w:numPr>
          <w:ilvl w:val="1"/>
          <w:numId w:val="76"/>
        </w:numPr>
        <w:spacing w:before="0" w:after="0" w:line="300" w:lineRule="auto"/>
        <w:ind w:left="720" w:hanging="720"/>
        <w:rPr>
          <w:color w:val="auto"/>
        </w:rPr>
      </w:pPr>
      <w:r w:rsidRPr="00396F8E">
        <w:t xml:space="preserve">The figure below shows the trend in the number of claimants in the </w:t>
      </w:r>
      <w:r>
        <w:t>Borough</w:t>
      </w:r>
      <w:r w:rsidRPr="00396F8E">
        <w:t xml:space="preserve">. This shows there has been a notable increase since March 2020, which is likely to be related to the Covid-19 pandemic. However, even the more historical data shows a substantial number of households claiming benefit support for their housing in the private sector (typically in excess of </w:t>
      </w:r>
      <w:r>
        <w:t>2,500</w:t>
      </w:r>
      <w:r w:rsidRPr="00396F8E">
        <w:t xml:space="preserve"> households).</w:t>
      </w:r>
      <w:r w:rsidR="00454E5A">
        <w:t xml:space="preserve"> On the basis of an estimated private rented sector of 7,750 households, the current number of claimants represents nearly 40% of the sector, clearly showing the important role played in providing housing for those who cannot afford.</w:t>
      </w:r>
    </w:p>
    <w:p w14:paraId="500F7BB4" w14:textId="2C1F8962" w:rsidR="00DD51B5" w:rsidRDefault="00DD51B5" w:rsidP="00DD51B5">
      <w:pPr>
        <w:pStyle w:val="11Bodytext"/>
        <w:numPr>
          <w:ilvl w:val="0"/>
          <w:numId w:val="0"/>
        </w:numPr>
        <w:spacing w:before="0" w:after="0" w:line="300" w:lineRule="auto"/>
        <w:rPr>
          <w:color w:val="auto"/>
        </w:rPr>
      </w:pPr>
    </w:p>
    <w:tbl>
      <w:tblPr>
        <w:tblStyle w:val="TableGrid10"/>
        <w:tblW w:w="8199" w:type="dxa"/>
        <w:jc w:val="center"/>
        <w:tblLook w:val="04A0" w:firstRow="1" w:lastRow="0" w:firstColumn="1" w:lastColumn="0" w:noHBand="0" w:noVBand="1"/>
      </w:tblPr>
      <w:tblGrid>
        <w:gridCol w:w="8199"/>
      </w:tblGrid>
      <w:tr w:rsidR="00DD51B5" w:rsidRPr="00DD51B5" w14:paraId="58AE6C9C" w14:textId="77777777" w:rsidTr="00172F56">
        <w:trPr>
          <w:jc w:val="center"/>
        </w:trPr>
        <w:tc>
          <w:tcPr>
            <w:tcW w:w="0" w:type="dxa"/>
          </w:tcPr>
          <w:p w14:paraId="34EF3AC5" w14:textId="137035F6" w:rsidR="00DD51B5" w:rsidRPr="00172F56" w:rsidRDefault="00DD51B5" w:rsidP="00172F56">
            <w:pPr>
              <w:pStyle w:val="11Bodytext"/>
              <w:keepNext/>
              <w:numPr>
                <w:ilvl w:val="0"/>
                <w:numId w:val="0"/>
              </w:numPr>
              <w:spacing w:before="0" w:after="0" w:line="300" w:lineRule="auto"/>
              <w:jc w:val="center"/>
              <w:rPr>
                <w:b/>
                <w:bCs w:val="0"/>
                <w:color w:val="auto"/>
              </w:rPr>
            </w:pPr>
            <w:r w:rsidRPr="00172F56">
              <w:rPr>
                <w:b/>
                <w:bCs w:val="0"/>
              </w:rPr>
              <w:t>Figure 3.</w:t>
            </w:r>
            <w:r w:rsidR="00DF6242">
              <w:rPr>
                <w:b/>
                <w:bCs w:val="0"/>
              </w:rPr>
              <w:t>15</w:t>
            </w:r>
            <w:r w:rsidRPr="00172F56">
              <w:rPr>
                <w:b/>
                <w:bCs w:val="0"/>
              </w:rPr>
              <w:t>: Number of Housing Benefit claimants in the private rented sector – Fylde</w:t>
            </w:r>
          </w:p>
        </w:tc>
      </w:tr>
      <w:tr w:rsidR="00DD51B5" w14:paraId="5382E687" w14:textId="77777777" w:rsidTr="00172F56">
        <w:trPr>
          <w:jc w:val="center"/>
        </w:trPr>
        <w:tc>
          <w:tcPr>
            <w:tcW w:w="0" w:type="dxa"/>
          </w:tcPr>
          <w:p w14:paraId="36897CBB" w14:textId="721EC3C8" w:rsidR="00DD51B5" w:rsidRDefault="00DD51B5" w:rsidP="00172F56">
            <w:pPr>
              <w:pStyle w:val="11Bodytext"/>
              <w:keepNext/>
              <w:numPr>
                <w:ilvl w:val="0"/>
                <w:numId w:val="0"/>
              </w:numPr>
              <w:spacing w:before="0" w:after="0" w:line="300" w:lineRule="auto"/>
              <w:rPr>
                <w:color w:val="auto"/>
              </w:rPr>
            </w:pPr>
            <w:r w:rsidRPr="008F6844">
              <w:rPr>
                <w:noProof/>
              </w:rPr>
              <w:drawing>
                <wp:inline distT="0" distB="0" distL="0" distR="0" wp14:anchorId="2149C85E" wp14:editId="3B6092FC">
                  <wp:extent cx="5040000" cy="2880000"/>
                  <wp:effectExtent l="0" t="0" r="825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7DA745C2" w14:textId="09E5553B" w:rsidR="00DD51B5" w:rsidRDefault="00DD51B5" w:rsidP="00DD51B5">
      <w:pPr>
        <w:spacing w:line="300" w:lineRule="auto"/>
        <w:jc w:val="center"/>
        <w:rPr>
          <w:rFonts w:ascii="Arial" w:hAnsi="Arial" w:cs="Arial"/>
          <w:sz w:val="20"/>
          <w:szCs w:val="20"/>
        </w:rPr>
      </w:pPr>
      <w:r w:rsidRPr="00172F56">
        <w:rPr>
          <w:rFonts w:ascii="Arial" w:hAnsi="Arial" w:cs="Arial"/>
          <w:sz w:val="20"/>
          <w:szCs w:val="20"/>
        </w:rPr>
        <w:t>Source: Department of Work and Pensions</w:t>
      </w:r>
    </w:p>
    <w:p w14:paraId="19340A84" w14:textId="77777777" w:rsidR="00DD51B5" w:rsidRPr="0092551A" w:rsidRDefault="00DD51B5" w:rsidP="00DD51B5">
      <w:pPr>
        <w:pStyle w:val="11Bodytext"/>
        <w:numPr>
          <w:ilvl w:val="0"/>
          <w:numId w:val="0"/>
        </w:numPr>
        <w:spacing w:before="0" w:after="0" w:line="300" w:lineRule="auto"/>
        <w:rPr>
          <w:color w:val="auto"/>
        </w:rPr>
      </w:pPr>
    </w:p>
    <w:p w14:paraId="56483FA7" w14:textId="2AAC2FFB" w:rsidR="00DD51B5" w:rsidRPr="00172F56" w:rsidRDefault="00DD51B5">
      <w:pPr>
        <w:pStyle w:val="11Bodytext"/>
        <w:numPr>
          <w:ilvl w:val="1"/>
          <w:numId w:val="76"/>
        </w:numPr>
        <w:spacing w:before="0" w:after="0" w:line="300" w:lineRule="auto"/>
        <w:ind w:left="720" w:hanging="720"/>
        <w:rPr>
          <w:color w:val="auto"/>
        </w:rPr>
      </w:pPr>
      <w:r w:rsidRPr="00D80EFC">
        <w:t>Overall, it is difficult to link the need for affordable housing to the overall housing need; indeed, there is no justification for trying to make the link. Put simply the two do not measure the same thing and interpreting the affordable need figure consideration needs to be given to the fact that many households already live in housing, and do not therefore generate an overall net need for an additional home. Further issues arise as the need for affordable housing is complex and additionally the extent of concealed and homeless households needs to be understood as well as the role played by the private rented sector.</w:t>
      </w:r>
    </w:p>
    <w:p w14:paraId="2AB97D70" w14:textId="77777777" w:rsidR="00DD51B5" w:rsidRPr="00172F56" w:rsidRDefault="00DD51B5" w:rsidP="00172F56">
      <w:pPr>
        <w:pStyle w:val="11Bodytext"/>
        <w:numPr>
          <w:ilvl w:val="0"/>
          <w:numId w:val="0"/>
        </w:numPr>
        <w:spacing w:before="0" w:after="0" w:line="300" w:lineRule="auto"/>
        <w:rPr>
          <w:color w:val="auto"/>
        </w:rPr>
      </w:pPr>
    </w:p>
    <w:p w14:paraId="2CBEBC8A" w14:textId="7A6DE629" w:rsidR="00DD51B5" w:rsidRPr="00172F56" w:rsidRDefault="00DD51B5">
      <w:pPr>
        <w:pStyle w:val="11Bodytext"/>
        <w:numPr>
          <w:ilvl w:val="1"/>
          <w:numId w:val="76"/>
        </w:numPr>
        <w:spacing w:before="0" w:after="0" w:line="300" w:lineRule="auto"/>
        <w:ind w:left="720" w:hanging="720"/>
      </w:pPr>
      <w:r w:rsidRPr="00D80EFC">
        <w:t xml:space="preserve">Regardless of the discussion above, the analysis identifies a notable need for affordable housing, and it is clear that provision of new affordable housing is an important and pressing issue </w:t>
      </w:r>
      <w:r>
        <w:t>across the Borough</w:t>
      </w:r>
      <w:r w:rsidRPr="00D80EFC">
        <w:t>. It does however need to be stressed that this report does not provide an affordable housing target; the amount of affordable housing delivered will be limited to the amount that can viably be provided. As noted previously, the evidence does however suggest that affordable housing delivery should be maximised where opportunities arise.</w:t>
      </w:r>
    </w:p>
    <w:p w14:paraId="51920916" w14:textId="77777777" w:rsidR="00DD51B5" w:rsidRPr="00B30804" w:rsidRDefault="00DD51B5" w:rsidP="00172F56">
      <w:pPr>
        <w:pStyle w:val="11Bodytext"/>
        <w:numPr>
          <w:ilvl w:val="0"/>
          <w:numId w:val="0"/>
        </w:numPr>
        <w:spacing w:before="0" w:after="0" w:line="300" w:lineRule="auto"/>
        <w:rPr>
          <w:color w:val="auto"/>
        </w:rPr>
      </w:pPr>
    </w:p>
    <w:p w14:paraId="4B87944F" w14:textId="21016331" w:rsidR="00B30804" w:rsidRPr="007236BD" w:rsidRDefault="00B30804" w:rsidP="00172F56">
      <w:pPr>
        <w:spacing w:line="300" w:lineRule="auto"/>
        <w:jc w:val="both"/>
        <w:rPr>
          <w:rFonts w:ascii="Arial" w:hAnsi="Arial" w:cs="Arial"/>
          <w:b/>
          <w:lang w:eastAsia="ja-JP"/>
        </w:rPr>
      </w:pPr>
      <w:r>
        <w:rPr>
          <w:rFonts w:ascii="Arial" w:hAnsi="Arial" w:cs="Arial"/>
          <w:b/>
          <w:lang w:eastAsia="ja-JP"/>
        </w:rPr>
        <w:t>Summary</w:t>
      </w:r>
    </w:p>
    <w:p w14:paraId="2B5177E9" w14:textId="77777777" w:rsidR="00B30804" w:rsidRPr="002143DA" w:rsidRDefault="00B30804" w:rsidP="00172F56">
      <w:pPr>
        <w:spacing w:line="300" w:lineRule="auto"/>
        <w:jc w:val="both"/>
        <w:rPr>
          <w:rFonts w:ascii="Arial" w:hAnsi="Arial" w:cs="Arial"/>
          <w:sz w:val="20"/>
          <w:szCs w:val="20"/>
          <w:lang w:eastAsia="ja-JP"/>
        </w:rPr>
      </w:pPr>
    </w:p>
    <w:p w14:paraId="6CFE79E8" w14:textId="226A1C11" w:rsidR="00700148" w:rsidRPr="00700148" w:rsidRDefault="00700148">
      <w:pPr>
        <w:pStyle w:val="11Bodytext"/>
        <w:numPr>
          <w:ilvl w:val="1"/>
          <w:numId w:val="76"/>
        </w:numPr>
        <w:spacing w:before="0" w:after="0" w:line="300" w:lineRule="auto"/>
        <w:ind w:left="720" w:hanging="720"/>
        <w:rPr>
          <w:color w:val="auto"/>
        </w:rPr>
      </w:pPr>
      <w:r>
        <w:t xml:space="preserve">Analysis has been undertaken to estimate the need for affordable housing </w:t>
      </w:r>
      <w:r w:rsidR="004657E8">
        <w:t>over the next 5-years (2022-27)</w:t>
      </w:r>
      <w:r>
        <w:t>. The analysis is split between a need for social/affordable rented accommodation and is based on households unable to buy or rent in the market and the need for affordable home ownership (AHO) – this includes housing for those who can afford to rent privately but cannot afford to buy a home.</w:t>
      </w:r>
    </w:p>
    <w:p w14:paraId="3A36063E" w14:textId="77777777" w:rsidR="00177D13" w:rsidRPr="00700148" w:rsidRDefault="00177D13" w:rsidP="00172F56">
      <w:pPr>
        <w:pStyle w:val="11Bodytext"/>
        <w:numPr>
          <w:ilvl w:val="0"/>
          <w:numId w:val="0"/>
        </w:numPr>
        <w:spacing w:before="0" w:after="0" w:line="300" w:lineRule="auto"/>
        <w:rPr>
          <w:color w:val="auto"/>
        </w:rPr>
      </w:pPr>
    </w:p>
    <w:p w14:paraId="4B5D8B1C" w14:textId="03DA0E17" w:rsidR="00700148" w:rsidRPr="00700148" w:rsidRDefault="00700148">
      <w:pPr>
        <w:pStyle w:val="11Bodytext"/>
        <w:numPr>
          <w:ilvl w:val="1"/>
          <w:numId w:val="76"/>
        </w:numPr>
        <w:spacing w:before="0" w:after="0" w:line="300" w:lineRule="auto"/>
        <w:ind w:left="720" w:hanging="720"/>
        <w:rPr>
          <w:color w:val="auto"/>
        </w:rPr>
      </w:pPr>
      <w:r>
        <w:t>The analysis has taken account of local housing costs (to both buy and rent) along with estimates of households’ financial situation. Additionally, when looking at rented needs, consideration is given to estimates of the supply of social/affordable rented housing through relets. For AHO, consideration is given to the potential supply of resales of low-cost home ownership properties (such as shared ownership).</w:t>
      </w:r>
    </w:p>
    <w:p w14:paraId="67CA52C3" w14:textId="1CB9A5E1" w:rsidR="00700148" w:rsidRPr="00700148" w:rsidRDefault="00700148">
      <w:pPr>
        <w:pStyle w:val="11Bodytext"/>
        <w:numPr>
          <w:ilvl w:val="1"/>
          <w:numId w:val="76"/>
        </w:numPr>
        <w:spacing w:before="0" w:after="0" w:line="300" w:lineRule="auto"/>
        <w:ind w:left="720" w:hanging="720"/>
        <w:rPr>
          <w:color w:val="auto"/>
        </w:rPr>
      </w:pPr>
      <w:r>
        <w:t xml:space="preserve">When looking at rented needs, the analysis suggests a need for </w:t>
      </w:r>
      <w:r w:rsidR="004657E8">
        <w:t>418</w:t>
      </w:r>
      <w:r w:rsidR="00DD51B5">
        <w:t xml:space="preserve"> </w:t>
      </w:r>
      <w:r>
        <w:t>affordable homes per annum and therefore the Council is justified in seeking to secure additional social/affordable</w:t>
      </w:r>
      <w:r w:rsidR="001012E2">
        <w:t xml:space="preserve"> rented</w:t>
      </w:r>
      <w:r>
        <w:t xml:space="preserve"> housing. There is also a need shown in all parts of the Borough.</w:t>
      </w:r>
      <w:r w:rsidR="00DD51B5">
        <w:t xml:space="preserve"> Much of this need is generated by households moving within the private rented sector and will therefore be met within the sector (generally supported by housing related benefits). The modelling in this report works on the basis that ideally such households would actually have a secure social tenancy – this would have a number of advantages such as lower rents and potentially being in better condition, as well as providing the security of tenure that looks to be lacking for many households.</w:t>
      </w:r>
    </w:p>
    <w:p w14:paraId="4334920F" w14:textId="77777777" w:rsidR="00700148" w:rsidRPr="00700148" w:rsidRDefault="00700148" w:rsidP="00172F56">
      <w:pPr>
        <w:pStyle w:val="11Bodytext"/>
        <w:numPr>
          <w:ilvl w:val="0"/>
          <w:numId w:val="0"/>
        </w:numPr>
        <w:spacing w:before="0" w:after="0" w:line="300" w:lineRule="auto"/>
        <w:rPr>
          <w:color w:val="auto"/>
        </w:rPr>
      </w:pPr>
    </w:p>
    <w:p w14:paraId="660C4062" w14:textId="1670C927" w:rsidR="00700148" w:rsidRPr="00700148" w:rsidRDefault="00700148">
      <w:pPr>
        <w:pStyle w:val="11Bodytext"/>
        <w:numPr>
          <w:ilvl w:val="1"/>
          <w:numId w:val="76"/>
        </w:numPr>
        <w:spacing w:before="0" w:after="0" w:line="300" w:lineRule="auto"/>
        <w:ind w:left="720" w:hanging="720"/>
        <w:rPr>
          <w:color w:val="auto"/>
        </w:rPr>
      </w:pPr>
      <w:r>
        <w:t xml:space="preserve">When looking at the need for AHO products, the analysis also suggests a need across the Borough, albeit (at </w:t>
      </w:r>
      <w:r w:rsidR="00DD51B5">
        <w:t xml:space="preserve">175 </w:t>
      </w:r>
      <w:r>
        <w:t xml:space="preserve">dwellings per annum) the need is </w:t>
      </w:r>
      <w:r w:rsidR="00DD51B5">
        <w:t xml:space="preserve">notably </w:t>
      </w:r>
      <w:r>
        <w:t>lower than for rented housing.</w:t>
      </w:r>
    </w:p>
    <w:p w14:paraId="0C60D460" w14:textId="77777777" w:rsidR="00700148" w:rsidRPr="00700148" w:rsidRDefault="00700148" w:rsidP="00172F56">
      <w:pPr>
        <w:pStyle w:val="11Bodytext"/>
        <w:numPr>
          <w:ilvl w:val="0"/>
          <w:numId w:val="0"/>
        </w:numPr>
        <w:spacing w:before="0" w:after="0" w:line="300" w:lineRule="auto"/>
        <w:rPr>
          <w:color w:val="auto"/>
        </w:rPr>
      </w:pPr>
    </w:p>
    <w:p w14:paraId="53E47114" w14:textId="6284F56B" w:rsidR="00700148" w:rsidRDefault="00700148">
      <w:pPr>
        <w:pStyle w:val="11Bodytext"/>
        <w:numPr>
          <w:ilvl w:val="1"/>
          <w:numId w:val="76"/>
        </w:numPr>
        <w:spacing w:before="0" w:after="0" w:line="300" w:lineRule="auto"/>
        <w:ind w:left="720" w:hanging="720"/>
        <w:rPr>
          <w:color w:val="auto"/>
        </w:rPr>
      </w:pPr>
      <w:r>
        <w:t>Analysis does suggest that there are many households in Fylde who are being excluded from the owner-occupied sector (as evidenced by reductions in owners with a mortgage and increases in the size of the private rented sector). This suggests that a key issue in the Borough is about access to capital (e.g. for deposits, stamp duty, legal costs) as well as potentially mortgage restrictions (e.g. where employment is temporary) rather than simply the cost of housing to buy.</w:t>
      </w:r>
      <w:r w:rsidR="00DD51B5">
        <w:t xml:space="preserve"> High levels of debt will also be a key factor in the Borough.</w:t>
      </w:r>
    </w:p>
    <w:p w14:paraId="405428D5" w14:textId="77777777" w:rsidR="00700148" w:rsidRDefault="00700148" w:rsidP="00172F56">
      <w:pPr>
        <w:pStyle w:val="11Bodytext"/>
        <w:numPr>
          <w:ilvl w:val="0"/>
          <w:numId w:val="0"/>
        </w:numPr>
        <w:spacing w:before="0" w:after="0" w:line="300" w:lineRule="auto"/>
        <w:rPr>
          <w:color w:val="auto"/>
        </w:rPr>
      </w:pPr>
    </w:p>
    <w:p w14:paraId="1F6E965D" w14:textId="2B6D3D16" w:rsidR="00700148" w:rsidRPr="00700148" w:rsidRDefault="00700148">
      <w:pPr>
        <w:pStyle w:val="11Bodytext"/>
        <w:numPr>
          <w:ilvl w:val="1"/>
          <w:numId w:val="76"/>
        </w:numPr>
        <w:spacing w:before="0" w:after="0" w:line="300" w:lineRule="auto"/>
        <w:ind w:left="720" w:hanging="720"/>
        <w:rPr>
          <w:color w:val="auto"/>
        </w:rPr>
      </w:pPr>
      <w:r>
        <w:t>The evidence does however point to a clear and acute need for rented affordable housing for lower income households rather than home ownership products, and it is important that a supply of rented affordable housing is maintained to meet the needs of this group including those to which the authorities have a statutory housing duty. Such housing is notably cheaper than that available in the open market and can be accessed by many more households (some of whom may be supported by benefit payments).</w:t>
      </w:r>
    </w:p>
    <w:p w14:paraId="7025889D" w14:textId="77777777" w:rsidR="00700148" w:rsidRPr="00700148" w:rsidRDefault="00700148" w:rsidP="00172F56">
      <w:pPr>
        <w:pStyle w:val="11Bodytext"/>
        <w:numPr>
          <w:ilvl w:val="0"/>
          <w:numId w:val="0"/>
        </w:numPr>
        <w:spacing w:before="0" w:after="0" w:line="300" w:lineRule="auto"/>
        <w:rPr>
          <w:color w:val="auto"/>
        </w:rPr>
      </w:pPr>
    </w:p>
    <w:p w14:paraId="28FA25CD" w14:textId="285B4941" w:rsidR="00700148" w:rsidRPr="00700148" w:rsidRDefault="00700148">
      <w:pPr>
        <w:pStyle w:val="11Bodytext"/>
        <w:numPr>
          <w:ilvl w:val="1"/>
          <w:numId w:val="76"/>
        </w:numPr>
        <w:spacing w:before="0" w:after="0" w:line="300" w:lineRule="auto"/>
        <w:ind w:left="720" w:hanging="720"/>
        <w:rPr>
          <w:color w:val="auto"/>
        </w:rPr>
      </w:pPr>
      <w:r>
        <w:t>Overall, however, the analysis identifies a notable need for affordable housing, and it is clear that provision of new affordable housing is an important and pressing issue in the Borough. It does however need to be stressed that this report does not provide an affordable housing target; the amount of affordable housing delivered will be limited to the amount that can viably be provided. The evidence does however suggest that affordable housing delivery should be maximised where opportunities arise.</w:t>
      </w:r>
    </w:p>
    <w:p w14:paraId="193B7851" w14:textId="198382C3" w:rsidR="005923AA" w:rsidRPr="00AD29A6" w:rsidRDefault="005923AA" w:rsidP="00172F56">
      <w:pPr>
        <w:pStyle w:val="11Bodytext"/>
        <w:numPr>
          <w:ilvl w:val="0"/>
          <w:numId w:val="0"/>
        </w:numPr>
        <w:spacing w:before="0" w:after="0" w:line="300" w:lineRule="auto"/>
        <w:ind w:left="794" w:hanging="794"/>
        <w:rPr>
          <w:color w:val="auto"/>
        </w:rPr>
      </w:pPr>
    </w:p>
    <w:p w14:paraId="7A29BF9D" w14:textId="77777777" w:rsidR="00177D13" w:rsidRDefault="00177D13">
      <w:r>
        <w:br w:type="page"/>
      </w:r>
    </w:p>
    <w:p w14:paraId="653C2351" w14:textId="36B5DE9B" w:rsidR="005923AA" w:rsidRPr="00AD29A6" w:rsidRDefault="005923AA" w:rsidP="00172F56">
      <w:pPr>
        <w:jc w:val="both"/>
        <w:rPr>
          <w:rFonts w:ascii="Arial" w:eastAsia="MS PGothic" w:hAnsi="Arial" w:cs="Arial"/>
          <w:bCs/>
          <w:sz w:val="20"/>
          <w:szCs w:val="20"/>
          <w:lang w:eastAsia="ja-JP"/>
        </w:rPr>
      </w:pPr>
      <w:r w:rsidRPr="00AD29A6">
        <w:br w:type="page"/>
      </w:r>
    </w:p>
    <w:p w14:paraId="54BE768D" w14:textId="7BF74131" w:rsidR="005923AA" w:rsidRPr="007236BD" w:rsidRDefault="005923AA" w:rsidP="00172F56">
      <w:pPr>
        <w:pStyle w:val="ReportHeading1"/>
        <w:pageBreakBefore w:val="0"/>
        <w:widowControl w:val="0"/>
        <w:spacing w:before="0" w:after="0"/>
        <w:jc w:val="both"/>
        <w:rPr>
          <w:rFonts w:ascii="Arial Bold" w:hAnsi="Arial Bold" w:cs="Arial"/>
          <w:color w:val="0093D5"/>
          <w:sz w:val="32"/>
          <w:szCs w:val="32"/>
        </w:rPr>
      </w:pPr>
      <w:bookmarkStart w:id="38" w:name="_Toc112937733"/>
      <w:r>
        <w:rPr>
          <w:rFonts w:ascii="Arial Bold" w:hAnsi="Arial Bold" w:cs="Arial"/>
          <w:color w:val="0093D5"/>
          <w:sz w:val="32"/>
          <w:szCs w:val="32"/>
        </w:rPr>
        <w:t>4</w:t>
      </w:r>
      <w:r w:rsidRPr="007236BD">
        <w:rPr>
          <w:rFonts w:ascii="Arial Bold" w:hAnsi="Arial Bold" w:cs="Arial"/>
          <w:color w:val="0093D5"/>
          <w:sz w:val="32"/>
          <w:szCs w:val="32"/>
        </w:rPr>
        <w:t>.</w:t>
      </w:r>
      <w:r w:rsidRPr="007236BD">
        <w:rPr>
          <w:rFonts w:ascii="Arial Bold" w:hAnsi="Arial Bold" w:cs="Arial"/>
          <w:color w:val="0093D5"/>
          <w:sz w:val="32"/>
          <w:szCs w:val="32"/>
        </w:rPr>
        <w:tab/>
      </w:r>
      <w:r>
        <w:rPr>
          <w:rFonts w:ascii="Arial Bold" w:hAnsi="Arial Bold" w:cs="Arial"/>
          <w:color w:val="0093D5"/>
          <w:sz w:val="32"/>
          <w:szCs w:val="32"/>
        </w:rPr>
        <w:t>Types of Affordable Housing</w:t>
      </w:r>
      <w:bookmarkEnd w:id="38"/>
    </w:p>
    <w:tbl>
      <w:tblPr>
        <w:tblW w:w="9639" w:type="dxa"/>
        <w:jc w:val="center"/>
        <w:tblBorders>
          <w:bottom w:val="single" w:sz="12" w:space="0" w:color="0093D5"/>
        </w:tblBorders>
        <w:tblLook w:val="01E0" w:firstRow="1" w:lastRow="1" w:firstColumn="1" w:lastColumn="1" w:noHBand="0" w:noVBand="0"/>
      </w:tblPr>
      <w:tblGrid>
        <w:gridCol w:w="9639"/>
      </w:tblGrid>
      <w:tr w:rsidR="005923AA" w:rsidRPr="007236BD" w14:paraId="3415582E" w14:textId="77777777" w:rsidTr="008469E3">
        <w:trPr>
          <w:jc w:val="center"/>
        </w:trPr>
        <w:tc>
          <w:tcPr>
            <w:tcW w:w="9639" w:type="dxa"/>
            <w:shd w:val="clear" w:color="auto" w:fill="auto"/>
            <w:vAlign w:val="center"/>
          </w:tcPr>
          <w:p w14:paraId="29D6E4D4" w14:textId="77777777" w:rsidR="005923AA" w:rsidRPr="007236BD" w:rsidRDefault="005923AA" w:rsidP="00172F56">
            <w:pPr>
              <w:keepNext/>
              <w:keepLines/>
              <w:jc w:val="both"/>
              <w:rPr>
                <w:rFonts w:ascii="Arial" w:hAnsi="Arial"/>
                <w:sz w:val="2"/>
                <w:szCs w:val="2"/>
              </w:rPr>
            </w:pPr>
          </w:p>
        </w:tc>
      </w:tr>
    </w:tbl>
    <w:p w14:paraId="31E4BB46" w14:textId="77777777" w:rsidR="005923AA" w:rsidRPr="007236BD" w:rsidRDefault="005923AA" w:rsidP="00172F56">
      <w:pPr>
        <w:widowControl w:val="0"/>
        <w:spacing w:line="300" w:lineRule="auto"/>
        <w:jc w:val="both"/>
        <w:rPr>
          <w:rFonts w:ascii="Arial" w:hAnsi="Arial" w:cs="Arial"/>
          <w:sz w:val="20"/>
          <w:szCs w:val="20"/>
        </w:rPr>
      </w:pPr>
    </w:p>
    <w:p w14:paraId="2EF128C0" w14:textId="77777777" w:rsidR="005923AA" w:rsidRPr="007236BD" w:rsidRDefault="005923AA" w:rsidP="00172F56">
      <w:pPr>
        <w:spacing w:line="300" w:lineRule="auto"/>
        <w:jc w:val="both"/>
        <w:rPr>
          <w:rFonts w:ascii="Arial" w:hAnsi="Arial" w:cs="Arial"/>
          <w:b/>
          <w:lang w:eastAsia="ja-JP"/>
        </w:rPr>
      </w:pPr>
      <w:r w:rsidRPr="007236BD">
        <w:rPr>
          <w:rFonts w:ascii="Arial" w:hAnsi="Arial" w:cs="Arial"/>
          <w:b/>
          <w:lang w:eastAsia="ja-JP"/>
        </w:rPr>
        <w:t>Introduction</w:t>
      </w:r>
    </w:p>
    <w:p w14:paraId="74B509B1" w14:textId="77777777" w:rsidR="005923AA" w:rsidRPr="002143DA" w:rsidRDefault="005923AA" w:rsidP="00172F56">
      <w:pPr>
        <w:spacing w:line="300" w:lineRule="auto"/>
        <w:jc w:val="both"/>
        <w:rPr>
          <w:rFonts w:ascii="Arial" w:hAnsi="Arial" w:cs="Arial"/>
          <w:sz w:val="20"/>
          <w:szCs w:val="20"/>
          <w:lang w:eastAsia="ja-JP"/>
        </w:rPr>
      </w:pPr>
    </w:p>
    <w:p w14:paraId="17F90518" w14:textId="77777777" w:rsidR="00DD51B5" w:rsidRPr="00172F56" w:rsidRDefault="005923AA">
      <w:pPr>
        <w:pStyle w:val="11Bodytext"/>
        <w:numPr>
          <w:ilvl w:val="1"/>
          <w:numId w:val="37"/>
        </w:numPr>
        <w:spacing w:before="0" w:after="0" w:line="300" w:lineRule="auto"/>
        <w:ind w:left="720" w:hanging="720"/>
        <w:rPr>
          <w:color w:val="auto"/>
        </w:rPr>
      </w:pPr>
      <w:r w:rsidRPr="009D3B67">
        <w:t>Th</w:t>
      </w:r>
      <w:r>
        <w:t>e previous section has estimated the need for affordable housing split into two broad categories (rented affordable housing and affordable home ownership). This section looks at these tenures in more detail, considering specific products within each of those two categories. The main focus is on the pricing of different types of housing (which is drawn from secondary data sources) although survey data has been used to supplement this where possible.</w:t>
      </w:r>
      <w:r w:rsidR="00DD51B5">
        <w:t xml:space="preserve"> </w:t>
      </w:r>
    </w:p>
    <w:p w14:paraId="60362D21" w14:textId="77777777" w:rsidR="00DD51B5" w:rsidRPr="00172F56" w:rsidRDefault="00DD51B5" w:rsidP="00172F56">
      <w:pPr>
        <w:pStyle w:val="11Bodytext"/>
        <w:numPr>
          <w:ilvl w:val="0"/>
          <w:numId w:val="0"/>
        </w:numPr>
        <w:spacing w:before="0" w:after="0" w:line="300" w:lineRule="auto"/>
        <w:rPr>
          <w:color w:val="auto"/>
        </w:rPr>
      </w:pPr>
    </w:p>
    <w:p w14:paraId="7EFCE5CE" w14:textId="20A50BBD" w:rsidR="005923AA" w:rsidRPr="00172F56" w:rsidRDefault="00DD51B5">
      <w:pPr>
        <w:pStyle w:val="11Bodytext"/>
        <w:numPr>
          <w:ilvl w:val="1"/>
          <w:numId w:val="37"/>
        </w:numPr>
        <w:spacing w:before="0" w:after="0" w:line="300" w:lineRule="auto"/>
        <w:ind w:left="720" w:hanging="720"/>
        <w:rPr>
          <w:color w:val="auto"/>
        </w:rPr>
      </w:pPr>
      <w:r>
        <w:t>Overall, the analysis suggested a need for both rented affordable housing and affordable home ownership with roughly a 70:30 ratio (higher rented need) and initially below a discussion of how this sits with relevant national policy is discussed.</w:t>
      </w:r>
    </w:p>
    <w:p w14:paraId="577A6FAE" w14:textId="77777777" w:rsidR="00DD51B5" w:rsidRPr="00172F56" w:rsidRDefault="00DD51B5" w:rsidP="00172F56">
      <w:pPr>
        <w:widowControl w:val="0"/>
        <w:spacing w:line="300" w:lineRule="auto"/>
        <w:jc w:val="both"/>
        <w:rPr>
          <w:rFonts w:ascii="Arial" w:hAnsi="Arial" w:cs="Arial"/>
          <w:sz w:val="20"/>
          <w:szCs w:val="20"/>
        </w:rPr>
      </w:pPr>
    </w:p>
    <w:p w14:paraId="0F1B587B" w14:textId="7B244B8F" w:rsidR="00DD51B5" w:rsidRPr="00172F56" w:rsidRDefault="00DD51B5" w:rsidP="00172F56">
      <w:pPr>
        <w:spacing w:line="300" w:lineRule="auto"/>
        <w:jc w:val="both"/>
        <w:rPr>
          <w:rFonts w:ascii="Arial" w:hAnsi="Arial" w:cs="Arial"/>
          <w:b/>
          <w:lang w:eastAsia="ja-JP"/>
        </w:rPr>
      </w:pPr>
      <w:r>
        <w:rPr>
          <w:rFonts w:ascii="Arial" w:hAnsi="Arial" w:cs="Arial"/>
          <w:b/>
          <w:lang w:eastAsia="ja-JP"/>
        </w:rPr>
        <w:t xml:space="preserve">The Split Between Rented and Affordable Home </w:t>
      </w:r>
      <w:r w:rsidR="00931AE7">
        <w:rPr>
          <w:rFonts w:ascii="Arial" w:hAnsi="Arial" w:cs="Arial"/>
          <w:b/>
          <w:lang w:eastAsia="ja-JP"/>
        </w:rPr>
        <w:t>Ownership</w:t>
      </w:r>
      <w:r>
        <w:rPr>
          <w:rFonts w:ascii="Arial" w:hAnsi="Arial" w:cs="Arial"/>
          <w:b/>
          <w:lang w:eastAsia="ja-JP"/>
        </w:rPr>
        <w:t xml:space="preserve"> Housing</w:t>
      </w:r>
    </w:p>
    <w:p w14:paraId="271E1A3C" w14:textId="10A7F45A" w:rsidR="00DD51B5" w:rsidRDefault="00DD51B5" w:rsidP="00DD51B5">
      <w:pPr>
        <w:spacing w:line="300" w:lineRule="auto"/>
        <w:jc w:val="both"/>
        <w:rPr>
          <w:rFonts w:ascii="Arial" w:hAnsi="Arial" w:cs="Arial"/>
          <w:sz w:val="20"/>
          <w:szCs w:val="20"/>
          <w:lang w:eastAsia="ja-JP"/>
        </w:rPr>
      </w:pPr>
    </w:p>
    <w:p w14:paraId="2FF12A19" w14:textId="68C35723" w:rsidR="00DD51B5" w:rsidRPr="00172F56" w:rsidRDefault="00DD51B5">
      <w:pPr>
        <w:pStyle w:val="11Bodytext"/>
        <w:numPr>
          <w:ilvl w:val="1"/>
          <w:numId w:val="37"/>
        </w:numPr>
        <w:spacing w:before="0" w:after="0" w:line="300" w:lineRule="auto"/>
        <w:ind w:left="720" w:hanging="720"/>
        <w:rPr>
          <w:color w:val="auto"/>
        </w:rPr>
      </w:pPr>
      <w:r>
        <w:t xml:space="preserve">The NPPF (last updated in July 2021) gives a clear direction that 10% of all new housing (on larger sites) should be for affordable home ownership (in other words, if 20% of homes were to be affordable </w:t>
      </w:r>
      <w:proofErr w:type="spellStart"/>
      <w:r>
        <w:t>then</w:t>
      </w:r>
      <w:proofErr w:type="spellEnd"/>
      <w:r>
        <w:t xml:space="preserve"> half would be affordable home ownership) and it is now the case that policy compliant planning applications would be expected to deliver a minimum of 25% affordable housing as First Homes (as a proportion of the total affordable housing), with councils being able to specify the requirement for any remaining affordable housing (subject to at least 10% of all housing being for AHO).</w:t>
      </w:r>
    </w:p>
    <w:p w14:paraId="040A3562" w14:textId="77777777" w:rsidR="0014104A" w:rsidRDefault="0014104A" w:rsidP="00172F56">
      <w:pPr>
        <w:pStyle w:val="11Bodytext"/>
        <w:numPr>
          <w:ilvl w:val="0"/>
          <w:numId w:val="0"/>
        </w:numPr>
        <w:spacing w:before="0" w:after="0" w:line="300" w:lineRule="auto"/>
        <w:rPr>
          <w:color w:val="auto"/>
        </w:rPr>
      </w:pPr>
    </w:p>
    <w:p w14:paraId="6BE72FA1" w14:textId="0E742911" w:rsidR="00DD51B5" w:rsidRPr="00172F56" w:rsidRDefault="00DD51B5">
      <w:pPr>
        <w:pStyle w:val="11Bodytext"/>
        <w:numPr>
          <w:ilvl w:val="1"/>
          <w:numId w:val="37"/>
        </w:numPr>
        <w:spacing w:before="0" w:after="0" w:line="300" w:lineRule="auto"/>
        <w:ind w:left="720" w:hanging="720"/>
        <w:rPr>
          <w:color w:val="auto"/>
        </w:rPr>
      </w:pPr>
      <w:r>
        <w:t>Firstly</w:t>
      </w:r>
      <w:r w:rsidR="00CD6B97">
        <w:t>,</w:t>
      </w:r>
      <w:r>
        <w:t xml:space="preserve"> regarding the 10%, it is not clear that this is the best solution in the study area. The NPPF does provide some examples of where the 10% might not be required (paragraph 65), most notably that the 10% would be expected unless this would </w:t>
      </w:r>
      <w:r w:rsidRPr="0014104A">
        <w:rPr>
          <w:i/>
          <w:iCs/>
        </w:rPr>
        <w:t>‘significantly prejudice the ability to meet the identified affordable housing needs of specific groups’</w:t>
      </w:r>
      <w:r>
        <w:t>. In Fylde, the clear need for additional social/affordable rented housing would arguably mean that providing the affordable home ownership would ‘prejudice the ability’ to meet the needs of the ‘specific group’ requiring rented affordable accommodation.</w:t>
      </w:r>
    </w:p>
    <w:p w14:paraId="19582029" w14:textId="77777777" w:rsidR="0014104A" w:rsidRPr="00172F56" w:rsidRDefault="0014104A" w:rsidP="00172F56">
      <w:pPr>
        <w:pStyle w:val="11Bodytext"/>
        <w:numPr>
          <w:ilvl w:val="0"/>
          <w:numId w:val="0"/>
        </w:numPr>
        <w:spacing w:before="0" w:after="0" w:line="300" w:lineRule="auto"/>
        <w:rPr>
          <w:color w:val="auto"/>
        </w:rPr>
      </w:pPr>
    </w:p>
    <w:p w14:paraId="707B6BFA" w14:textId="6726A8A4" w:rsidR="00DD51B5" w:rsidRPr="00172F56" w:rsidRDefault="00DD51B5">
      <w:pPr>
        <w:pStyle w:val="11Bodytext"/>
        <w:numPr>
          <w:ilvl w:val="1"/>
          <w:numId w:val="37"/>
        </w:numPr>
        <w:spacing w:before="0" w:after="0" w:line="300" w:lineRule="auto"/>
        <w:ind w:left="720" w:hanging="720"/>
        <w:rPr>
          <w:color w:val="auto"/>
        </w:rPr>
      </w:pPr>
      <w:r>
        <w:t>Regarding the 25% of affordable housing as First Homes, it is not clear whether there is any scope to challenge the ‘minimum of 25%’, nor what role other tenures of affordable home ownership (such as shared ownership) might play. It is possible that provision of First Homes could squeeze out other forms of LCHO such as shared ownership, although it is likely that there will still be a role for this type of housing given typically lower deposit requirements</w:t>
      </w:r>
      <w:r w:rsidR="00CD6B97">
        <w:t xml:space="preserve"> and the fact that First Homes are restricted to first time buyers. Further restrictions may apply if Local Plan or neighbourhood plans define essential local workers.</w:t>
      </w:r>
    </w:p>
    <w:p w14:paraId="4F104201" w14:textId="77777777" w:rsidR="0014104A" w:rsidRPr="00172F56" w:rsidRDefault="0014104A" w:rsidP="00172F56">
      <w:pPr>
        <w:pStyle w:val="11Bodytext"/>
        <w:numPr>
          <w:ilvl w:val="0"/>
          <w:numId w:val="0"/>
        </w:numPr>
        <w:spacing w:before="0" w:after="0" w:line="300" w:lineRule="auto"/>
        <w:rPr>
          <w:color w:val="auto"/>
        </w:rPr>
      </w:pPr>
    </w:p>
    <w:p w14:paraId="3D719BD2" w14:textId="6D8BA336" w:rsidR="00DD51B5" w:rsidRPr="00172F56" w:rsidRDefault="00DD51B5">
      <w:pPr>
        <w:pStyle w:val="11Bodytext"/>
        <w:numPr>
          <w:ilvl w:val="1"/>
          <w:numId w:val="37"/>
        </w:numPr>
        <w:spacing w:before="0" w:after="0" w:line="300" w:lineRule="auto"/>
        <w:ind w:left="720" w:hanging="720"/>
        <w:rPr>
          <w:color w:val="auto"/>
        </w:rPr>
      </w:pPr>
      <w:r>
        <w:t>Whilst there are clearly many households in the gap between renting and buying, they in some cases will be able to afford homes below lower quartile housing costs. That said, it is important to recognise that some households will have insufficient savings to be able to afford to buy a home on the open market (particularly in terms of the ability to afford a deposit) and low-cost home ownership homes – and shared ownership homes in particular – will therefore continue to play a role in supporting some households in this respect.</w:t>
      </w:r>
    </w:p>
    <w:p w14:paraId="21013858" w14:textId="2F19E77B" w:rsidR="0014104A" w:rsidRDefault="0014104A" w:rsidP="0014104A">
      <w:pPr>
        <w:pStyle w:val="11Bodytext"/>
        <w:numPr>
          <w:ilvl w:val="0"/>
          <w:numId w:val="0"/>
        </w:numPr>
        <w:spacing w:before="0" w:after="0" w:line="300" w:lineRule="auto"/>
        <w:rPr>
          <w:color w:val="auto"/>
        </w:rPr>
      </w:pPr>
    </w:p>
    <w:p w14:paraId="0FD21435" w14:textId="77777777" w:rsidR="00177D13" w:rsidRPr="00172F56" w:rsidRDefault="00177D13" w:rsidP="00172F56">
      <w:pPr>
        <w:pStyle w:val="11Bodytext"/>
        <w:numPr>
          <w:ilvl w:val="0"/>
          <w:numId w:val="0"/>
        </w:numPr>
        <w:spacing w:before="0" w:after="0" w:line="300" w:lineRule="auto"/>
        <w:rPr>
          <w:color w:val="auto"/>
        </w:rPr>
      </w:pPr>
    </w:p>
    <w:p w14:paraId="520A5460" w14:textId="70307091" w:rsidR="00DD51B5" w:rsidRPr="00172F56" w:rsidRDefault="00DD51B5">
      <w:pPr>
        <w:pStyle w:val="11Bodytext"/>
        <w:numPr>
          <w:ilvl w:val="1"/>
          <w:numId w:val="37"/>
        </w:numPr>
        <w:spacing w:before="0" w:after="0" w:line="300" w:lineRule="auto"/>
        <w:ind w:left="720" w:hanging="720"/>
        <w:rPr>
          <w:color w:val="auto"/>
        </w:rPr>
      </w:pPr>
      <w:r>
        <w:t>The evidence points to a clear and acute need for rented affordable housing for lower income households, and it is important that a supply of rented affordable housing is maintained to meet the needs of this group including those to which the authorities have a statutory housing duty. Such housing is notably cheaper than that available in the open market and can be accessed by many more households (some of whom may be supported by benefit payments).</w:t>
      </w:r>
    </w:p>
    <w:p w14:paraId="0D5B4BF0" w14:textId="77777777" w:rsidR="0014104A" w:rsidRPr="00172F56" w:rsidRDefault="0014104A" w:rsidP="00172F56">
      <w:pPr>
        <w:pStyle w:val="11Bodytext"/>
        <w:numPr>
          <w:ilvl w:val="0"/>
          <w:numId w:val="0"/>
        </w:numPr>
        <w:spacing w:before="0" w:after="0" w:line="300" w:lineRule="auto"/>
        <w:rPr>
          <w:color w:val="auto"/>
        </w:rPr>
      </w:pPr>
    </w:p>
    <w:p w14:paraId="33D5EC82" w14:textId="77777777" w:rsidR="00DD51B5" w:rsidRPr="0014104A" w:rsidRDefault="00DD51B5">
      <w:pPr>
        <w:pStyle w:val="11Bodytext"/>
        <w:numPr>
          <w:ilvl w:val="1"/>
          <w:numId w:val="37"/>
        </w:numPr>
        <w:spacing w:before="0" w:after="0" w:line="300" w:lineRule="auto"/>
        <w:ind w:left="720" w:hanging="720"/>
        <w:rPr>
          <w:color w:val="auto"/>
        </w:rPr>
      </w:pPr>
      <w:r>
        <w:t>There will also be a role for AHO on any 100% affordable housing schemes that may come forward (as well as through Section 106). Including a mix of both rented and intermediate homes to buy would make such schemes more viable, as well as enabling a range of tenures and therefore potential client groups to access housing.</w:t>
      </w:r>
    </w:p>
    <w:p w14:paraId="0EDF8C8A" w14:textId="77777777" w:rsidR="00DD51B5" w:rsidRDefault="00DD51B5" w:rsidP="00172F56">
      <w:pPr>
        <w:pStyle w:val="11Bodytext"/>
        <w:numPr>
          <w:ilvl w:val="0"/>
          <w:numId w:val="0"/>
        </w:numPr>
        <w:spacing w:before="0" w:after="0" w:line="300" w:lineRule="auto"/>
        <w:rPr>
          <w:color w:val="auto"/>
        </w:rPr>
      </w:pPr>
    </w:p>
    <w:p w14:paraId="486CB20B" w14:textId="3DA70D6F" w:rsidR="005923AA" w:rsidRPr="005923AA" w:rsidRDefault="005923AA" w:rsidP="00172F56">
      <w:pPr>
        <w:pStyle w:val="11Bodytext"/>
        <w:numPr>
          <w:ilvl w:val="0"/>
          <w:numId w:val="0"/>
        </w:numPr>
        <w:spacing w:before="0" w:after="0" w:line="300" w:lineRule="auto"/>
        <w:rPr>
          <w:b/>
          <w:bCs w:val="0"/>
          <w:color w:val="auto"/>
          <w:sz w:val="24"/>
          <w:szCs w:val="24"/>
        </w:rPr>
      </w:pPr>
      <w:r w:rsidRPr="005923AA">
        <w:rPr>
          <w:b/>
          <w:bCs w:val="0"/>
          <w:color w:val="auto"/>
          <w:sz w:val="24"/>
          <w:szCs w:val="24"/>
        </w:rPr>
        <w:t>Social and Affordable Rented Housing</w:t>
      </w:r>
    </w:p>
    <w:p w14:paraId="553FD7E9" w14:textId="77777777" w:rsidR="005923AA" w:rsidRPr="005923AA" w:rsidRDefault="005923AA" w:rsidP="00172F56">
      <w:pPr>
        <w:pStyle w:val="11Bodytext"/>
        <w:numPr>
          <w:ilvl w:val="0"/>
          <w:numId w:val="0"/>
        </w:numPr>
        <w:spacing w:before="0" w:after="0" w:line="300" w:lineRule="auto"/>
        <w:rPr>
          <w:color w:val="auto"/>
        </w:rPr>
      </w:pPr>
    </w:p>
    <w:p w14:paraId="26AB9021" w14:textId="082442CE" w:rsidR="005923AA" w:rsidRPr="00172F56" w:rsidRDefault="005923AA">
      <w:pPr>
        <w:pStyle w:val="11Bodytext"/>
        <w:numPr>
          <w:ilvl w:val="1"/>
          <w:numId w:val="37"/>
        </w:numPr>
        <w:spacing w:before="0" w:after="0" w:line="300" w:lineRule="auto"/>
        <w:ind w:left="720" w:hanging="720"/>
        <w:rPr>
          <w:color w:val="auto"/>
        </w:rPr>
      </w:pPr>
      <w:r>
        <w:t>As noted, a key part of the</w:t>
      </w:r>
      <w:r w:rsidRPr="005923AA">
        <w:t xml:space="preserve"> analysis above has studied the overall need for </w:t>
      </w:r>
      <w:r>
        <w:t>rented</w:t>
      </w:r>
      <w:r w:rsidRPr="005923AA">
        <w:t xml:space="preserve"> affordable housing </w:t>
      </w:r>
      <w:r>
        <w:t xml:space="preserve">(for </w:t>
      </w:r>
      <w:r w:rsidRPr="005923AA">
        <w:t xml:space="preserve">households who cannot afford to </w:t>
      </w:r>
      <w:r>
        <w:t xml:space="preserve">buy OR </w:t>
      </w:r>
      <w:r w:rsidRPr="005923AA">
        <w:t>rent in the market</w:t>
      </w:r>
      <w:r>
        <w:t>)</w:t>
      </w:r>
      <w:r w:rsidRPr="005923AA">
        <w:t>. These households will have a need for some form of rented housing at a cost below market rates. Typically, there are two main types of rented affordable accommodation (social and affordable rented) with the analysis below initially considering what a reasonable split might be between these two tenures.</w:t>
      </w:r>
    </w:p>
    <w:p w14:paraId="72239108" w14:textId="77777777" w:rsidR="00973C9F" w:rsidRPr="00172F56" w:rsidRDefault="00973C9F" w:rsidP="00172F56">
      <w:pPr>
        <w:pStyle w:val="11Bodytext"/>
        <w:numPr>
          <w:ilvl w:val="0"/>
          <w:numId w:val="0"/>
        </w:numPr>
        <w:spacing w:before="0" w:after="0" w:line="300" w:lineRule="auto"/>
        <w:rPr>
          <w:color w:val="auto"/>
        </w:rPr>
      </w:pPr>
    </w:p>
    <w:p w14:paraId="0F71283E" w14:textId="2FC4C90B" w:rsidR="009A390E" w:rsidRDefault="009A390E">
      <w:pPr>
        <w:pStyle w:val="11Bodytext"/>
        <w:numPr>
          <w:ilvl w:val="1"/>
          <w:numId w:val="37"/>
        </w:numPr>
        <w:spacing w:before="0" w:after="0" w:line="300" w:lineRule="auto"/>
        <w:ind w:left="720" w:hanging="720"/>
        <w:rPr>
          <w:color w:val="auto"/>
        </w:rPr>
      </w:pPr>
      <w:r w:rsidRPr="007D6369">
        <w:t xml:space="preserve">The table below shows current rent levels in the Borough for a range of products along with relevant local housing allowance (LHA) rates. The majority of Fylde falls into the Fylde Coast </w:t>
      </w:r>
      <w:r w:rsidRPr="007D6369">
        <w:rPr>
          <w:color w:val="auto"/>
        </w:rPr>
        <w:t>Broad Rental Market Area (BRMA) for the purposes of LHA, with a small area being part of the Central Lancs BRMA.</w:t>
      </w:r>
    </w:p>
    <w:p w14:paraId="2B617314" w14:textId="77777777" w:rsidR="00973C9F" w:rsidRDefault="00973C9F" w:rsidP="00172F56">
      <w:pPr>
        <w:pStyle w:val="11Bodytext"/>
        <w:numPr>
          <w:ilvl w:val="0"/>
          <w:numId w:val="0"/>
        </w:numPr>
        <w:spacing w:before="0" w:after="0" w:line="300" w:lineRule="auto"/>
        <w:rPr>
          <w:color w:val="auto"/>
        </w:rPr>
      </w:pPr>
    </w:p>
    <w:p w14:paraId="3A1868E9" w14:textId="4908E280" w:rsidR="009A390E" w:rsidRDefault="009A390E">
      <w:pPr>
        <w:pStyle w:val="11Bodytext"/>
        <w:numPr>
          <w:ilvl w:val="1"/>
          <w:numId w:val="37"/>
        </w:numPr>
        <w:spacing w:before="0" w:after="0" w:line="300" w:lineRule="auto"/>
        <w:ind w:left="720" w:hanging="720"/>
        <w:rPr>
          <w:color w:val="auto"/>
        </w:rPr>
      </w:pPr>
      <w:r w:rsidRPr="00973C9F">
        <w:rPr>
          <w:color w:val="auto"/>
        </w:rPr>
        <w:t>Data about average social and affordable rents has been taken from the Regulator of Social Housing (RSH) and this is compared with lower quartile and median market rents (from ONS data). This analysis shows that social rents are lower than affordable rents; the analysis also shows that affordable rents are less than both lower quartile and median market rents, although typically more than 80% of lower quartile figures and median figures for smaller homes.</w:t>
      </w:r>
    </w:p>
    <w:p w14:paraId="74E627BB" w14:textId="77777777" w:rsidR="00973C9F" w:rsidRDefault="00973C9F" w:rsidP="00172F56">
      <w:pPr>
        <w:pStyle w:val="11Bodytext"/>
        <w:numPr>
          <w:ilvl w:val="0"/>
          <w:numId w:val="0"/>
        </w:numPr>
        <w:spacing w:before="0" w:after="0" w:line="300" w:lineRule="auto"/>
        <w:rPr>
          <w:color w:val="auto"/>
        </w:rPr>
      </w:pPr>
    </w:p>
    <w:p w14:paraId="4CFC144A" w14:textId="51208A06" w:rsidR="009A390E" w:rsidRPr="00973C9F" w:rsidRDefault="009A390E">
      <w:pPr>
        <w:pStyle w:val="11Bodytext"/>
        <w:numPr>
          <w:ilvl w:val="1"/>
          <w:numId w:val="37"/>
        </w:numPr>
        <w:spacing w:before="0" w:after="0" w:line="300" w:lineRule="auto"/>
        <w:ind w:left="720" w:hanging="720"/>
        <w:rPr>
          <w:color w:val="auto"/>
        </w:rPr>
      </w:pPr>
      <w:r w:rsidRPr="00973C9F">
        <w:rPr>
          <w:color w:val="auto"/>
        </w:rPr>
        <w:t>The LHA rates are generally lower than both lower quartile market rents and some way below median figures. This</w:t>
      </w:r>
      <w:r w:rsidR="00694CA8">
        <w:rPr>
          <w:color w:val="auto"/>
        </w:rPr>
        <w:t xml:space="preserve"> </w:t>
      </w:r>
      <w:r w:rsidRPr="00973C9F">
        <w:rPr>
          <w:color w:val="auto"/>
        </w:rPr>
        <w:t>mean</w:t>
      </w:r>
      <w:r w:rsidR="00694CA8">
        <w:rPr>
          <w:color w:val="auto"/>
        </w:rPr>
        <w:t>s</w:t>
      </w:r>
      <w:r w:rsidRPr="00973C9F">
        <w:rPr>
          <w:color w:val="auto"/>
        </w:rPr>
        <w:t xml:space="preserve"> that households seeking accommodation in some locations (notably those areas with higher rents) may struggle to secure sufficient benefits to cover their rent.</w:t>
      </w:r>
    </w:p>
    <w:p w14:paraId="7DA33DEF" w14:textId="77777777" w:rsidR="009A390E" w:rsidRPr="007D6369" w:rsidRDefault="009A390E" w:rsidP="009A390E">
      <w:pPr>
        <w:spacing w:line="300" w:lineRule="auto"/>
        <w:jc w:val="both"/>
        <w:rPr>
          <w:rFonts w:ascii="Arial" w:hAnsi="Arial" w:cs="Arial"/>
          <w:sz w:val="20"/>
          <w:szCs w:val="20"/>
        </w:rPr>
      </w:pPr>
    </w:p>
    <w:tbl>
      <w:tblPr>
        <w:tblStyle w:val="TableGrid1"/>
        <w:tblW w:w="9639" w:type="dxa"/>
        <w:jc w:val="center"/>
        <w:tblLayout w:type="fixed"/>
        <w:tblLook w:val="04A0" w:firstRow="1" w:lastRow="0" w:firstColumn="1" w:lastColumn="0" w:noHBand="0" w:noVBand="1"/>
      </w:tblPr>
      <w:tblGrid>
        <w:gridCol w:w="1696"/>
        <w:gridCol w:w="1323"/>
        <w:gridCol w:w="1324"/>
        <w:gridCol w:w="1324"/>
        <w:gridCol w:w="1324"/>
        <w:gridCol w:w="1324"/>
        <w:gridCol w:w="1324"/>
      </w:tblGrid>
      <w:tr w:rsidR="009A390E" w:rsidRPr="007D6369" w14:paraId="67C167C1" w14:textId="77777777" w:rsidTr="00172F56">
        <w:trPr>
          <w:jc w:val="center"/>
        </w:trPr>
        <w:tc>
          <w:tcPr>
            <w:tcW w:w="9639" w:type="dxa"/>
            <w:gridSpan w:val="7"/>
          </w:tcPr>
          <w:p w14:paraId="7A8BFEF8" w14:textId="74E3023D" w:rsidR="009A390E" w:rsidRPr="007D6369" w:rsidRDefault="009A390E" w:rsidP="0092551A">
            <w:pPr>
              <w:keepNext/>
              <w:tabs>
                <w:tab w:val="left" w:pos="720"/>
              </w:tabs>
              <w:spacing w:before="60" w:after="60" w:line="300" w:lineRule="auto"/>
              <w:jc w:val="center"/>
              <w:rPr>
                <w:rFonts w:ascii="Arial" w:hAnsi="Arial" w:cs="Arial"/>
                <w:b/>
                <w:sz w:val="20"/>
                <w:szCs w:val="20"/>
              </w:rPr>
            </w:pPr>
            <w:r w:rsidRPr="007D6369">
              <w:rPr>
                <w:rFonts w:ascii="Arial" w:hAnsi="Arial" w:cs="Arial"/>
                <w:b/>
                <w:sz w:val="20"/>
                <w:szCs w:val="20"/>
              </w:rPr>
              <w:t>Figure 4.1: Comparison of rent levels for different products – Fylde</w:t>
            </w:r>
          </w:p>
        </w:tc>
      </w:tr>
      <w:tr w:rsidR="009A390E" w:rsidRPr="007D6369" w14:paraId="0872227A" w14:textId="77777777" w:rsidTr="00172F56">
        <w:trPr>
          <w:jc w:val="center"/>
        </w:trPr>
        <w:tc>
          <w:tcPr>
            <w:tcW w:w="1696" w:type="dxa"/>
          </w:tcPr>
          <w:p w14:paraId="01B6341A" w14:textId="77777777" w:rsidR="009A390E" w:rsidRPr="007D6369" w:rsidRDefault="009A390E" w:rsidP="0092551A">
            <w:pPr>
              <w:keepNext/>
              <w:tabs>
                <w:tab w:val="left" w:pos="720"/>
              </w:tabs>
              <w:spacing w:line="300" w:lineRule="auto"/>
              <w:rPr>
                <w:rFonts w:ascii="Arial" w:hAnsi="Arial" w:cs="Arial"/>
                <w:sz w:val="20"/>
                <w:szCs w:val="20"/>
              </w:rPr>
            </w:pPr>
            <w:bookmarkStart w:id="39" w:name="_Hlk80885964"/>
          </w:p>
        </w:tc>
        <w:tc>
          <w:tcPr>
            <w:tcW w:w="1323" w:type="dxa"/>
            <w:vAlign w:val="center"/>
            <w:hideMark/>
          </w:tcPr>
          <w:p w14:paraId="45F98CE1"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Social rent</w:t>
            </w:r>
          </w:p>
        </w:tc>
        <w:tc>
          <w:tcPr>
            <w:tcW w:w="1324" w:type="dxa"/>
            <w:vAlign w:val="center"/>
            <w:hideMark/>
          </w:tcPr>
          <w:p w14:paraId="119E7FDE"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Affordable rent (AR)</w:t>
            </w:r>
          </w:p>
        </w:tc>
        <w:tc>
          <w:tcPr>
            <w:tcW w:w="1324" w:type="dxa"/>
            <w:vAlign w:val="center"/>
            <w:hideMark/>
          </w:tcPr>
          <w:p w14:paraId="089C0FE3"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Lower quartile (LQ) market rent</w:t>
            </w:r>
          </w:p>
        </w:tc>
        <w:tc>
          <w:tcPr>
            <w:tcW w:w="1324" w:type="dxa"/>
            <w:vAlign w:val="center"/>
            <w:hideMark/>
          </w:tcPr>
          <w:p w14:paraId="661A3FB2"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Median market rent</w:t>
            </w:r>
          </w:p>
        </w:tc>
        <w:tc>
          <w:tcPr>
            <w:tcW w:w="1324" w:type="dxa"/>
            <w:vAlign w:val="center"/>
            <w:hideMark/>
          </w:tcPr>
          <w:p w14:paraId="180A6D67"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LHA (Fylde Coast)</w:t>
            </w:r>
          </w:p>
        </w:tc>
        <w:tc>
          <w:tcPr>
            <w:tcW w:w="1324" w:type="dxa"/>
            <w:vAlign w:val="center"/>
            <w:hideMark/>
          </w:tcPr>
          <w:p w14:paraId="6313C4CF"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LHA (Central Lancs)</w:t>
            </w:r>
          </w:p>
        </w:tc>
      </w:tr>
      <w:tr w:rsidR="009A390E" w:rsidRPr="007D6369" w14:paraId="70606844" w14:textId="77777777" w:rsidTr="00172F56">
        <w:trPr>
          <w:jc w:val="center"/>
        </w:trPr>
        <w:tc>
          <w:tcPr>
            <w:tcW w:w="1696" w:type="dxa"/>
            <w:hideMark/>
          </w:tcPr>
          <w:p w14:paraId="1DA15DAA" w14:textId="77777777" w:rsidR="009A390E" w:rsidRPr="007D6369" w:rsidRDefault="009A390E" w:rsidP="0092551A">
            <w:pPr>
              <w:keepNext/>
              <w:tabs>
                <w:tab w:val="left" w:pos="720"/>
              </w:tabs>
              <w:spacing w:line="300" w:lineRule="auto"/>
              <w:rPr>
                <w:rFonts w:ascii="Arial" w:hAnsi="Arial" w:cs="Arial"/>
                <w:sz w:val="20"/>
                <w:szCs w:val="20"/>
              </w:rPr>
            </w:pPr>
            <w:r w:rsidRPr="007D6369">
              <w:rPr>
                <w:rFonts w:ascii="Arial" w:hAnsi="Arial" w:cs="Arial"/>
                <w:bCs/>
                <w:sz w:val="20"/>
                <w:szCs w:val="20"/>
              </w:rPr>
              <w:t>1-bedroom</w:t>
            </w:r>
          </w:p>
        </w:tc>
        <w:tc>
          <w:tcPr>
            <w:tcW w:w="1323" w:type="dxa"/>
            <w:vAlign w:val="center"/>
          </w:tcPr>
          <w:p w14:paraId="52931734"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£328</w:t>
            </w:r>
          </w:p>
        </w:tc>
        <w:tc>
          <w:tcPr>
            <w:tcW w:w="1324" w:type="dxa"/>
            <w:vAlign w:val="center"/>
          </w:tcPr>
          <w:p w14:paraId="6FEDF490"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£374</w:t>
            </w:r>
          </w:p>
        </w:tc>
        <w:tc>
          <w:tcPr>
            <w:tcW w:w="1324" w:type="dxa"/>
            <w:vAlign w:val="center"/>
          </w:tcPr>
          <w:p w14:paraId="16CC2DE1"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£397</w:t>
            </w:r>
          </w:p>
        </w:tc>
        <w:tc>
          <w:tcPr>
            <w:tcW w:w="1324" w:type="dxa"/>
            <w:vAlign w:val="center"/>
          </w:tcPr>
          <w:p w14:paraId="3208C411"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£450</w:t>
            </w:r>
          </w:p>
        </w:tc>
        <w:tc>
          <w:tcPr>
            <w:tcW w:w="1324" w:type="dxa"/>
            <w:vAlign w:val="center"/>
          </w:tcPr>
          <w:p w14:paraId="155683EA"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£368</w:t>
            </w:r>
          </w:p>
        </w:tc>
        <w:tc>
          <w:tcPr>
            <w:tcW w:w="1324" w:type="dxa"/>
            <w:vAlign w:val="center"/>
          </w:tcPr>
          <w:p w14:paraId="330F6347"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£394</w:t>
            </w:r>
          </w:p>
        </w:tc>
      </w:tr>
      <w:tr w:rsidR="009A390E" w:rsidRPr="007D6369" w14:paraId="60390BC8" w14:textId="77777777" w:rsidTr="00172F56">
        <w:trPr>
          <w:jc w:val="center"/>
        </w:trPr>
        <w:tc>
          <w:tcPr>
            <w:tcW w:w="1696" w:type="dxa"/>
          </w:tcPr>
          <w:p w14:paraId="3D8CF1DD" w14:textId="77777777" w:rsidR="009A390E" w:rsidRPr="007D6369" w:rsidRDefault="009A390E" w:rsidP="0092551A">
            <w:pPr>
              <w:keepNext/>
              <w:tabs>
                <w:tab w:val="left" w:pos="720"/>
              </w:tabs>
              <w:spacing w:line="300" w:lineRule="auto"/>
              <w:rPr>
                <w:rFonts w:ascii="Arial" w:hAnsi="Arial" w:cs="Arial"/>
                <w:bCs/>
                <w:sz w:val="20"/>
                <w:szCs w:val="20"/>
              </w:rPr>
            </w:pPr>
            <w:r w:rsidRPr="007D6369">
              <w:rPr>
                <w:rFonts w:ascii="Arial" w:hAnsi="Arial" w:cs="Arial"/>
                <w:bCs/>
                <w:sz w:val="20"/>
                <w:szCs w:val="20"/>
              </w:rPr>
              <w:t>2-bedrooms</w:t>
            </w:r>
          </w:p>
        </w:tc>
        <w:tc>
          <w:tcPr>
            <w:tcW w:w="1323" w:type="dxa"/>
            <w:vAlign w:val="center"/>
          </w:tcPr>
          <w:p w14:paraId="63277A2F"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£372</w:t>
            </w:r>
          </w:p>
        </w:tc>
        <w:tc>
          <w:tcPr>
            <w:tcW w:w="1324" w:type="dxa"/>
            <w:vAlign w:val="center"/>
          </w:tcPr>
          <w:p w14:paraId="7C87412D"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£472</w:t>
            </w:r>
          </w:p>
        </w:tc>
        <w:tc>
          <w:tcPr>
            <w:tcW w:w="1324" w:type="dxa"/>
            <w:vAlign w:val="center"/>
          </w:tcPr>
          <w:p w14:paraId="6BDC4EF6"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£520</w:t>
            </w:r>
          </w:p>
        </w:tc>
        <w:tc>
          <w:tcPr>
            <w:tcW w:w="1324" w:type="dxa"/>
            <w:vAlign w:val="center"/>
          </w:tcPr>
          <w:p w14:paraId="7DCE17B1"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£575</w:t>
            </w:r>
          </w:p>
        </w:tc>
        <w:tc>
          <w:tcPr>
            <w:tcW w:w="1324" w:type="dxa"/>
            <w:vAlign w:val="center"/>
          </w:tcPr>
          <w:p w14:paraId="666FE9E5"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£497</w:t>
            </w:r>
          </w:p>
        </w:tc>
        <w:tc>
          <w:tcPr>
            <w:tcW w:w="1324" w:type="dxa"/>
            <w:vAlign w:val="center"/>
          </w:tcPr>
          <w:p w14:paraId="6E6CD51F"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£499</w:t>
            </w:r>
          </w:p>
        </w:tc>
      </w:tr>
      <w:tr w:rsidR="009A390E" w:rsidRPr="007D6369" w14:paraId="0F9E52C2" w14:textId="77777777" w:rsidTr="00172F56">
        <w:trPr>
          <w:jc w:val="center"/>
        </w:trPr>
        <w:tc>
          <w:tcPr>
            <w:tcW w:w="1696" w:type="dxa"/>
          </w:tcPr>
          <w:p w14:paraId="0785EBE0" w14:textId="77777777" w:rsidR="009A390E" w:rsidRPr="007D6369" w:rsidRDefault="009A390E" w:rsidP="0092551A">
            <w:pPr>
              <w:keepNext/>
              <w:tabs>
                <w:tab w:val="left" w:pos="720"/>
              </w:tabs>
              <w:spacing w:line="300" w:lineRule="auto"/>
              <w:rPr>
                <w:rFonts w:ascii="Arial" w:hAnsi="Arial" w:cs="Arial"/>
                <w:bCs/>
                <w:sz w:val="20"/>
                <w:szCs w:val="20"/>
              </w:rPr>
            </w:pPr>
            <w:r w:rsidRPr="007D6369">
              <w:rPr>
                <w:rFonts w:ascii="Arial" w:hAnsi="Arial" w:cs="Arial"/>
                <w:bCs/>
                <w:sz w:val="20"/>
                <w:szCs w:val="20"/>
              </w:rPr>
              <w:t>3-bedrooms</w:t>
            </w:r>
          </w:p>
        </w:tc>
        <w:tc>
          <w:tcPr>
            <w:tcW w:w="1323" w:type="dxa"/>
            <w:vAlign w:val="center"/>
          </w:tcPr>
          <w:p w14:paraId="37B69949"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£412</w:t>
            </w:r>
          </w:p>
        </w:tc>
        <w:tc>
          <w:tcPr>
            <w:tcW w:w="1324" w:type="dxa"/>
            <w:vAlign w:val="center"/>
          </w:tcPr>
          <w:p w14:paraId="73236619"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£525</w:t>
            </w:r>
          </w:p>
        </w:tc>
        <w:tc>
          <w:tcPr>
            <w:tcW w:w="1324" w:type="dxa"/>
            <w:vAlign w:val="center"/>
          </w:tcPr>
          <w:p w14:paraId="3010D275"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£650</w:t>
            </w:r>
          </w:p>
        </w:tc>
        <w:tc>
          <w:tcPr>
            <w:tcW w:w="1324" w:type="dxa"/>
            <w:vAlign w:val="center"/>
          </w:tcPr>
          <w:p w14:paraId="10669245"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£700</w:t>
            </w:r>
          </w:p>
        </w:tc>
        <w:tc>
          <w:tcPr>
            <w:tcW w:w="1324" w:type="dxa"/>
            <w:vAlign w:val="center"/>
          </w:tcPr>
          <w:p w14:paraId="4A062AA5"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£573</w:t>
            </w:r>
          </w:p>
        </w:tc>
        <w:tc>
          <w:tcPr>
            <w:tcW w:w="1324" w:type="dxa"/>
            <w:vAlign w:val="center"/>
          </w:tcPr>
          <w:p w14:paraId="699EE404"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£573</w:t>
            </w:r>
          </w:p>
        </w:tc>
      </w:tr>
      <w:tr w:rsidR="009A390E" w:rsidRPr="007D6369" w14:paraId="3A5539A9" w14:textId="77777777" w:rsidTr="00172F56">
        <w:trPr>
          <w:jc w:val="center"/>
        </w:trPr>
        <w:tc>
          <w:tcPr>
            <w:tcW w:w="1696" w:type="dxa"/>
          </w:tcPr>
          <w:p w14:paraId="47D9A622" w14:textId="77777777" w:rsidR="009A390E" w:rsidRPr="007D6369" w:rsidRDefault="009A390E" w:rsidP="0092551A">
            <w:pPr>
              <w:keepNext/>
              <w:tabs>
                <w:tab w:val="left" w:pos="720"/>
              </w:tabs>
              <w:spacing w:line="300" w:lineRule="auto"/>
              <w:rPr>
                <w:rFonts w:ascii="Arial" w:hAnsi="Arial" w:cs="Arial"/>
                <w:bCs/>
                <w:sz w:val="20"/>
                <w:szCs w:val="20"/>
              </w:rPr>
            </w:pPr>
            <w:r w:rsidRPr="007D6369">
              <w:rPr>
                <w:rFonts w:ascii="Arial" w:hAnsi="Arial" w:cs="Arial"/>
                <w:bCs/>
                <w:sz w:val="20"/>
                <w:szCs w:val="20"/>
              </w:rPr>
              <w:t>4-bedrooms</w:t>
            </w:r>
          </w:p>
        </w:tc>
        <w:tc>
          <w:tcPr>
            <w:tcW w:w="1323" w:type="dxa"/>
            <w:vAlign w:val="center"/>
          </w:tcPr>
          <w:p w14:paraId="03C72F09"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£447</w:t>
            </w:r>
          </w:p>
        </w:tc>
        <w:tc>
          <w:tcPr>
            <w:tcW w:w="1324" w:type="dxa"/>
            <w:vAlign w:val="center"/>
          </w:tcPr>
          <w:p w14:paraId="0B642717"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£637</w:t>
            </w:r>
          </w:p>
        </w:tc>
        <w:tc>
          <w:tcPr>
            <w:tcW w:w="1324" w:type="dxa"/>
            <w:vAlign w:val="center"/>
          </w:tcPr>
          <w:p w14:paraId="1C3C6763"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£800</w:t>
            </w:r>
          </w:p>
        </w:tc>
        <w:tc>
          <w:tcPr>
            <w:tcW w:w="1324" w:type="dxa"/>
            <w:vAlign w:val="center"/>
          </w:tcPr>
          <w:p w14:paraId="5457061F"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£950</w:t>
            </w:r>
          </w:p>
        </w:tc>
        <w:tc>
          <w:tcPr>
            <w:tcW w:w="1324" w:type="dxa"/>
            <w:vAlign w:val="center"/>
          </w:tcPr>
          <w:p w14:paraId="2992C634"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£650</w:t>
            </w:r>
          </w:p>
        </w:tc>
        <w:tc>
          <w:tcPr>
            <w:tcW w:w="1324" w:type="dxa"/>
            <w:vAlign w:val="center"/>
          </w:tcPr>
          <w:p w14:paraId="7ECA84CA"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£793</w:t>
            </w:r>
          </w:p>
        </w:tc>
      </w:tr>
      <w:tr w:rsidR="009A390E" w:rsidRPr="007D6369" w14:paraId="5E89F75F" w14:textId="77777777" w:rsidTr="00172F56">
        <w:trPr>
          <w:jc w:val="center"/>
        </w:trPr>
        <w:tc>
          <w:tcPr>
            <w:tcW w:w="1696" w:type="dxa"/>
          </w:tcPr>
          <w:p w14:paraId="7291E108" w14:textId="26797CD2" w:rsidR="009A390E" w:rsidRPr="007D6369" w:rsidRDefault="00694CA8" w:rsidP="0092551A">
            <w:pPr>
              <w:keepNext/>
              <w:tabs>
                <w:tab w:val="left" w:pos="720"/>
              </w:tabs>
              <w:spacing w:line="300" w:lineRule="auto"/>
              <w:rPr>
                <w:rFonts w:ascii="Arial" w:hAnsi="Arial" w:cs="Arial"/>
                <w:bCs/>
                <w:sz w:val="20"/>
                <w:szCs w:val="20"/>
              </w:rPr>
            </w:pPr>
            <w:r>
              <w:rPr>
                <w:rFonts w:ascii="Arial" w:hAnsi="Arial" w:cs="Arial"/>
                <w:bCs/>
                <w:sz w:val="20"/>
                <w:szCs w:val="20"/>
              </w:rPr>
              <w:t xml:space="preserve">Overall </w:t>
            </w:r>
            <w:r w:rsidR="00FA78B1">
              <w:rPr>
                <w:rFonts w:ascii="Arial" w:hAnsi="Arial" w:cs="Arial"/>
                <w:bCs/>
                <w:sz w:val="20"/>
                <w:szCs w:val="20"/>
              </w:rPr>
              <w:t>average</w:t>
            </w:r>
          </w:p>
        </w:tc>
        <w:tc>
          <w:tcPr>
            <w:tcW w:w="1323" w:type="dxa"/>
            <w:vAlign w:val="center"/>
          </w:tcPr>
          <w:p w14:paraId="6172EB89"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£380</w:t>
            </w:r>
          </w:p>
        </w:tc>
        <w:tc>
          <w:tcPr>
            <w:tcW w:w="1324" w:type="dxa"/>
            <w:vAlign w:val="center"/>
          </w:tcPr>
          <w:p w14:paraId="10C2DBE3"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£487</w:t>
            </w:r>
          </w:p>
        </w:tc>
        <w:tc>
          <w:tcPr>
            <w:tcW w:w="1324" w:type="dxa"/>
            <w:vAlign w:val="center"/>
          </w:tcPr>
          <w:p w14:paraId="1E7A4345"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£475</w:t>
            </w:r>
          </w:p>
        </w:tc>
        <w:tc>
          <w:tcPr>
            <w:tcW w:w="1324" w:type="dxa"/>
            <w:vAlign w:val="center"/>
          </w:tcPr>
          <w:p w14:paraId="5373838F"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£575</w:t>
            </w:r>
          </w:p>
        </w:tc>
        <w:tc>
          <w:tcPr>
            <w:tcW w:w="1324" w:type="dxa"/>
            <w:vAlign w:val="center"/>
          </w:tcPr>
          <w:p w14:paraId="118AE875"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w:t>
            </w:r>
          </w:p>
        </w:tc>
        <w:tc>
          <w:tcPr>
            <w:tcW w:w="1324" w:type="dxa"/>
            <w:vAlign w:val="center"/>
          </w:tcPr>
          <w:p w14:paraId="19048C60"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w:t>
            </w:r>
          </w:p>
        </w:tc>
      </w:tr>
    </w:tbl>
    <w:bookmarkEnd w:id="39"/>
    <w:p w14:paraId="6DE3CFB3" w14:textId="77777777" w:rsidR="009A390E" w:rsidRPr="007D6369" w:rsidRDefault="009A390E" w:rsidP="009A390E">
      <w:pPr>
        <w:spacing w:line="300" w:lineRule="auto"/>
        <w:jc w:val="center"/>
        <w:rPr>
          <w:rFonts w:ascii="Arial" w:hAnsi="Arial" w:cs="Arial"/>
          <w:sz w:val="20"/>
          <w:szCs w:val="20"/>
        </w:rPr>
      </w:pPr>
      <w:r w:rsidRPr="007D6369">
        <w:rPr>
          <w:rFonts w:ascii="Arial" w:hAnsi="Arial" w:cs="Arial"/>
          <w:sz w:val="20"/>
          <w:szCs w:val="20"/>
        </w:rPr>
        <w:t>Source: RSH, ONS and VOA</w:t>
      </w:r>
    </w:p>
    <w:p w14:paraId="57A3FE36" w14:textId="2F105C95" w:rsidR="009A390E" w:rsidRDefault="009A390E" w:rsidP="009A390E">
      <w:pPr>
        <w:pStyle w:val="11Bodytext"/>
        <w:numPr>
          <w:ilvl w:val="0"/>
          <w:numId w:val="0"/>
        </w:numPr>
        <w:spacing w:before="0" w:after="0" w:line="300" w:lineRule="auto"/>
        <w:rPr>
          <w:color w:val="auto"/>
        </w:rPr>
      </w:pPr>
    </w:p>
    <w:p w14:paraId="21BC7E79" w14:textId="77777777" w:rsidR="003367CD" w:rsidRPr="007D6369" w:rsidRDefault="003367CD" w:rsidP="009A390E">
      <w:pPr>
        <w:pStyle w:val="11Bodytext"/>
        <w:numPr>
          <w:ilvl w:val="0"/>
          <w:numId w:val="0"/>
        </w:numPr>
        <w:spacing w:before="0" w:after="0" w:line="300" w:lineRule="auto"/>
        <w:rPr>
          <w:color w:val="auto"/>
        </w:rPr>
      </w:pPr>
    </w:p>
    <w:p w14:paraId="495C44F1" w14:textId="4F9B8643" w:rsidR="009A390E" w:rsidRPr="007D6369" w:rsidRDefault="009A390E">
      <w:pPr>
        <w:pStyle w:val="11Bodytext"/>
        <w:numPr>
          <w:ilvl w:val="1"/>
          <w:numId w:val="37"/>
        </w:numPr>
        <w:spacing w:before="0" w:after="0" w:line="300" w:lineRule="auto"/>
        <w:ind w:left="720" w:hanging="720"/>
        <w:rPr>
          <w:color w:val="auto"/>
        </w:rPr>
      </w:pPr>
      <w:r w:rsidRPr="007D6369">
        <w:t xml:space="preserve">To some extent it is easier to consider the data above in terms of the percentage one housing cost is of another and this is shown in the table below. Caution should be exercised when looking at the overall averages as these will be influenced by the profile of stock in each category and so the discussion focusses on 2-bedroom homes (this is the main stock size held by </w:t>
      </w:r>
      <w:r w:rsidR="00694CA8">
        <w:t>a</w:t>
      </w:r>
      <w:r w:rsidRPr="007D6369">
        <w:t xml:space="preserve">ffordable </w:t>
      </w:r>
      <w:r w:rsidR="00694CA8">
        <w:t>h</w:t>
      </w:r>
      <w:r w:rsidRPr="007D6369">
        <w:t xml:space="preserve">ousing </w:t>
      </w:r>
      <w:r w:rsidR="00694CA8">
        <w:t>p</w:t>
      </w:r>
      <w:r w:rsidRPr="007D6369">
        <w:t>roviders, 45% of social rented housing and 51% of affordable rents).</w:t>
      </w:r>
    </w:p>
    <w:p w14:paraId="73CDBDE5" w14:textId="77777777" w:rsidR="009A390E" w:rsidRPr="007D6369" w:rsidRDefault="009A390E" w:rsidP="009A390E">
      <w:pPr>
        <w:pStyle w:val="11Bodytext"/>
        <w:numPr>
          <w:ilvl w:val="0"/>
          <w:numId w:val="0"/>
        </w:numPr>
        <w:spacing w:before="0" w:after="0" w:line="300" w:lineRule="auto"/>
        <w:rPr>
          <w:color w:val="auto"/>
        </w:rPr>
      </w:pPr>
    </w:p>
    <w:p w14:paraId="36FAED0F" w14:textId="2040F62B" w:rsidR="009A390E" w:rsidRPr="00172F56" w:rsidRDefault="009A390E">
      <w:pPr>
        <w:pStyle w:val="11Bodytext"/>
        <w:numPr>
          <w:ilvl w:val="1"/>
          <w:numId w:val="37"/>
        </w:numPr>
        <w:spacing w:before="0" w:after="0" w:line="300" w:lineRule="auto"/>
        <w:ind w:left="720" w:hanging="720"/>
        <w:rPr>
          <w:color w:val="auto"/>
        </w:rPr>
      </w:pPr>
      <w:r w:rsidRPr="007D6369">
        <w:t>This shows that social rents are significantly cheaper than market rents (and indeed affordable rents) but that affordable rents (as currently charged) represent 91% of a current lower quartile rent (82% if comparing with a median rent). This does not necessarily mean that the affordable rents are only being provided at a 9%-18% discount as it is possible that the open market rent is actually higher than the rent levels (mainly for existing homes) shown by ONS in their private rented market statistics.</w:t>
      </w:r>
    </w:p>
    <w:p w14:paraId="77309D05" w14:textId="77777777" w:rsidR="00973C9F" w:rsidRPr="007D6369" w:rsidRDefault="00973C9F" w:rsidP="00172F56">
      <w:pPr>
        <w:pStyle w:val="11Bodytext"/>
        <w:numPr>
          <w:ilvl w:val="0"/>
          <w:numId w:val="0"/>
        </w:numPr>
        <w:spacing w:before="0" w:after="0" w:line="300" w:lineRule="auto"/>
        <w:rPr>
          <w:color w:val="auto"/>
        </w:rPr>
      </w:pPr>
    </w:p>
    <w:tbl>
      <w:tblPr>
        <w:tblStyle w:val="TableGrid1"/>
        <w:tblW w:w="9639" w:type="dxa"/>
        <w:jc w:val="center"/>
        <w:tblLook w:val="04A0" w:firstRow="1" w:lastRow="0" w:firstColumn="1" w:lastColumn="0" w:noHBand="0" w:noVBand="1"/>
      </w:tblPr>
      <w:tblGrid>
        <w:gridCol w:w="1377"/>
        <w:gridCol w:w="1377"/>
        <w:gridCol w:w="1377"/>
        <w:gridCol w:w="1377"/>
        <w:gridCol w:w="1377"/>
        <w:gridCol w:w="1377"/>
        <w:gridCol w:w="1377"/>
      </w:tblGrid>
      <w:tr w:rsidR="009A390E" w:rsidRPr="007D6369" w14:paraId="6927F681" w14:textId="77777777" w:rsidTr="0092551A">
        <w:trPr>
          <w:jc w:val="center"/>
        </w:trPr>
        <w:tc>
          <w:tcPr>
            <w:tcW w:w="9639" w:type="dxa"/>
            <w:gridSpan w:val="7"/>
          </w:tcPr>
          <w:p w14:paraId="53651D75" w14:textId="658155A6" w:rsidR="009A390E" w:rsidRPr="007D6369" w:rsidRDefault="009A390E" w:rsidP="0092551A">
            <w:pPr>
              <w:keepNext/>
              <w:tabs>
                <w:tab w:val="left" w:pos="720"/>
              </w:tabs>
              <w:spacing w:before="60" w:after="60" w:line="300" w:lineRule="auto"/>
              <w:jc w:val="center"/>
              <w:rPr>
                <w:rFonts w:ascii="Arial" w:hAnsi="Arial" w:cs="Arial"/>
                <w:b/>
                <w:sz w:val="20"/>
                <w:szCs w:val="20"/>
              </w:rPr>
            </w:pPr>
            <w:r w:rsidRPr="007D6369">
              <w:rPr>
                <w:rFonts w:ascii="Arial" w:hAnsi="Arial" w:cs="Arial"/>
                <w:b/>
                <w:sz w:val="20"/>
                <w:szCs w:val="20"/>
              </w:rPr>
              <w:t>Figure 4.2: Difference between rent levels for different products – Fylde</w:t>
            </w:r>
          </w:p>
        </w:tc>
      </w:tr>
      <w:tr w:rsidR="009A390E" w:rsidRPr="007D6369" w14:paraId="66678662" w14:textId="77777777" w:rsidTr="00172F56">
        <w:trPr>
          <w:jc w:val="center"/>
        </w:trPr>
        <w:tc>
          <w:tcPr>
            <w:tcW w:w="1377" w:type="dxa"/>
          </w:tcPr>
          <w:p w14:paraId="3D28AD5F" w14:textId="77777777" w:rsidR="009A390E" w:rsidRPr="007D6369" w:rsidRDefault="009A390E" w:rsidP="0092551A">
            <w:pPr>
              <w:keepNext/>
              <w:tabs>
                <w:tab w:val="left" w:pos="720"/>
              </w:tabs>
              <w:spacing w:line="300" w:lineRule="auto"/>
              <w:rPr>
                <w:rFonts w:ascii="Arial" w:hAnsi="Arial" w:cs="Arial"/>
                <w:sz w:val="20"/>
                <w:szCs w:val="20"/>
              </w:rPr>
            </w:pPr>
          </w:p>
        </w:tc>
        <w:tc>
          <w:tcPr>
            <w:tcW w:w="1377" w:type="dxa"/>
            <w:vAlign w:val="center"/>
            <w:hideMark/>
          </w:tcPr>
          <w:p w14:paraId="5C8FEEAD"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Social rent as % of affordable rent</w:t>
            </w:r>
          </w:p>
        </w:tc>
        <w:tc>
          <w:tcPr>
            <w:tcW w:w="1377" w:type="dxa"/>
            <w:vAlign w:val="center"/>
            <w:hideMark/>
          </w:tcPr>
          <w:p w14:paraId="18C44289"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Social rent as % of LQ market rent</w:t>
            </w:r>
          </w:p>
        </w:tc>
        <w:tc>
          <w:tcPr>
            <w:tcW w:w="1377" w:type="dxa"/>
            <w:vAlign w:val="center"/>
            <w:hideMark/>
          </w:tcPr>
          <w:p w14:paraId="3C393386"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Social rent as % of median market rent</w:t>
            </w:r>
          </w:p>
        </w:tc>
        <w:tc>
          <w:tcPr>
            <w:tcW w:w="1377" w:type="dxa"/>
            <w:vAlign w:val="center"/>
            <w:hideMark/>
          </w:tcPr>
          <w:p w14:paraId="797A6688"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Affordable rent as % of LQ market rent</w:t>
            </w:r>
          </w:p>
        </w:tc>
        <w:tc>
          <w:tcPr>
            <w:tcW w:w="1377" w:type="dxa"/>
            <w:vAlign w:val="center"/>
            <w:hideMark/>
          </w:tcPr>
          <w:p w14:paraId="67BC5ADA"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Affordable rent as % of median market rent</w:t>
            </w:r>
          </w:p>
        </w:tc>
        <w:tc>
          <w:tcPr>
            <w:tcW w:w="1377" w:type="dxa"/>
            <w:vAlign w:val="center"/>
            <w:hideMark/>
          </w:tcPr>
          <w:p w14:paraId="3FF64951"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sz w:val="20"/>
                <w:szCs w:val="20"/>
              </w:rPr>
              <w:t>LQ market rent as % of median market rent</w:t>
            </w:r>
          </w:p>
        </w:tc>
      </w:tr>
      <w:tr w:rsidR="009A390E" w:rsidRPr="007D6369" w14:paraId="733F1079" w14:textId="77777777" w:rsidTr="00172F56">
        <w:trPr>
          <w:jc w:val="center"/>
        </w:trPr>
        <w:tc>
          <w:tcPr>
            <w:tcW w:w="1377" w:type="dxa"/>
            <w:hideMark/>
          </w:tcPr>
          <w:p w14:paraId="2C9B5543" w14:textId="77777777" w:rsidR="009A390E" w:rsidRPr="007D6369" w:rsidRDefault="009A390E" w:rsidP="0092551A">
            <w:pPr>
              <w:keepNext/>
              <w:tabs>
                <w:tab w:val="left" w:pos="720"/>
              </w:tabs>
              <w:spacing w:line="300" w:lineRule="auto"/>
              <w:rPr>
                <w:rFonts w:ascii="Arial" w:hAnsi="Arial" w:cs="Arial"/>
                <w:sz w:val="20"/>
                <w:szCs w:val="20"/>
              </w:rPr>
            </w:pPr>
            <w:r w:rsidRPr="007D6369">
              <w:rPr>
                <w:rFonts w:ascii="Arial" w:hAnsi="Arial" w:cs="Arial"/>
                <w:bCs/>
                <w:sz w:val="20"/>
                <w:szCs w:val="20"/>
              </w:rPr>
              <w:t>1-bedroom</w:t>
            </w:r>
          </w:p>
        </w:tc>
        <w:tc>
          <w:tcPr>
            <w:tcW w:w="1377" w:type="dxa"/>
            <w:vAlign w:val="center"/>
          </w:tcPr>
          <w:p w14:paraId="5E22C840"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88%</w:t>
            </w:r>
          </w:p>
        </w:tc>
        <w:tc>
          <w:tcPr>
            <w:tcW w:w="1377" w:type="dxa"/>
            <w:vAlign w:val="center"/>
          </w:tcPr>
          <w:p w14:paraId="77692214"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83%</w:t>
            </w:r>
          </w:p>
        </w:tc>
        <w:tc>
          <w:tcPr>
            <w:tcW w:w="1377" w:type="dxa"/>
            <w:vAlign w:val="center"/>
          </w:tcPr>
          <w:p w14:paraId="174D4983"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73%</w:t>
            </w:r>
          </w:p>
        </w:tc>
        <w:tc>
          <w:tcPr>
            <w:tcW w:w="1377" w:type="dxa"/>
            <w:vAlign w:val="center"/>
          </w:tcPr>
          <w:p w14:paraId="0B09DDF7"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94%</w:t>
            </w:r>
          </w:p>
        </w:tc>
        <w:tc>
          <w:tcPr>
            <w:tcW w:w="1377" w:type="dxa"/>
            <w:vAlign w:val="center"/>
          </w:tcPr>
          <w:p w14:paraId="14950920"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83%</w:t>
            </w:r>
          </w:p>
        </w:tc>
        <w:tc>
          <w:tcPr>
            <w:tcW w:w="1377" w:type="dxa"/>
            <w:vAlign w:val="center"/>
          </w:tcPr>
          <w:p w14:paraId="348BD389"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88%</w:t>
            </w:r>
          </w:p>
        </w:tc>
      </w:tr>
      <w:tr w:rsidR="009A390E" w:rsidRPr="007D6369" w14:paraId="735DCF9B" w14:textId="77777777" w:rsidTr="00172F56">
        <w:trPr>
          <w:jc w:val="center"/>
        </w:trPr>
        <w:tc>
          <w:tcPr>
            <w:tcW w:w="1377" w:type="dxa"/>
          </w:tcPr>
          <w:p w14:paraId="5567ECC3" w14:textId="77777777" w:rsidR="009A390E" w:rsidRPr="007D6369" w:rsidRDefault="009A390E" w:rsidP="0092551A">
            <w:pPr>
              <w:keepNext/>
              <w:tabs>
                <w:tab w:val="left" w:pos="720"/>
              </w:tabs>
              <w:spacing w:line="300" w:lineRule="auto"/>
              <w:rPr>
                <w:rFonts w:ascii="Arial" w:hAnsi="Arial" w:cs="Arial"/>
                <w:bCs/>
                <w:sz w:val="20"/>
                <w:szCs w:val="20"/>
              </w:rPr>
            </w:pPr>
            <w:r w:rsidRPr="007D6369">
              <w:rPr>
                <w:rFonts w:ascii="Arial" w:hAnsi="Arial" w:cs="Arial"/>
                <w:bCs/>
                <w:sz w:val="20"/>
                <w:szCs w:val="20"/>
              </w:rPr>
              <w:t>2-bedrooms</w:t>
            </w:r>
          </w:p>
        </w:tc>
        <w:tc>
          <w:tcPr>
            <w:tcW w:w="1377" w:type="dxa"/>
            <w:vAlign w:val="center"/>
          </w:tcPr>
          <w:p w14:paraId="0EF2E9F5"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79%</w:t>
            </w:r>
          </w:p>
        </w:tc>
        <w:tc>
          <w:tcPr>
            <w:tcW w:w="1377" w:type="dxa"/>
            <w:vAlign w:val="center"/>
          </w:tcPr>
          <w:p w14:paraId="18060BD0"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72%</w:t>
            </w:r>
          </w:p>
        </w:tc>
        <w:tc>
          <w:tcPr>
            <w:tcW w:w="1377" w:type="dxa"/>
            <w:vAlign w:val="center"/>
          </w:tcPr>
          <w:p w14:paraId="3AFFD9B1"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65%</w:t>
            </w:r>
          </w:p>
        </w:tc>
        <w:tc>
          <w:tcPr>
            <w:tcW w:w="1377" w:type="dxa"/>
            <w:vAlign w:val="center"/>
          </w:tcPr>
          <w:p w14:paraId="044F3ECF"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91%</w:t>
            </w:r>
          </w:p>
        </w:tc>
        <w:tc>
          <w:tcPr>
            <w:tcW w:w="1377" w:type="dxa"/>
            <w:vAlign w:val="center"/>
          </w:tcPr>
          <w:p w14:paraId="6F294710"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82%</w:t>
            </w:r>
          </w:p>
        </w:tc>
        <w:tc>
          <w:tcPr>
            <w:tcW w:w="1377" w:type="dxa"/>
            <w:vAlign w:val="center"/>
          </w:tcPr>
          <w:p w14:paraId="1D98360A"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90%</w:t>
            </w:r>
          </w:p>
        </w:tc>
      </w:tr>
      <w:tr w:rsidR="009A390E" w:rsidRPr="007D6369" w14:paraId="1284B64C" w14:textId="77777777" w:rsidTr="00172F56">
        <w:trPr>
          <w:jc w:val="center"/>
        </w:trPr>
        <w:tc>
          <w:tcPr>
            <w:tcW w:w="1377" w:type="dxa"/>
          </w:tcPr>
          <w:p w14:paraId="70F2736D" w14:textId="77777777" w:rsidR="009A390E" w:rsidRPr="007D6369" w:rsidRDefault="009A390E" w:rsidP="0092551A">
            <w:pPr>
              <w:keepNext/>
              <w:tabs>
                <w:tab w:val="left" w:pos="720"/>
              </w:tabs>
              <w:spacing w:line="300" w:lineRule="auto"/>
              <w:rPr>
                <w:rFonts w:ascii="Arial" w:hAnsi="Arial" w:cs="Arial"/>
                <w:bCs/>
                <w:sz w:val="20"/>
                <w:szCs w:val="20"/>
              </w:rPr>
            </w:pPr>
            <w:r w:rsidRPr="007D6369">
              <w:rPr>
                <w:rFonts w:ascii="Arial" w:hAnsi="Arial" w:cs="Arial"/>
                <w:bCs/>
                <w:sz w:val="20"/>
                <w:szCs w:val="20"/>
              </w:rPr>
              <w:t>3-bedrooms</w:t>
            </w:r>
          </w:p>
        </w:tc>
        <w:tc>
          <w:tcPr>
            <w:tcW w:w="1377" w:type="dxa"/>
            <w:vAlign w:val="center"/>
          </w:tcPr>
          <w:p w14:paraId="20432232"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78%</w:t>
            </w:r>
          </w:p>
        </w:tc>
        <w:tc>
          <w:tcPr>
            <w:tcW w:w="1377" w:type="dxa"/>
            <w:vAlign w:val="center"/>
          </w:tcPr>
          <w:p w14:paraId="4A83ACE8"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63%</w:t>
            </w:r>
          </w:p>
        </w:tc>
        <w:tc>
          <w:tcPr>
            <w:tcW w:w="1377" w:type="dxa"/>
            <w:vAlign w:val="center"/>
          </w:tcPr>
          <w:p w14:paraId="388D2AD4"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59%</w:t>
            </w:r>
          </w:p>
        </w:tc>
        <w:tc>
          <w:tcPr>
            <w:tcW w:w="1377" w:type="dxa"/>
            <w:vAlign w:val="center"/>
          </w:tcPr>
          <w:p w14:paraId="1AB0EC19"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81%</w:t>
            </w:r>
          </w:p>
        </w:tc>
        <w:tc>
          <w:tcPr>
            <w:tcW w:w="1377" w:type="dxa"/>
            <w:vAlign w:val="center"/>
          </w:tcPr>
          <w:p w14:paraId="105E2FD6"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75%</w:t>
            </w:r>
          </w:p>
        </w:tc>
        <w:tc>
          <w:tcPr>
            <w:tcW w:w="1377" w:type="dxa"/>
            <w:vAlign w:val="center"/>
          </w:tcPr>
          <w:p w14:paraId="085DD36D"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93%</w:t>
            </w:r>
          </w:p>
        </w:tc>
      </w:tr>
      <w:tr w:rsidR="009A390E" w:rsidRPr="007D6369" w14:paraId="786569BD" w14:textId="77777777" w:rsidTr="00172F56">
        <w:trPr>
          <w:jc w:val="center"/>
        </w:trPr>
        <w:tc>
          <w:tcPr>
            <w:tcW w:w="1377" w:type="dxa"/>
          </w:tcPr>
          <w:p w14:paraId="08522FD8" w14:textId="77777777" w:rsidR="009A390E" w:rsidRPr="007D6369" w:rsidRDefault="009A390E" w:rsidP="0092551A">
            <w:pPr>
              <w:keepNext/>
              <w:tabs>
                <w:tab w:val="left" w:pos="720"/>
              </w:tabs>
              <w:spacing w:line="300" w:lineRule="auto"/>
              <w:rPr>
                <w:rFonts w:ascii="Arial" w:hAnsi="Arial" w:cs="Arial"/>
                <w:bCs/>
                <w:sz w:val="20"/>
                <w:szCs w:val="20"/>
              </w:rPr>
            </w:pPr>
            <w:r w:rsidRPr="007D6369">
              <w:rPr>
                <w:rFonts w:ascii="Arial" w:hAnsi="Arial" w:cs="Arial"/>
                <w:bCs/>
                <w:sz w:val="20"/>
                <w:szCs w:val="20"/>
              </w:rPr>
              <w:t>4-bedrooms</w:t>
            </w:r>
          </w:p>
        </w:tc>
        <w:tc>
          <w:tcPr>
            <w:tcW w:w="1377" w:type="dxa"/>
            <w:vAlign w:val="center"/>
          </w:tcPr>
          <w:p w14:paraId="540227B7"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70%</w:t>
            </w:r>
          </w:p>
        </w:tc>
        <w:tc>
          <w:tcPr>
            <w:tcW w:w="1377" w:type="dxa"/>
            <w:vAlign w:val="center"/>
          </w:tcPr>
          <w:p w14:paraId="71BA84CC"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56%</w:t>
            </w:r>
          </w:p>
        </w:tc>
        <w:tc>
          <w:tcPr>
            <w:tcW w:w="1377" w:type="dxa"/>
            <w:vAlign w:val="center"/>
          </w:tcPr>
          <w:p w14:paraId="1B8586D7"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47%</w:t>
            </w:r>
          </w:p>
        </w:tc>
        <w:tc>
          <w:tcPr>
            <w:tcW w:w="1377" w:type="dxa"/>
            <w:vAlign w:val="center"/>
          </w:tcPr>
          <w:p w14:paraId="6C929BFA"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80%</w:t>
            </w:r>
          </w:p>
        </w:tc>
        <w:tc>
          <w:tcPr>
            <w:tcW w:w="1377" w:type="dxa"/>
            <w:vAlign w:val="center"/>
          </w:tcPr>
          <w:p w14:paraId="4F76B6A9"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67%</w:t>
            </w:r>
          </w:p>
        </w:tc>
        <w:tc>
          <w:tcPr>
            <w:tcW w:w="1377" w:type="dxa"/>
            <w:vAlign w:val="center"/>
          </w:tcPr>
          <w:p w14:paraId="184A6084"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84%</w:t>
            </w:r>
          </w:p>
        </w:tc>
      </w:tr>
      <w:tr w:rsidR="009A390E" w:rsidRPr="007D6369" w14:paraId="6E904824" w14:textId="77777777" w:rsidTr="00172F56">
        <w:trPr>
          <w:jc w:val="center"/>
        </w:trPr>
        <w:tc>
          <w:tcPr>
            <w:tcW w:w="1377" w:type="dxa"/>
          </w:tcPr>
          <w:p w14:paraId="659663EE" w14:textId="77777777" w:rsidR="009A390E" w:rsidRPr="007D6369" w:rsidRDefault="009A390E" w:rsidP="0092551A">
            <w:pPr>
              <w:keepNext/>
              <w:tabs>
                <w:tab w:val="left" w:pos="720"/>
              </w:tabs>
              <w:spacing w:line="300" w:lineRule="auto"/>
              <w:rPr>
                <w:rFonts w:ascii="Arial" w:hAnsi="Arial" w:cs="Arial"/>
                <w:bCs/>
                <w:sz w:val="20"/>
                <w:szCs w:val="20"/>
              </w:rPr>
            </w:pPr>
            <w:r w:rsidRPr="007D6369">
              <w:rPr>
                <w:rFonts w:ascii="Arial" w:hAnsi="Arial" w:cs="Arial"/>
                <w:bCs/>
                <w:sz w:val="20"/>
                <w:szCs w:val="20"/>
              </w:rPr>
              <w:t>All</w:t>
            </w:r>
          </w:p>
        </w:tc>
        <w:tc>
          <w:tcPr>
            <w:tcW w:w="1377" w:type="dxa"/>
            <w:vAlign w:val="center"/>
          </w:tcPr>
          <w:p w14:paraId="55848D6E"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78%</w:t>
            </w:r>
          </w:p>
        </w:tc>
        <w:tc>
          <w:tcPr>
            <w:tcW w:w="1377" w:type="dxa"/>
            <w:vAlign w:val="center"/>
          </w:tcPr>
          <w:p w14:paraId="5932AB59"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80%</w:t>
            </w:r>
          </w:p>
        </w:tc>
        <w:tc>
          <w:tcPr>
            <w:tcW w:w="1377" w:type="dxa"/>
            <w:vAlign w:val="center"/>
          </w:tcPr>
          <w:p w14:paraId="07E44EE0"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66%</w:t>
            </w:r>
          </w:p>
        </w:tc>
        <w:tc>
          <w:tcPr>
            <w:tcW w:w="1377" w:type="dxa"/>
            <w:vAlign w:val="center"/>
          </w:tcPr>
          <w:p w14:paraId="5CB29D2C"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103%</w:t>
            </w:r>
          </w:p>
        </w:tc>
        <w:tc>
          <w:tcPr>
            <w:tcW w:w="1377" w:type="dxa"/>
            <w:vAlign w:val="center"/>
          </w:tcPr>
          <w:p w14:paraId="4B448ADC"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85%</w:t>
            </w:r>
          </w:p>
        </w:tc>
        <w:tc>
          <w:tcPr>
            <w:tcW w:w="1377" w:type="dxa"/>
            <w:vAlign w:val="center"/>
          </w:tcPr>
          <w:p w14:paraId="1F8FE6A7" w14:textId="77777777" w:rsidR="009A390E" w:rsidRPr="007D6369" w:rsidRDefault="009A390E" w:rsidP="0014104A">
            <w:pPr>
              <w:keepNext/>
              <w:tabs>
                <w:tab w:val="left" w:pos="720"/>
              </w:tabs>
              <w:spacing w:line="300" w:lineRule="auto"/>
              <w:jc w:val="center"/>
              <w:rPr>
                <w:rFonts w:ascii="Arial" w:hAnsi="Arial" w:cs="Arial"/>
                <w:sz w:val="20"/>
                <w:szCs w:val="20"/>
              </w:rPr>
            </w:pPr>
            <w:r w:rsidRPr="007D6369">
              <w:rPr>
                <w:rFonts w:ascii="Arial" w:hAnsi="Arial" w:cs="Arial"/>
                <w:color w:val="000000"/>
                <w:sz w:val="20"/>
                <w:szCs w:val="20"/>
              </w:rPr>
              <w:t>83%</w:t>
            </w:r>
          </w:p>
        </w:tc>
      </w:tr>
    </w:tbl>
    <w:p w14:paraId="302C851D" w14:textId="77777777" w:rsidR="009A390E" w:rsidRPr="007D6369" w:rsidRDefault="009A390E" w:rsidP="009A390E">
      <w:pPr>
        <w:spacing w:line="300" w:lineRule="auto"/>
        <w:jc w:val="center"/>
        <w:rPr>
          <w:rFonts w:ascii="Arial" w:hAnsi="Arial" w:cs="Arial"/>
          <w:sz w:val="20"/>
          <w:szCs w:val="20"/>
        </w:rPr>
      </w:pPr>
      <w:r w:rsidRPr="007D6369">
        <w:rPr>
          <w:rFonts w:ascii="Arial" w:hAnsi="Arial" w:cs="Arial"/>
          <w:sz w:val="20"/>
          <w:szCs w:val="20"/>
        </w:rPr>
        <w:t>Source: RSH, ONS and VOA</w:t>
      </w:r>
    </w:p>
    <w:p w14:paraId="2DBB6B46" w14:textId="77777777" w:rsidR="009A3E7E" w:rsidRPr="005923AA" w:rsidRDefault="009A3E7E" w:rsidP="00172F56">
      <w:pPr>
        <w:pStyle w:val="11Bodytext"/>
        <w:numPr>
          <w:ilvl w:val="0"/>
          <w:numId w:val="0"/>
        </w:numPr>
        <w:spacing w:before="0" w:after="0" w:line="300" w:lineRule="auto"/>
        <w:rPr>
          <w:color w:val="auto"/>
        </w:rPr>
      </w:pPr>
    </w:p>
    <w:p w14:paraId="700B3B78" w14:textId="014E9E10" w:rsidR="005923AA" w:rsidRPr="009A3E7E" w:rsidRDefault="005923AA">
      <w:pPr>
        <w:pStyle w:val="11Bodytext"/>
        <w:numPr>
          <w:ilvl w:val="1"/>
          <w:numId w:val="37"/>
        </w:numPr>
        <w:spacing w:before="0" w:after="0" w:line="300" w:lineRule="auto"/>
        <w:ind w:left="720" w:hanging="720"/>
        <w:rPr>
          <w:color w:val="auto"/>
        </w:rPr>
      </w:pPr>
      <w:r w:rsidRPr="009A3E7E">
        <w:t>For the affordability test, a standardised average rent for each product has been used</w:t>
      </w:r>
      <w:r w:rsidR="00DD51B5">
        <w:rPr>
          <w:rStyle w:val="FootnoteReference"/>
        </w:rPr>
        <w:footnoteReference w:id="14"/>
      </w:r>
      <w:r w:rsidRPr="009A3E7E">
        <w:t xml:space="preserve">. The table below suggests that around </w:t>
      </w:r>
      <w:r w:rsidR="009A3E7E" w:rsidRPr="009A3E7E">
        <w:t>18</w:t>
      </w:r>
      <w:r w:rsidRPr="009A3E7E">
        <w:t xml:space="preserve">% of households who cannot afford to rent privately could afford an affordable rent, with a further </w:t>
      </w:r>
      <w:r w:rsidR="009A3E7E" w:rsidRPr="009A3E7E">
        <w:t>18</w:t>
      </w:r>
      <w:r w:rsidRPr="009A3E7E">
        <w:t xml:space="preserve">% being able to afford a social rent (but not an affordable one). A total of </w:t>
      </w:r>
      <w:r w:rsidR="009A3E7E" w:rsidRPr="009A3E7E">
        <w:t>64</w:t>
      </w:r>
      <w:r w:rsidRPr="009A3E7E">
        <w:t>% of households would need some degree of benefit support to be able to afford their housing (</w:t>
      </w:r>
      <w:r>
        <w:t>regardless</w:t>
      </w:r>
      <w:r w:rsidRPr="009A3E7E">
        <w:t xml:space="preserve"> of the tenure).</w:t>
      </w:r>
    </w:p>
    <w:p w14:paraId="3A25AB73" w14:textId="77777777" w:rsidR="009A3E7E" w:rsidRPr="009A3E7E" w:rsidRDefault="009A3E7E" w:rsidP="00172F56">
      <w:pPr>
        <w:pStyle w:val="11Bodytext"/>
        <w:numPr>
          <w:ilvl w:val="0"/>
          <w:numId w:val="0"/>
        </w:numPr>
        <w:tabs>
          <w:tab w:val="num" w:pos="0"/>
        </w:tabs>
        <w:spacing w:before="0" w:after="0" w:line="300" w:lineRule="auto"/>
        <w:rPr>
          <w:color w:val="auto"/>
        </w:rPr>
      </w:pPr>
    </w:p>
    <w:tbl>
      <w:tblPr>
        <w:tblStyle w:val="TableTheme"/>
        <w:tblW w:w="8199" w:type="dxa"/>
        <w:jc w:val="center"/>
        <w:tblLook w:val="04A0" w:firstRow="1" w:lastRow="0" w:firstColumn="1" w:lastColumn="0" w:noHBand="0" w:noVBand="1"/>
      </w:tblPr>
      <w:tblGrid>
        <w:gridCol w:w="4086"/>
        <w:gridCol w:w="4113"/>
      </w:tblGrid>
      <w:tr w:rsidR="009A3E7E" w:rsidRPr="009A3E7E" w14:paraId="180FA8A3" w14:textId="77777777" w:rsidTr="008469E3">
        <w:trPr>
          <w:jc w:val="center"/>
        </w:trPr>
        <w:tc>
          <w:tcPr>
            <w:tcW w:w="8199" w:type="dxa"/>
            <w:gridSpan w:val="2"/>
          </w:tcPr>
          <w:p w14:paraId="622A9E81" w14:textId="460E3FE8" w:rsidR="009A3E7E" w:rsidRPr="009A3E7E" w:rsidRDefault="009A3E7E" w:rsidP="0014104A">
            <w:pPr>
              <w:keepNext/>
              <w:spacing w:line="300" w:lineRule="auto"/>
              <w:jc w:val="center"/>
              <w:rPr>
                <w:rFonts w:ascii="Arial" w:hAnsi="Arial" w:cs="Arial"/>
                <w:b/>
                <w:bCs/>
                <w:sz w:val="20"/>
                <w:szCs w:val="20"/>
              </w:rPr>
            </w:pPr>
            <w:r w:rsidRPr="009A3E7E">
              <w:rPr>
                <w:rFonts w:ascii="Arial" w:hAnsi="Arial" w:cs="Arial"/>
                <w:b/>
                <w:bCs/>
                <w:sz w:val="20"/>
                <w:szCs w:val="20"/>
              </w:rPr>
              <w:t>Figure 4.</w:t>
            </w:r>
            <w:r w:rsidR="00DF6242">
              <w:rPr>
                <w:rFonts w:ascii="Arial" w:hAnsi="Arial" w:cs="Arial"/>
                <w:b/>
                <w:bCs/>
                <w:sz w:val="20"/>
                <w:szCs w:val="20"/>
              </w:rPr>
              <w:t>3</w:t>
            </w:r>
            <w:r w:rsidRPr="009A3E7E">
              <w:rPr>
                <w:rFonts w:ascii="Arial" w:hAnsi="Arial" w:cs="Arial"/>
                <w:b/>
                <w:bCs/>
                <w:sz w:val="20"/>
                <w:szCs w:val="20"/>
              </w:rPr>
              <w:t>: Estimated need for affordable rented housing (% of households able to afford)</w:t>
            </w:r>
          </w:p>
        </w:tc>
      </w:tr>
      <w:tr w:rsidR="005923AA" w:rsidRPr="005923AA" w14:paraId="5B1CD2C1" w14:textId="77777777" w:rsidTr="009A3E7E">
        <w:trPr>
          <w:jc w:val="center"/>
        </w:trPr>
        <w:tc>
          <w:tcPr>
            <w:tcW w:w="4086" w:type="dxa"/>
          </w:tcPr>
          <w:p w14:paraId="5309D427" w14:textId="77777777" w:rsidR="005923AA" w:rsidRPr="009A3E7E" w:rsidRDefault="005923AA" w:rsidP="00DF6242">
            <w:pPr>
              <w:keepNext/>
              <w:spacing w:before="60" w:after="60" w:line="300" w:lineRule="auto"/>
              <w:rPr>
                <w:rFonts w:ascii="Arial" w:hAnsi="Arial" w:cs="Arial"/>
                <w:sz w:val="20"/>
                <w:szCs w:val="20"/>
              </w:rPr>
            </w:pPr>
          </w:p>
        </w:tc>
        <w:tc>
          <w:tcPr>
            <w:tcW w:w="4113" w:type="dxa"/>
          </w:tcPr>
          <w:p w14:paraId="3B1CCE22" w14:textId="77777777" w:rsidR="005923AA" w:rsidRPr="009A3E7E" w:rsidRDefault="005923AA" w:rsidP="0014104A">
            <w:pPr>
              <w:keepNext/>
              <w:spacing w:before="60" w:after="60" w:line="300" w:lineRule="auto"/>
              <w:jc w:val="center"/>
              <w:rPr>
                <w:rFonts w:ascii="Arial" w:hAnsi="Arial" w:cs="Arial"/>
                <w:sz w:val="20"/>
                <w:szCs w:val="20"/>
              </w:rPr>
            </w:pPr>
            <w:r w:rsidRPr="009A3E7E">
              <w:rPr>
                <w:rFonts w:ascii="Arial" w:hAnsi="Arial" w:cs="Arial"/>
                <w:sz w:val="20"/>
                <w:szCs w:val="20"/>
              </w:rPr>
              <w:t>% of households able to afford</w:t>
            </w:r>
          </w:p>
        </w:tc>
      </w:tr>
      <w:tr w:rsidR="009A3E7E" w:rsidRPr="005923AA" w14:paraId="378E994C" w14:textId="77777777" w:rsidTr="009A3E7E">
        <w:trPr>
          <w:jc w:val="center"/>
        </w:trPr>
        <w:tc>
          <w:tcPr>
            <w:tcW w:w="4086" w:type="dxa"/>
          </w:tcPr>
          <w:p w14:paraId="7BCE1F3C" w14:textId="77777777" w:rsidR="009A3E7E" w:rsidRPr="009A3E7E" w:rsidRDefault="009A3E7E" w:rsidP="00DF6242">
            <w:pPr>
              <w:pStyle w:val="BodyText"/>
              <w:keepNext/>
              <w:tabs>
                <w:tab w:val="left" w:pos="720"/>
              </w:tabs>
              <w:spacing w:after="0" w:line="300" w:lineRule="auto"/>
              <w:rPr>
                <w:rFonts w:cs="Arial"/>
              </w:rPr>
            </w:pPr>
            <w:r w:rsidRPr="009A3E7E">
              <w:rPr>
                <w:rFonts w:cs="Arial"/>
              </w:rPr>
              <w:t>Afford affordable rent</w:t>
            </w:r>
          </w:p>
        </w:tc>
        <w:tc>
          <w:tcPr>
            <w:tcW w:w="4113" w:type="dxa"/>
          </w:tcPr>
          <w:p w14:paraId="2D913AEE" w14:textId="495D484A" w:rsidR="009A3E7E" w:rsidRPr="009A3E7E" w:rsidRDefault="009A3E7E" w:rsidP="0014104A">
            <w:pPr>
              <w:keepNext/>
              <w:spacing w:line="300" w:lineRule="auto"/>
              <w:jc w:val="center"/>
              <w:rPr>
                <w:rFonts w:ascii="Arial" w:hAnsi="Arial" w:cs="Arial"/>
                <w:sz w:val="20"/>
                <w:szCs w:val="20"/>
              </w:rPr>
            </w:pPr>
            <w:r w:rsidRPr="009A3E7E">
              <w:rPr>
                <w:rFonts w:ascii="Arial" w:hAnsi="Arial" w:cs="Arial"/>
                <w:color w:val="000000"/>
                <w:sz w:val="20"/>
                <w:szCs w:val="20"/>
              </w:rPr>
              <w:t>18%</w:t>
            </w:r>
          </w:p>
        </w:tc>
      </w:tr>
      <w:tr w:rsidR="009A3E7E" w:rsidRPr="005923AA" w14:paraId="52C5DB4A" w14:textId="77777777" w:rsidTr="009A3E7E">
        <w:trPr>
          <w:jc w:val="center"/>
        </w:trPr>
        <w:tc>
          <w:tcPr>
            <w:tcW w:w="4086" w:type="dxa"/>
          </w:tcPr>
          <w:p w14:paraId="749BD478" w14:textId="77777777" w:rsidR="009A3E7E" w:rsidRPr="009A3E7E" w:rsidRDefault="009A3E7E" w:rsidP="00DF6242">
            <w:pPr>
              <w:pStyle w:val="BodyText"/>
              <w:keepNext/>
              <w:tabs>
                <w:tab w:val="left" w:pos="720"/>
              </w:tabs>
              <w:spacing w:after="0" w:line="300" w:lineRule="auto"/>
              <w:rPr>
                <w:rFonts w:cs="Arial"/>
              </w:rPr>
            </w:pPr>
            <w:r w:rsidRPr="009A3E7E">
              <w:rPr>
                <w:rFonts w:cs="Arial"/>
              </w:rPr>
              <w:t>Afford social rent</w:t>
            </w:r>
          </w:p>
        </w:tc>
        <w:tc>
          <w:tcPr>
            <w:tcW w:w="4113" w:type="dxa"/>
          </w:tcPr>
          <w:p w14:paraId="1932F3F6" w14:textId="2BB68013" w:rsidR="009A3E7E" w:rsidRPr="009A3E7E" w:rsidRDefault="009A3E7E" w:rsidP="0014104A">
            <w:pPr>
              <w:keepNext/>
              <w:spacing w:line="300" w:lineRule="auto"/>
              <w:jc w:val="center"/>
              <w:rPr>
                <w:rFonts w:ascii="Arial" w:hAnsi="Arial" w:cs="Arial"/>
                <w:sz w:val="20"/>
                <w:szCs w:val="20"/>
              </w:rPr>
            </w:pPr>
            <w:r w:rsidRPr="1BA939BB">
              <w:rPr>
                <w:rFonts w:ascii="Arial" w:hAnsi="Arial" w:cs="Arial"/>
                <w:color w:val="000000" w:themeColor="text1"/>
                <w:sz w:val="20"/>
                <w:szCs w:val="20"/>
              </w:rPr>
              <w:t>36%</w:t>
            </w:r>
          </w:p>
        </w:tc>
      </w:tr>
      <w:tr w:rsidR="009A3E7E" w:rsidRPr="005923AA" w14:paraId="23699C26" w14:textId="77777777" w:rsidTr="009A3E7E">
        <w:trPr>
          <w:jc w:val="center"/>
        </w:trPr>
        <w:tc>
          <w:tcPr>
            <w:tcW w:w="4086" w:type="dxa"/>
          </w:tcPr>
          <w:p w14:paraId="0B7A8532" w14:textId="77777777" w:rsidR="009A3E7E" w:rsidRPr="009A3E7E" w:rsidRDefault="009A3E7E" w:rsidP="00DF6242">
            <w:pPr>
              <w:pStyle w:val="BodyText"/>
              <w:keepNext/>
              <w:tabs>
                <w:tab w:val="left" w:pos="720"/>
              </w:tabs>
              <w:spacing w:after="0" w:line="300" w:lineRule="auto"/>
              <w:rPr>
                <w:rFonts w:cs="Arial"/>
              </w:rPr>
            </w:pPr>
            <w:r w:rsidRPr="009A3E7E">
              <w:rPr>
                <w:rFonts w:cs="Arial"/>
              </w:rPr>
              <w:t>Need benefit support</w:t>
            </w:r>
          </w:p>
        </w:tc>
        <w:tc>
          <w:tcPr>
            <w:tcW w:w="4113" w:type="dxa"/>
          </w:tcPr>
          <w:p w14:paraId="7654846F" w14:textId="34202894" w:rsidR="009A3E7E" w:rsidRPr="009A3E7E" w:rsidRDefault="009A3E7E" w:rsidP="0014104A">
            <w:pPr>
              <w:keepNext/>
              <w:spacing w:line="300" w:lineRule="auto"/>
              <w:jc w:val="center"/>
              <w:rPr>
                <w:rFonts w:ascii="Arial" w:hAnsi="Arial" w:cs="Arial"/>
                <w:sz w:val="20"/>
                <w:szCs w:val="20"/>
              </w:rPr>
            </w:pPr>
            <w:r w:rsidRPr="009A3E7E">
              <w:rPr>
                <w:rFonts w:ascii="Arial" w:hAnsi="Arial" w:cs="Arial"/>
                <w:color w:val="000000"/>
                <w:sz w:val="20"/>
                <w:szCs w:val="20"/>
              </w:rPr>
              <w:t>64%</w:t>
            </w:r>
          </w:p>
        </w:tc>
      </w:tr>
      <w:tr w:rsidR="005923AA" w:rsidRPr="005923AA" w14:paraId="3E03F73A" w14:textId="77777777" w:rsidTr="009A3E7E">
        <w:trPr>
          <w:jc w:val="center"/>
        </w:trPr>
        <w:tc>
          <w:tcPr>
            <w:tcW w:w="4086" w:type="dxa"/>
          </w:tcPr>
          <w:p w14:paraId="2598212B" w14:textId="77777777" w:rsidR="005923AA" w:rsidRPr="009A3E7E" w:rsidRDefault="005923AA" w:rsidP="00DF6242">
            <w:pPr>
              <w:pStyle w:val="BodyText"/>
              <w:keepNext/>
              <w:tabs>
                <w:tab w:val="left" w:pos="720"/>
              </w:tabs>
              <w:spacing w:after="0" w:line="300" w:lineRule="auto"/>
              <w:rPr>
                <w:rFonts w:cs="Arial"/>
                <w:bCs/>
              </w:rPr>
            </w:pPr>
            <w:r w:rsidRPr="009A3E7E">
              <w:rPr>
                <w:rFonts w:cs="Arial"/>
                <w:bCs/>
              </w:rPr>
              <w:t>All unable to afford market</w:t>
            </w:r>
          </w:p>
        </w:tc>
        <w:tc>
          <w:tcPr>
            <w:tcW w:w="4113" w:type="dxa"/>
          </w:tcPr>
          <w:p w14:paraId="583D2D69" w14:textId="77777777" w:rsidR="005923AA" w:rsidRPr="009A3E7E" w:rsidRDefault="005923AA" w:rsidP="0014104A">
            <w:pPr>
              <w:keepNext/>
              <w:spacing w:line="300" w:lineRule="auto"/>
              <w:jc w:val="center"/>
              <w:rPr>
                <w:rFonts w:ascii="Arial" w:hAnsi="Arial" w:cs="Arial"/>
                <w:sz w:val="20"/>
                <w:szCs w:val="20"/>
              </w:rPr>
            </w:pPr>
            <w:r w:rsidRPr="009A3E7E">
              <w:rPr>
                <w:rFonts w:ascii="Arial" w:hAnsi="Arial" w:cs="Arial"/>
                <w:color w:val="000000"/>
                <w:sz w:val="20"/>
                <w:szCs w:val="20"/>
              </w:rPr>
              <w:t>100%</w:t>
            </w:r>
          </w:p>
        </w:tc>
      </w:tr>
    </w:tbl>
    <w:p w14:paraId="39303CFE" w14:textId="5DB9CA6B" w:rsidR="005923AA" w:rsidRDefault="005923AA" w:rsidP="0014104A">
      <w:pPr>
        <w:pStyle w:val="Caption"/>
        <w:rPr>
          <w:iCs w:val="0"/>
          <w:color w:val="auto"/>
        </w:rPr>
      </w:pPr>
      <w:r w:rsidRPr="005923AA">
        <w:rPr>
          <w:iCs w:val="0"/>
          <w:color w:val="auto"/>
        </w:rPr>
        <w:t xml:space="preserve">Source: </w:t>
      </w:r>
      <w:r w:rsidR="009A3E7E">
        <w:rPr>
          <w:iCs w:val="0"/>
          <w:color w:val="auto"/>
        </w:rPr>
        <w:t>Based on household survey data</w:t>
      </w:r>
    </w:p>
    <w:p w14:paraId="773CD4E7" w14:textId="1ACE63F6" w:rsidR="009A3E7E" w:rsidRDefault="009A3E7E">
      <w:pPr>
        <w:pStyle w:val="11Bodytext"/>
        <w:numPr>
          <w:ilvl w:val="0"/>
          <w:numId w:val="0"/>
        </w:numPr>
        <w:spacing w:before="0" w:after="0" w:line="300" w:lineRule="auto"/>
        <w:rPr>
          <w:color w:val="auto"/>
        </w:rPr>
      </w:pPr>
    </w:p>
    <w:p w14:paraId="7ADDA330" w14:textId="799CAEA3" w:rsidR="003367CD" w:rsidRDefault="003367CD">
      <w:pPr>
        <w:pStyle w:val="11Bodytext"/>
        <w:numPr>
          <w:ilvl w:val="0"/>
          <w:numId w:val="0"/>
        </w:numPr>
        <w:spacing w:before="0" w:after="0" w:line="300" w:lineRule="auto"/>
        <w:rPr>
          <w:color w:val="auto"/>
        </w:rPr>
      </w:pPr>
    </w:p>
    <w:p w14:paraId="0AE4AA3D" w14:textId="29115D1F" w:rsidR="003367CD" w:rsidRDefault="003367CD">
      <w:pPr>
        <w:pStyle w:val="11Bodytext"/>
        <w:numPr>
          <w:ilvl w:val="0"/>
          <w:numId w:val="0"/>
        </w:numPr>
        <w:spacing w:before="0" w:after="0" w:line="300" w:lineRule="auto"/>
        <w:rPr>
          <w:color w:val="auto"/>
        </w:rPr>
      </w:pPr>
    </w:p>
    <w:p w14:paraId="1A2E276F" w14:textId="77777777" w:rsidR="003367CD" w:rsidRPr="005923AA" w:rsidRDefault="003367CD" w:rsidP="00172F56">
      <w:pPr>
        <w:pStyle w:val="11Bodytext"/>
        <w:numPr>
          <w:ilvl w:val="0"/>
          <w:numId w:val="0"/>
        </w:numPr>
        <w:spacing w:before="0" w:after="0" w:line="300" w:lineRule="auto"/>
        <w:rPr>
          <w:color w:val="auto"/>
        </w:rPr>
      </w:pPr>
    </w:p>
    <w:p w14:paraId="0AA0BCB6" w14:textId="5A6B4A3D" w:rsidR="005923AA" w:rsidRPr="00D20EF1" w:rsidRDefault="005923AA">
      <w:pPr>
        <w:pStyle w:val="11Bodytext"/>
        <w:numPr>
          <w:ilvl w:val="1"/>
          <w:numId w:val="37"/>
        </w:numPr>
        <w:tabs>
          <w:tab w:val="num" w:pos="0"/>
        </w:tabs>
        <w:spacing w:before="0" w:after="0" w:line="300" w:lineRule="auto"/>
        <w:ind w:left="720" w:hanging="720"/>
        <w:rPr>
          <w:color w:val="auto"/>
        </w:rPr>
      </w:pPr>
      <w:r w:rsidRPr="009A3E7E">
        <w:t xml:space="preserve">The finding that only </w:t>
      </w:r>
      <w:r w:rsidR="009A3E7E">
        <w:t>18</w:t>
      </w:r>
      <w:r w:rsidRPr="009A3E7E">
        <w:t>% of households can afford an affordable rent does not automatically lead to a policy conclusion on the split between the two types of housing. For example, many households who will need to access rented accommodation will be benefit dependent and as such could technically afford an affordable rent – hence a higher proportion of affordable rented housing might be appropriate – indeed the analysis does identify a substantial proportion of households as being likely to need benefit support. On the flip side, providing more social rents might enable households to return to work more easily, as a lower income would potentially be needed to afford the lower social (rather than affordable) rent.</w:t>
      </w:r>
    </w:p>
    <w:p w14:paraId="610BE29F" w14:textId="77777777" w:rsidR="00D20EF1" w:rsidRPr="00D20EF1" w:rsidRDefault="00D20EF1" w:rsidP="00172F56">
      <w:pPr>
        <w:pStyle w:val="11Bodytext"/>
        <w:numPr>
          <w:ilvl w:val="0"/>
          <w:numId w:val="0"/>
        </w:numPr>
        <w:spacing w:before="0" w:after="0" w:line="300" w:lineRule="auto"/>
        <w:rPr>
          <w:color w:val="auto"/>
        </w:rPr>
      </w:pPr>
    </w:p>
    <w:p w14:paraId="53743CD3" w14:textId="135C15BF" w:rsidR="005923AA" w:rsidRPr="00D20EF1" w:rsidRDefault="005923AA">
      <w:pPr>
        <w:pStyle w:val="11Bodytext"/>
        <w:numPr>
          <w:ilvl w:val="1"/>
          <w:numId w:val="37"/>
        </w:numPr>
        <w:tabs>
          <w:tab w:val="num" w:pos="0"/>
        </w:tabs>
        <w:spacing w:before="0" w:after="0" w:line="300" w:lineRule="auto"/>
        <w:ind w:left="720" w:hanging="720"/>
        <w:rPr>
          <w:color w:val="auto"/>
        </w:rPr>
      </w:pPr>
      <w:r w:rsidRPr="00D20EF1">
        <w:t xml:space="preserve">There will be a series of other considerations both at a strategic level and for specific schemes. For example, there may be funding streams that are only available for a particular type of housing, and this may exist independently to any local assessment of need. Additionally, there will be the consideration of the balance between the cost of housing and the amount that can be viably provided, for example, it is likely that affordable rented housing is more viable, and therefore a greater number of units could be provided. Finally, in considering a split between social and affordable rented housing it needs to be considered that having different tenures on the same site (at least at initial occupation) may be difficult – e.g. if tenants are paying a different rent for essentially the same size/type of </w:t>
      </w:r>
      <w:r w:rsidR="00694CA8">
        <w:t>housing</w:t>
      </w:r>
      <w:r w:rsidRPr="00D20EF1">
        <w:t xml:space="preserve"> and services.</w:t>
      </w:r>
    </w:p>
    <w:p w14:paraId="0B524AB4" w14:textId="77777777" w:rsidR="00D20EF1" w:rsidRPr="00D20EF1" w:rsidRDefault="00D20EF1" w:rsidP="00172F56">
      <w:pPr>
        <w:pStyle w:val="11Bodytext"/>
        <w:numPr>
          <w:ilvl w:val="0"/>
          <w:numId w:val="0"/>
        </w:numPr>
        <w:spacing w:before="0" w:after="0" w:line="300" w:lineRule="auto"/>
        <w:rPr>
          <w:color w:val="auto"/>
        </w:rPr>
      </w:pPr>
    </w:p>
    <w:p w14:paraId="2D4E5906" w14:textId="76095E34" w:rsidR="005923AA" w:rsidRPr="00D20EF1" w:rsidRDefault="00D20EF1">
      <w:pPr>
        <w:pStyle w:val="11Bodytext"/>
        <w:numPr>
          <w:ilvl w:val="1"/>
          <w:numId w:val="37"/>
        </w:numPr>
        <w:tabs>
          <w:tab w:val="num" w:pos="0"/>
        </w:tabs>
        <w:spacing w:before="0" w:after="0" w:line="300" w:lineRule="auto"/>
        <w:ind w:left="720" w:hanging="720"/>
        <w:rPr>
          <w:color w:val="auto"/>
        </w:rPr>
      </w:pPr>
      <w:bookmarkStart w:id="40" w:name="_Hlk38531880"/>
      <w:r>
        <w:t xml:space="preserve">Overall, it is considered that the Council should prioritise the provision of social rents where possible, such rents will be the </w:t>
      </w:r>
      <w:r w:rsidR="00432414">
        <w:t>cheapest</w:t>
      </w:r>
      <w:r>
        <w:t xml:space="preserve"> </w:t>
      </w:r>
      <w:r w:rsidR="00432414">
        <w:t>available</w:t>
      </w:r>
      <w:r>
        <w:t xml:space="preserve"> and will therefore be accessible to a greater number of </w:t>
      </w:r>
      <w:r w:rsidR="00432414">
        <w:t>households</w:t>
      </w:r>
      <w:r>
        <w:t xml:space="preserve">. </w:t>
      </w:r>
      <w:r w:rsidR="00432414">
        <w:t>However</w:t>
      </w:r>
      <w:r>
        <w:t xml:space="preserve">, it will be important that seeking social rents does not prejudice the overall delivery of rented affordable housing, and affordable rents should be allowed where </w:t>
      </w:r>
      <w:r w:rsidR="00432414">
        <w:t>these</w:t>
      </w:r>
      <w:r>
        <w:t xml:space="preserve"> can help delivery of on-site provision – it will however be important to ensure that affordable rents are truly affordable in a local context</w:t>
      </w:r>
      <w:bookmarkEnd w:id="40"/>
      <w:r w:rsidR="005923AA" w:rsidRPr="00D20EF1">
        <w:t>.</w:t>
      </w:r>
    </w:p>
    <w:p w14:paraId="3CEBAB36" w14:textId="0130FF48" w:rsidR="00D20EF1" w:rsidRDefault="00D20EF1" w:rsidP="00172F56">
      <w:pPr>
        <w:pStyle w:val="11Bodytext"/>
        <w:numPr>
          <w:ilvl w:val="0"/>
          <w:numId w:val="0"/>
        </w:numPr>
        <w:tabs>
          <w:tab w:val="num" w:pos="0"/>
        </w:tabs>
        <w:spacing w:before="0" w:after="0" w:line="300" w:lineRule="auto"/>
        <w:rPr>
          <w:color w:val="auto"/>
        </w:rPr>
      </w:pPr>
    </w:p>
    <w:p w14:paraId="2AB98666" w14:textId="358E6BBF" w:rsidR="00D20EF1" w:rsidRPr="005923AA" w:rsidRDefault="00D20EF1" w:rsidP="00172F56">
      <w:pPr>
        <w:pStyle w:val="11Bodytext"/>
        <w:numPr>
          <w:ilvl w:val="0"/>
          <w:numId w:val="0"/>
        </w:numPr>
        <w:spacing w:before="0" w:after="0" w:line="300" w:lineRule="auto"/>
        <w:rPr>
          <w:b/>
          <w:bCs w:val="0"/>
          <w:color w:val="auto"/>
          <w:sz w:val="24"/>
          <w:szCs w:val="24"/>
        </w:rPr>
      </w:pPr>
      <w:r>
        <w:rPr>
          <w:b/>
          <w:bCs w:val="0"/>
          <w:color w:val="auto"/>
          <w:sz w:val="24"/>
          <w:szCs w:val="24"/>
        </w:rPr>
        <w:t>Affordable Home Ownership</w:t>
      </w:r>
    </w:p>
    <w:p w14:paraId="2A65B7DF" w14:textId="77777777" w:rsidR="00D20EF1" w:rsidRPr="005923AA" w:rsidRDefault="00D20EF1" w:rsidP="00172F56">
      <w:pPr>
        <w:pStyle w:val="11Bodytext"/>
        <w:numPr>
          <w:ilvl w:val="0"/>
          <w:numId w:val="0"/>
        </w:numPr>
        <w:spacing w:before="0" w:after="0" w:line="300" w:lineRule="auto"/>
        <w:rPr>
          <w:color w:val="auto"/>
        </w:rPr>
      </w:pPr>
    </w:p>
    <w:p w14:paraId="484BE586" w14:textId="6D496F22" w:rsidR="005923AA" w:rsidRPr="00D20EF1" w:rsidRDefault="005923AA">
      <w:pPr>
        <w:pStyle w:val="11Bodytext"/>
        <w:numPr>
          <w:ilvl w:val="1"/>
          <w:numId w:val="37"/>
        </w:numPr>
        <w:spacing w:before="0" w:after="0" w:line="300" w:lineRule="auto"/>
        <w:ind w:left="720" w:hanging="720"/>
        <w:rPr>
          <w:color w:val="auto"/>
        </w:rPr>
      </w:pPr>
      <w:r w:rsidRPr="00D20EF1">
        <w:t>The analysis and discussion above suggest that there are a number of households likely to fall under the PPG definition of needing affordable home ownership (including First Homes) – i.e. in the gap between renting and buying – but that the potential supply of low-cost housing to buy makes it difficult to fully quantify this need. However, given the NPPF, the Council is likely to need to consider some additional homes on larger sites as some form of affordable home ownership (AHO).</w:t>
      </w:r>
    </w:p>
    <w:p w14:paraId="478A88E1" w14:textId="77777777" w:rsidR="00620FE9" w:rsidRPr="00D20EF1" w:rsidRDefault="00620FE9" w:rsidP="00172F56">
      <w:pPr>
        <w:pStyle w:val="11Bodytext"/>
        <w:numPr>
          <w:ilvl w:val="0"/>
          <w:numId w:val="0"/>
        </w:numPr>
        <w:spacing w:before="0" w:after="0" w:line="300" w:lineRule="auto"/>
        <w:rPr>
          <w:color w:val="auto"/>
        </w:rPr>
      </w:pPr>
    </w:p>
    <w:p w14:paraId="22B11495" w14:textId="23BD260B" w:rsidR="005923AA" w:rsidRPr="00172F56" w:rsidRDefault="005923AA">
      <w:pPr>
        <w:pStyle w:val="11Bodytext"/>
        <w:numPr>
          <w:ilvl w:val="1"/>
          <w:numId w:val="37"/>
        </w:numPr>
        <w:spacing w:before="0" w:after="0" w:line="300" w:lineRule="auto"/>
        <w:ind w:left="720" w:hanging="720"/>
        <w:rPr>
          <w:color w:val="auto"/>
        </w:rPr>
      </w:pPr>
      <w:r w:rsidRPr="00D20EF1">
        <w:t xml:space="preserve">The analysis below focusses on the cost of discounted market sale (which would include First Homes) to make them genuinely affordable before moving on to consider shared ownership (in this case suggestions are made about the equity shares likely to be affordable and whether these shares are likely to be offered). It is considered that First Homes and shared ownership are likely to be the main </w:t>
      </w:r>
      <w:r w:rsidRPr="00DD51B5">
        <w:t xml:space="preserve">affordable home ownership tenures moving forward although it is accepted that some delivery may be of other products. This section also provides some comments about </w:t>
      </w:r>
      <w:r w:rsidR="00694CA8">
        <w:t xml:space="preserve">the </w:t>
      </w:r>
      <w:r w:rsidRPr="00DD51B5">
        <w:t xml:space="preserve">Rent to Buy </w:t>
      </w:r>
      <w:r w:rsidR="00694CA8">
        <w:t>product</w:t>
      </w:r>
      <w:r w:rsidRPr="00DD51B5">
        <w:t>.</w:t>
      </w:r>
    </w:p>
    <w:p w14:paraId="5F783C7B" w14:textId="77777777" w:rsidR="00DD51B5" w:rsidRPr="00172F56" w:rsidRDefault="00DD51B5" w:rsidP="00172F56">
      <w:pPr>
        <w:pStyle w:val="11Bodytext"/>
        <w:numPr>
          <w:ilvl w:val="0"/>
          <w:numId w:val="0"/>
        </w:numPr>
        <w:spacing w:before="0" w:after="0" w:line="300" w:lineRule="auto"/>
        <w:rPr>
          <w:color w:val="auto"/>
        </w:rPr>
      </w:pPr>
    </w:p>
    <w:p w14:paraId="0DA20338" w14:textId="2A69399B" w:rsidR="00DD51B5" w:rsidRPr="00931AE7" w:rsidRDefault="00DD51B5">
      <w:pPr>
        <w:pStyle w:val="11Bodytext"/>
        <w:numPr>
          <w:ilvl w:val="1"/>
          <w:numId w:val="37"/>
        </w:numPr>
        <w:spacing w:before="0" w:after="0" w:line="300" w:lineRule="auto"/>
        <w:ind w:left="720" w:hanging="720"/>
      </w:pPr>
      <w:r w:rsidRPr="00DD51B5">
        <w:rPr>
          <w:rStyle w:val="cf01"/>
          <w:rFonts w:ascii="Arial" w:hAnsi="Arial" w:cs="Arial"/>
          <w:sz w:val="20"/>
          <w:szCs w:val="20"/>
        </w:rPr>
        <w:t>In Fylde it should also be noted that the majority of local plan allocations including all of the large sites have some form of existing planning permission, at least in outline. Therefore</w:t>
      </w:r>
      <w:r w:rsidR="00544D6E">
        <w:rPr>
          <w:rStyle w:val="cf01"/>
          <w:rFonts w:ascii="Arial" w:hAnsi="Arial" w:cs="Arial"/>
          <w:sz w:val="20"/>
          <w:szCs w:val="20"/>
        </w:rPr>
        <w:t>,</w:t>
      </w:r>
      <w:r w:rsidRPr="00DD51B5">
        <w:rPr>
          <w:rStyle w:val="cf01"/>
          <w:rFonts w:ascii="Arial" w:hAnsi="Arial" w:cs="Arial"/>
          <w:sz w:val="20"/>
          <w:szCs w:val="20"/>
        </w:rPr>
        <w:t xml:space="preserve"> they are covered by transitional arrangements and would not be expected to provide First Homes. The Council’s affordable housing SPD notes this and sets out that </w:t>
      </w:r>
      <w:r w:rsidR="00931AE7" w:rsidRPr="00DD51B5">
        <w:rPr>
          <w:rStyle w:val="cf01"/>
          <w:rFonts w:ascii="Arial" w:hAnsi="Arial" w:cs="Arial"/>
          <w:sz w:val="20"/>
          <w:szCs w:val="20"/>
        </w:rPr>
        <w:t>their</w:t>
      </w:r>
      <w:r w:rsidRPr="00DD51B5">
        <w:rPr>
          <w:rStyle w:val="cf01"/>
          <w:rFonts w:ascii="Arial" w:hAnsi="Arial" w:cs="Arial"/>
          <w:sz w:val="20"/>
          <w:szCs w:val="20"/>
        </w:rPr>
        <w:t xml:space="preserve"> own Discounted Market Sale product would be used rather than First Homes.</w:t>
      </w:r>
    </w:p>
    <w:p w14:paraId="6960BB45" w14:textId="77777777" w:rsidR="00D20EF1" w:rsidRPr="00DD51B5" w:rsidRDefault="00D20EF1" w:rsidP="00172F56">
      <w:pPr>
        <w:pStyle w:val="11Bodytext"/>
        <w:numPr>
          <w:ilvl w:val="0"/>
          <w:numId w:val="0"/>
        </w:numPr>
        <w:spacing w:before="0" w:after="0" w:line="300" w:lineRule="auto"/>
        <w:rPr>
          <w:color w:val="auto"/>
        </w:rPr>
      </w:pPr>
    </w:p>
    <w:p w14:paraId="7E6F55DE" w14:textId="65D17662" w:rsidR="005923AA" w:rsidRPr="00D20EF1" w:rsidRDefault="005923AA">
      <w:pPr>
        <w:pStyle w:val="11Bodytext"/>
        <w:numPr>
          <w:ilvl w:val="1"/>
          <w:numId w:val="37"/>
        </w:numPr>
        <w:tabs>
          <w:tab w:val="num" w:pos="0"/>
        </w:tabs>
        <w:spacing w:before="0" w:after="0" w:line="300" w:lineRule="auto"/>
        <w:ind w:left="720" w:hanging="720"/>
        <w:rPr>
          <w:color w:val="auto"/>
        </w:rPr>
      </w:pPr>
      <w:r w:rsidRPr="00DD51B5">
        <w:t>The reason for the analysis to follow is that it will be important for the Council to ensure that any affordable</w:t>
      </w:r>
      <w:r w:rsidRPr="00D20EF1">
        <w:t xml:space="preserve"> home ownership is sold at a price that is genuinely affordable for the intended target group – for example there is no point in discounting a new market home by 30% if the price still remains above that for which a reasonable home can already be bought in the open market.</w:t>
      </w:r>
    </w:p>
    <w:p w14:paraId="2FB78989" w14:textId="206FF9BC" w:rsidR="00D20EF1" w:rsidRPr="0014104A" w:rsidRDefault="00D20EF1" w:rsidP="00172F56">
      <w:pPr>
        <w:pStyle w:val="11Bodytext"/>
        <w:numPr>
          <w:ilvl w:val="0"/>
          <w:numId w:val="0"/>
        </w:numPr>
        <w:tabs>
          <w:tab w:val="num" w:pos="0"/>
        </w:tabs>
        <w:spacing w:before="0" w:after="0" w:line="300" w:lineRule="auto"/>
        <w:rPr>
          <w:color w:val="auto"/>
        </w:rPr>
      </w:pPr>
    </w:p>
    <w:p w14:paraId="6D5876C3" w14:textId="23F05A09" w:rsidR="00D20EF1" w:rsidRPr="00172F56" w:rsidRDefault="00D20EF1" w:rsidP="00172F56">
      <w:pPr>
        <w:spacing w:line="300" w:lineRule="auto"/>
        <w:rPr>
          <w:rFonts w:ascii="Arial" w:hAnsi="Arial" w:cs="Arial"/>
          <w:sz w:val="20"/>
          <w:szCs w:val="20"/>
        </w:rPr>
      </w:pPr>
      <w:r w:rsidRPr="00172F56">
        <w:rPr>
          <w:rFonts w:ascii="Arial" w:hAnsi="Arial" w:cs="Arial"/>
          <w:b/>
          <w:sz w:val="20"/>
          <w:szCs w:val="20"/>
        </w:rPr>
        <w:t xml:space="preserve">Discounted Market Sales Housing </w:t>
      </w:r>
    </w:p>
    <w:p w14:paraId="544E76CC" w14:textId="77777777" w:rsidR="00DD51B5" w:rsidRPr="00172F56" w:rsidRDefault="00DD51B5" w:rsidP="00172F56">
      <w:pPr>
        <w:pStyle w:val="11Bodytext"/>
        <w:numPr>
          <w:ilvl w:val="0"/>
          <w:numId w:val="0"/>
        </w:numPr>
        <w:tabs>
          <w:tab w:val="num" w:pos="2520"/>
        </w:tabs>
        <w:spacing w:before="0" w:after="0" w:line="300" w:lineRule="auto"/>
        <w:ind w:left="794" w:hanging="794"/>
        <w:rPr>
          <w:color w:val="auto"/>
        </w:rPr>
      </w:pPr>
    </w:p>
    <w:p w14:paraId="318498C9" w14:textId="77777777" w:rsidR="00DD51B5" w:rsidRPr="00172F56" w:rsidRDefault="00DD51B5">
      <w:pPr>
        <w:pStyle w:val="11Bodytext"/>
        <w:numPr>
          <w:ilvl w:val="1"/>
          <w:numId w:val="37"/>
        </w:numPr>
        <w:tabs>
          <w:tab w:val="num" w:pos="0"/>
        </w:tabs>
        <w:spacing w:before="0" w:after="0" w:line="300" w:lineRule="auto"/>
        <w:ind w:left="720" w:hanging="720"/>
        <w:rPr>
          <w:color w:val="auto"/>
        </w:rPr>
      </w:pPr>
      <w:r w:rsidRPr="00172F56">
        <w:rPr>
          <w:color w:val="auto"/>
          <w:shd w:val="clear" w:color="auto" w:fill="FFFFFF"/>
        </w:rPr>
        <w:t>Discount</w:t>
      </w:r>
      <w:r w:rsidRPr="00172F56">
        <w:rPr>
          <w:rFonts w:hint="eastAsia"/>
          <w:color w:val="auto"/>
          <w:shd w:val="clear" w:color="auto" w:fill="FFFFFF"/>
        </w:rPr>
        <w:t xml:space="preserve"> Market Sale (DMS) is an affordable ownership product aimed at helping first time buyers and middle-income earners get onto the property ladder by enabling them to buy a home at a discount to market value. The homeowner is not required to pay back the discounted amount at any stage of homeownership and the discount remains with the property (technically the council own the discount) into perpetuity </w:t>
      </w:r>
      <w:r w:rsidRPr="00172F56">
        <w:rPr>
          <w:rFonts w:hint="eastAsia"/>
          <w:color w:val="auto"/>
          <w:shd w:val="clear" w:color="auto" w:fill="FFFFFF"/>
        </w:rPr>
        <w:t>–</w:t>
      </w:r>
      <w:r w:rsidRPr="00172F56">
        <w:rPr>
          <w:rFonts w:hint="eastAsia"/>
          <w:color w:val="auto"/>
          <w:shd w:val="clear" w:color="auto" w:fill="FFFFFF"/>
        </w:rPr>
        <w:t xml:space="preserve"> meaning these homes will stay permanently affordable. </w:t>
      </w:r>
    </w:p>
    <w:p w14:paraId="382EEDB3" w14:textId="77777777" w:rsidR="00DD51B5" w:rsidRPr="00172F56" w:rsidRDefault="00DD51B5" w:rsidP="00172F56">
      <w:pPr>
        <w:pStyle w:val="11Bodytext"/>
        <w:numPr>
          <w:ilvl w:val="0"/>
          <w:numId w:val="0"/>
        </w:numPr>
        <w:tabs>
          <w:tab w:val="num" w:pos="2520"/>
        </w:tabs>
        <w:spacing w:before="0" w:after="0" w:line="300" w:lineRule="auto"/>
        <w:rPr>
          <w:color w:val="auto"/>
        </w:rPr>
      </w:pPr>
    </w:p>
    <w:p w14:paraId="4FA33115" w14:textId="3B2DF88D" w:rsidR="00DD51B5" w:rsidRPr="00172F56" w:rsidRDefault="00DD51B5">
      <w:pPr>
        <w:pStyle w:val="11Bodytext"/>
        <w:numPr>
          <w:ilvl w:val="1"/>
          <w:numId w:val="37"/>
        </w:numPr>
        <w:tabs>
          <w:tab w:val="num" w:pos="0"/>
        </w:tabs>
        <w:spacing w:before="0" w:after="0" w:line="300" w:lineRule="auto"/>
        <w:ind w:left="720" w:hanging="720"/>
        <w:rPr>
          <w:color w:val="auto"/>
        </w:rPr>
      </w:pPr>
      <w:r>
        <w:rPr>
          <w:color w:val="auto"/>
          <w:shd w:val="clear" w:color="auto" w:fill="FFFFFF"/>
        </w:rPr>
        <w:t>Councils</w:t>
      </w:r>
      <w:r w:rsidRPr="00172F56">
        <w:rPr>
          <w:rFonts w:hint="eastAsia"/>
          <w:color w:val="auto"/>
          <w:shd w:val="clear" w:color="auto" w:fill="FFFFFF"/>
        </w:rPr>
        <w:t xml:space="preserve"> participate in collaboration with the developer to offer properties for sale to eligible purchasers at a discounted price which is a minimum of 20% but may be </w:t>
      </w:r>
      <w:r>
        <w:rPr>
          <w:color w:val="auto"/>
          <w:shd w:val="clear" w:color="auto" w:fill="FFFFFF"/>
        </w:rPr>
        <w:t xml:space="preserve">much higher (Fylde seeks </w:t>
      </w:r>
      <w:r w:rsidR="001F1363">
        <w:rPr>
          <w:color w:val="auto"/>
          <w:shd w:val="clear" w:color="auto" w:fill="FFFFFF"/>
        </w:rPr>
        <w:t>a 40</w:t>
      </w:r>
      <w:r>
        <w:rPr>
          <w:color w:val="auto"/>
          <w:shd w:val="clear" w:color="auto" w:fill="FFFFFF"/>
        </w:rPr>
        <w:t xml:space="preserve">% discount in </w:t>
      </w:r>
      <w:r w:rsidR="001F1363">
        <w:rPr>
          <w:color w:val="auto"/>
          <w:shd w:val="clear" w:color="auto" w:fill="FFFFFF"/>
        </w:rPr>
        <w:t>some locations</w:t>
      </w:r>
      <w:r>
        <w:rPr>
          <w:color w:val="auto"/>
          <w:shd w:val="clear" w:color="auto" w:fill="FFFFFF"/>
        </w:rPr>
        <w:t>).</w:t>
      </w:r>
    </w:p>
    <w:p w14:paraId="09E611A6" w14:textId="77777777" w:rsidR="00DD51B5" w:rsidRPr="00172F56" w:rsidRDefault="00DD51B5" w:rsidP="00172F56">
      <w:pPr>
        <w:pStyle w:val="11Bodytext"/>
        <w:numPr>
          <w:ilvl w:val="0"/>
          <w:numId w:val="0"/>
        </w:numPr>
        <w:tabs>
          <w:tab w:val="num" w:pos="2520"/>
        </w:tabs>
        <w:spacing w:before="0" w:after="0" w:line="300" w:lineRule="auto"/>
        <w:rPr>
          <w:color w:val="auto"/>
        </w:rPr>
      </w:pPr>
    </w:p>
    <w:p w14:paraId="395C03AB" w14:textId="6219D007" w:rsidR="005923AA" w:rsidRPr="00D20EF1" w:rsidRDefault="005923AA">
      <w:pPr>
        <w:pStyle w:val="11Bodytext"/>
        <w:numPr>
          <w:ilvl w:val="1"/>
          <w:numId w:val="37"/>
        </w:numPr>
        <w:tabs>
          <w:tab w:val="num" w:pos="0"/>
        </w:tabs>
        <w:spacing w:before="0" w:after="0" w:line="300" w:lineRule="auto"/>
        <w:ind w:left="720" w:hanging="720"/>
        <w:rPr>
          <w:color w:val="auto"/>
        </w:rPr>
      </w:pPr>
      <w:r w:rsidRPr="00D20EF1">
        <w:t>In May 2021, MHCLG published a new Planning Practice Guidance (PPG) regarding First Homes</w:t>
      </w:r>
      <w:r w:rsidR="00DD51B5">
        <w:t xml:space="preserve"> which is considered to be a form of DMS</w:t>
      </w:r>
      <w:r w:rsidRPr="00D20EF1">
        <w:t>. The key parts of this guidance are set out below:</w:t>
      </w:r>
    </w:p>
    <w:p w14:paraId="1E491BD4" w14:textId="472A4E1A" w:rsidR="00D20EF1" w:rsidRPr="00D20EF1" w:rsidRDefault="00D20EF1" w:rsidP="00172F56">
      <w:pPr>
        <w:pStyle w:val="11Bodytext"/>
        <w:numPr>
          <w:ilvl w:val="0"/>
          <w:numId w:val="0"/>
        </w:numPr>
        <w:spacing w:before="0" w:after="0" w:line="300" w:lineRule="auto"/>
        <w:rPr>
          <w:color w:val="auto"/>
        </w:rPr>
      </w:pPr>
    </w:p>
    <w:p w14:paraId="1A059948" w14:textId="77777777" w:rsidR="005923AA" w:rsidRPr="005923AA" w:rsidRDefault="005923AA" w:rsidP="00172F56">
      <w:pPr>
        <w:pStyle w:val="NormalWeb"/>
        <w:shd w:val="clear" w:color="auto" w:fill="FFFFFF"/>
        <w:spacing w:before="0" w:after="0"/>
        <w:ind w:left="720"/>
        <w:jc w:val="both"/>
        <w:rPr>
          <w:rFonts w:ascii="Arial" w:hAnsi="Arial" w:cs="Arial"/>
          <w:i/>
          <w:iCs/>
          <w:color w:val="0B0C0C"/>
          <w:sz w:val="20"/>
          <w:szCs w:val="20"/>
        </w:rPr>
      </w:pPr>
      <w:r w:rsidRPr="005923AA">
        <w:rPr>
          <w:rFonts w:ascii="Arial" w:hAnsi="Arial" w:cs="Arial"/>
          <w:i/>
          <w:iCs/>
          <w:color w:val="0B0C0C"/>
          <w:sz w:val="20"/>
          <w:szCs w:val="20"/>
        </w:rPr>
        <w:t>First Homes are a specific kind of discounted market sale housing and should be considered to meet the definition of ‘affordable housing’ for planning purposes. Specifically, First Homes are discounted market sale units which:</w:t>
      </w:r>
    </w:p>
    <w:p w14:paraId="63D610AF" w14:textId="77777777" w:rsidR="005923AA" w:rsidRPr="005923AA" w:rsidRDefault="005923AA" w:rsidP="00172F56">
      <w:pPr>
        <w:pStyle w:val="NormalWeb"/>
        <w:shd w:val="clear" w:color="auto" w:fill="FFFFFF"/>
        <w:spacing w:before="0" w:after="0"/>
        <w:ind w:left="720"/>
        <w:jc w:val="both"/>
        <w:rPr>
          <w:rFonts w:ascii="Arial" w:hAnsi="Arial" w:cs="Arial"/>
          <w:i/>
          <w:iCs/>
          <w:color w:val="0B0C0C"/>
          <w:sz w:val="20"/>
          <w:szCs w:val="20"/>
        </w:rPr>
      </w:pPr>
    </w:p>
    <w:p w14:paraId="264AE5E3" w14:textId="77777777" w:rsidR="005923AA" w:rsidRPr="005923AA" w:rsidRDefault="005923AA" w:rsidP="00172F56">
      <w:pPr>
        <w:pStyle w:val="NormalWeb"/>
        <w:shd w:val="clear" w:color="auto" w:fill="FFFFFF"/>
        <w:spacing w:before="0" w:after="0"/>
        <w:ind w:left="720"/>
        <w:jc w:val="both"/>
        <w:rPr>
          <w:rFonts w:ascii="Arial" w:hAnsi="Arial" w:cs="Arial"/>
          <w:i/>
          <w:iCs/>
          <w:color w:val="0B0C0C"/>
          <w:sz w:val="20"/>
          <w:szCs w:val="20"/>
        </w:rPr>
      </w:pPr>
      <w:r w:rsidRPr="005923AA">
        <w:rPr>
          <w:rFonts w:ascii="Arial" w:hAnsi="Arial" w:cs="Arial"/>
          <w:i/>
          <w:iCs/>
          <w:color w:val="0B0C0C"/>
          <w:sz w:val="20"/>
          <w:szCs w:val="20"/>
        </w:rPr>
        <w:t>a) must be discounted by a minimum of 30% against the market value;</w:t>
      </w:r>
    </w:p>
    <w:p w14:paraId="226206EA" w14:textId="77777777" w:rsidR="005923AA" w:rsidRPr="005923AA" w:rsidRDefault="005923AA" w:rsidP="00172F56">
      <w:pPr>
        <w:pStyle w:val="NormalWeb"/>
        <w:shd w:val="clear" w:color="auto" w:fill="FFFFFF"/>
        <w:spacing w:before="0" w:after="0"/>
        <w:ind w:left="720"/>
        <w:jc w:val="both"/>
        <w:rPr>
          <w:rFonts w:ascii="Arial" w:hAnsi="Arial" w:cs="Arial"/>
          <w:i/>
          <w:iCs/>
          <w:color w:val="0B0C0C"/>
          <w:sz w:val="20"/>
          <w:szCs w:val="20"/>
        </w:rPr>
      </w:pPr>
      <w:r w:rsidRPr="005923AA">
        <w:rPr>
          <w:rFonts w:ascii="Arial" w:hAnsi="Arial" w:cs="Arial"/>
          <w:i/>
          <w:iCs/>
          <w:color w:val="0B0C0C"/>
          <w:sz w:val="20"/>
          <w:szCs w:val="20"/>
        </w:rPr>
        <w:t>b) are sold to a person or persons meeting the First Homes eligibility criteria (see below);</w:t>
      </w:r>
    </w:p>
    <w:p w14:paraId="25B0037F" w14:textId="77777777" w:rsidR="005923AA" w:rsidRPr="005923AA" w:rsidRDefault="005923AA" w:rsidP="00172F56">
      <w:pPr>
        <w:pStyle w:val="NormalWeb"/>
        <w:shd w:val="clear" w:color="auto" w:fill="FFFFFF"/>
        <w:spacing w:before="0" w:after="0"/>
        <w:ind w:left="720"/>
        <w:jc w:val="both"/>
        <w:rPr>
          <w:rFonts w:ascii="Arial" w:hAnsi="Arial" w:cs="Arial"/>
          <w:i/>
          <w:iCs/>
          <w:color w:val="0B0C0C"/>
          <w:sz w:val="20"/>
          <w:szCs w:val="20"/>
        </w:rPr>
      </w:pPr>
      <w:r w:rsidRPr="005923AA">
        <w:rPr>
          <w:rFonts w:ascii="Arial" w:hAnsi="Arial" w:cs="Arial"/>
          <w:i/>
          <w:iCs/>
          <w:color w:val="0B0C0C"/>
          <w:sz w:val="20"/>
          <w:szCs w:val="20"/>
        </w:rPr>
        <w:t>c) on their first sale, will have a restriction registered on the title at HM Land Registry to ensure this discount (as a percentage of current market value) and certain other restrictions are passed on at each subsequent title transfer; and,</w:t>
      </w:r>
    </w:p>
    <w:p w14:paraId="6C82D35C" w14:textId="77777777" w:rsidR="005923AA" w:rsidRPr="005923AA" w:rsidRDefault="005923AA" w:rsidP="00172F56">
      <w:pPr>
        <w:pStyle w:val="NormalWeb"/>
        <w:shd w:val="clear" w:color="auto" w:fill="FFFFFF"/>
        <w:spacing w:before="0" w:after="0"/>
        <w:ind w:left="720"/>
        <w:jc w:val="both"/>
        <w:rPr>
          <w:rFonts w:ascii="Arial" w:hAnsi="Arial" w:cs="Arial"/>
          <w:i/>
          <w:iCs/>
          <w:color w:val="0B0C0C"/>
          <w:sz w:val="20"/>
          <w:szCs w:val="20"/>
        </w:rPr>
      </w:pPr>
      <w:r w:rsidRPr="005923AA">
        <w:rPr>
          <w:rFonts w:ascii="Arial" w:hAnsi="Arial" w:cs="Arial"/>
          <w:i/>
          <w:iCs/>
          <w:color w:val="0B0C0C"/>
          <w:sz w:val="20"/>
          <w:szCs w:val="20"/>
        </w:rPr>
        <w:t>d) after the discount has been applied, the first sale must be at a price no higher than £250,000 (or £420,000 in Greater London).</w:t>
      </w:r>
    </w:p>
    <w:p w14:paraId="71F36169" w14:textId="77777777" w:rsidR="005923AA" w:rsidRPr="005923AA" w:rsidRDefault="005923AA" w:rsidP="00172F56">
      <w:pPr>
        <w:pStyle w:val="NormalWeb"/>
        <w:shd w:val="clear" w:color="auto" w:fill="FFFFFF"/>
        <w:spacing w:before="0" w:after="0"/>
        <w:ind w:left="720"/>
        <w:jc w:val="both"/>
        <w:rPr>
          <w:rFonts w:ascii="Arial" w:hAnsi="Arial" w:cs="Arial"/>
          <w:i/>
          <w:iCs/>
          <w:color w:val="0B0C0C"/>
          <w:sz w:val="20"/>
          <w:szCs w:val="20"/>
        </w:rPr>
      </w:pPr>
    </w:p>
    <w:p w14:paraId="20ECF60D" w14:textId="5E1C4DFA" w:rsidR="005923AA" w:rsidRDefault="005923AA" w:rsidP="00172F56">
      <w:pPr>
        <w:pStyle w:val="NormalWeb"/>
        <w:shd w:val="clear" w:color="auto" w:fill="FFFFFF"/>
        <w:spacing w:before="0" w:after="0"/>
        <w:ind w:left="720"/>
        <w:jc w:val="both"/>
        <w:rPr>
          <w:rFonts w:ascii="Arial" w:hAnsi="Arial" w:cs="Arial"/>
          <w:i/>
          <w:iCs/>
          <w:color w:val="0B0C0C"/>
          <w:sz w:val="20"/>
          <w:szCs w:val="20"/>
        </w:rPr>
      </w:pPr>
      <w:r w:rsidRPr="005923AA">
        <w:rPr>
          <w:rFonts w:ascii="Arial" w:hAnsi="Arial" w:cs="Arial"/>
          <w:i/>
          <w:iCs/>
          <w:color w:val="0B0C0C"/>
          <w:sz w:val="20"/>
          <w:szCs w:val="20"/>
        </w:rPr>
        <w:t>First Homes are the government’s preferred discounted market tenure and should account for at least 25% of all affordable housing units delivered by developers through planning obligations.</w:t>
      </w:r>
    </w:p>
    <w:p w14:paraId="4D599A39" w14:textId="77777777" w:rsidR="001C3153" w:rsidRPr="00D20EF1" w:rsidRDefault="001C3153" w:rsidP="00172F56">
      <w:pPr>
        <w:pStyle w:val="11Bodytext"/>
        <w:numPr>
          <w:ilvl w:val="0"/>
          <w:numId w:val="0"/>
        </w:numPr>
        <w:spacing w:before="0" w:after="0" w:line="300" w:lineRule="auto"/>
        <w:rPr>
          <w:color w:val="auto"/>
        </w:rPr>
      </w:pPr>
    </w:p>
    <w:p w14:paraId="3DA822C5" w14:textId="0827D5B0" w:rsidR="005923AA" w:rsidRPr="001C3153" w:rsidRDefault="005923AA">
      <w:pPr>
        <w:pStyle w:val="11Bodytext"/>
        <w:numPr>
          <w:ilvl w:val="1"/>
          <w:numId w:val="37"/>
        </w:numPr>
        <w:tabs>
          <w:tab w:val="num" w:pos="0"/>
        </w:tabs>
        <w:spacing w:before="0" w:after="0" w:line="300" w:lineRule="auto"/>
        <w:ind w:left="720" w:hanging="720"/>
        <w:rPr>
          <w:color w:val="auto"/>
        </w:rPr>
      </w:pPr>
      <w:r w:rsidRPr="001C3153">
        <w:t xml:space="preserve">In terms of eligibility criteria, a purchaser should be a first-time buyer with a </w:t>
      </w:r>
      <w:r w:rsidRPr="001C3153">
        <w:rPr>
          <w:color w:val="0B0C0C"/>
        </w:rPr>
        <w:t xml:space="preserve">combined annual household income not exceeding £80,000 (or £90,000 in Greater London) and a mortgage needs to fund a minimum of 50% of the discounted purchase price. Local authorities can set their own eligibility criteria, which could for example involve </w:t>
      </w:r>
      <w:r w:rsidRPr="001C3153">
        <w:rPr>
          <w:color w:val="0B0C0C"/>
          <w:shd w:val="clear" w:color="auto" w:fill="FFFFFF"/>
        </w:rPr>
        <w:t xml:space="preserve">lower income caps, a local connection test, or criteria based on employment status. </w:t>
      </w:r>
      <w:r w:rsidRPr="001C3153">
        <w:rPr>
          <w:color w:val="0B0C0C"/>
        </w:rPr>
        <w:t>Regarding discounts, a First Home must be sold at least 30% below the open market value. However, local authorities do have the discretion to require a higher minimum discount of either 40% or 50% (if they can demonstrate a need for this).</w:t>
      </w:r>
    </w:p>
    <w:p w14:paraId="7B3D8352" w14:textId="285FB4BC" w:rsidR="001C3153" w:rsidRDefault="001C3153">
      <w:pPr>
        <w:pStyle w:val="11Bodytext"/>
        <w:numPr>
          <w:ilvl w:val="0"/>
          <w:numId w:val="0"/>
        </w:numPr>
        <w:spacing w:before="0" w:after="0" w:line="300" w:lineRule="auto"/>
        <w:rPr>
          <w:color w:val="auto"/>
        </w:rPr>
      </w:pPr>
    </w:p>
    <w:p w14:paraId="7AA55FF1" w14:textId="0F3BE476" w:rsidR="003367CD" w:rsidRDefault="003367CD">
      <w:pPr>
        <w:pStyle w:val="11Bodytext"/>
        <w:numPr>
          <w:ilvl w:val="0"/>
          <w:numId w:val="0"/>
        </w:numPr>
        <w:spacing w:before="0" w:after="0" w:line="300" w:lineRule="auto"/>
        <w:rPr>
          <w:color w:val="auto"/>
        </w:rPr>
      </w:pPr>
    </w:p>
    <w:p w14:paraId="07B83286" w14:textId="6D134D45" w:rsidR="003367CD" w:rsidRDefault="003367CD">
      <w:pPr>
        <w:pStyle w:val="11Bodytext"/>
        <w:numPr>
          <w:ilvl w:val="0"/>
          <w:numId w:val="0"/>
        </w:numPr>
        <w:spacing w:before="0" w:after="0" w:line="300" w:lineRule="auto"/>
        <w:rPr>
          <w:color w:val="auto"/>
        </w:rPr>
      </w:pPr>
    </w:p>
    <w:p w14:paraId="18883D8A" w14:textId="77777777" w:rsidR="003367CD" w:rsidRDefault="003367CD" w:rsidP="00172F56">
      <w:pPr>
        <w:pStyle w:val="11Bodytext"/>
        <w:numPr>
          <w:ilvl w:val="0"/>
          <w:numId w:val="0"/>
        </w:numPr>
        <w:spacing w:before="0" w:after="0" w:line="300" w:lineRule="auto"/>
        <w:rPr>
          <w:color w:val="auto"/>
        </w:rPr>
      </w:pPr>
    </w:p>
    <w:p w14:paraId="764AB56E" w14:textId="524F0A9B" w:rsidR="005923AA" w:rsidRPr="00620FE9" w:rsidRDefault="005923AA">
      <w:pPr>
        <w:pStyle w:val="11Bodytext"/>
        <w:numPr>
          <w:ilvl w:val="1"/>
          <w:numId w:val="37"/>
        </w:numPr>
        <w:spacing w:before="0" w:after="0" w:line="300" w:lineRule="auto"/>
        <w:ind w:left="720" w:hanging="720"/>
        <w:rPr>
          <w:color w:val="auto"/>
        </w:rPr>
      </w:pPr>
      <w:r w:rsidRPr="001C3153">
        <w:t xml:space="preserve">As noted above, the problem with having a percentage discount is that it is possible in some locations or types of property that such a discount still means that the discounted housing is more expensive than that typically available in the open </w:t>
      </w:r>
      <w:r>
        <w:t>market.</w:t>
      </w:r>
      <w:r w:rsidRPr="001C3153">
        <w:t xml:space="preserve"> This is often the case as new build housing itself attracts a premium. The preferred approach in this report is to set out a series of purchase costs for different sizes of accommodation which ensure these products are affordable for the intended group. These purchase costs are based on current lower quartile rental prices and also consideration of the income required to access the private rented sector and then estimating what property price this level of income might support (assuming a 10% deposit and a 4 times mortgage multiple). Below is an example of a calculation based on a 2-bedroom home:</w:t>
      </w:r>
    </w:p>
    <w:p w14:paraId="3D56BDCA" w14:textId="77777777" w:rsidR="00620FE9" w:rsidRPr="001C3153" w:rsidRDefault="00620FE9" w:rsidP="00172F56">
      <w:pPr>
        <w:pStyle w:val="11Bodytext"/>
        <w:numPr>
          <w:ilvl w:val="0"/>
          <w:numId w:val="0"/>
        </w:numPr>
        <w:spacing w:before="0" w:after="0" w:line="300" w:lineRule="auto"/>
        <w:rPr>
          <w:color w:val="auto"/>
        </w:rPr>
      </w:pPr>
    </w:p>
    <w:p w14:paraId="2B1F434F" w14:textId="3289B6BF" w:rsidR="005923AA" w:rsidRPr="005923AA" w:rsidRDefault="005923AA">
      <w:pPr>
        <w:pStyle w:val="11Bodytext"/>
        <w:numPr>
          <w:ilvl w:val="0"/>
          <w:numId w:val="38"/>
        </w:numPr>
        <w:spacing w:before="0" w:after="0" w:line="300" w:lineRule="auto"/>
        <w:rPr>
          <w:color w:val="auto"/>
        </w:rPr>
      </w:pPr>
      <w:r w:rsidRPr="005923AA">
        <w:rPr>
          <w:color w:val="auto"/>
        </w:rPr>
        <w:t>Previous analysis has shown that the lower quartile rent for a 2-bedroom home in Fylde is £520 per month;</w:t>
      </w:r>
    </w:p>
    <w:p w14:paraId="6965FB66" w14:textId="77777777" w:rsidR="005923AA" w:rsidRPr="005923AA" w:rsidRDefault="005923AA">
      <w:pPr>
        <w:pStyle w:val="11Bodytext"/>
        <w:numPr>
          <w:ilvl w:val="0"/>
          <w:numId w:val="38"/>
        </w:numPr>
        <w:spacing w:before="0" w:after="0" w:line="300" w:lineRule="auto"/>
        <w:rPr>
          <w:color w:val="auto"/>
        </w:rPr>
      </w:pPr>
      <w:r w:rsidRPr="005923AA">
        <w:rPr>
          <w:color w:val="auto"/>
        </w:rPr>
        <w:t xml:space="preserve">On the basis of a household spending no more than 30% of their income on housing, a household would </w:t>
      </w:r>
      <w:r w:rsidRPr="005923AA">
        <w:rPr>
          <w:rFonts w:eastAsia="Times New Roman"/>
          <w:color w:val="auto"/>
        </w:rPr>
        <w:t>need an income of around £1,733 per month to afford (£520/0.3) or £20,800 per annum; and</w:t>
      </w:r>
    </w:p>
    <w:p w14:paraId="086A5FC2" w14:textId="6D697842" w:rsidR="005923AA" w:rsidRDefault="005923AA">
      <w:pPr>
        <w:pStyle w:val="11Bodytext"/>
        <w:numPr>
          <w:ilvl w:val="0"/>
          <w:numId w:val="38"/>
        </w:numPr>
        <w:spacing w:before="0" w:after="0" w:line="300" w:lineRule="auto"/>
        <w:rPr>
          <w:color w:val="auto"/>
        </w:rPr>
      </w:pPr>
      <w:r w:rsidRPr="005923AA">
        <w:rPr>
          <w:color w:val="auto"/>
        </w:rPr>
        <w:t>With an income of £20,800, it is estimated that a household could afford to buy a home for around £92,400. This is based on assuming a 10% deposit (mortgage for 90% of value) and a four times mortgage multiple – calculated as £20,800*4/0.9.</w:t>
      </w:r>
    </w:p>
    <w:p w14:paraId="0694519E" w14:textId="77777777" w:rsidR="00514B0A" w:rsidRPr="00D20EF1" w:rsidRDefault="00514B0A" w:rsidP="00172F56">
      <w:pPr>
        <w:pStyle w:val="11Bodytext"/>
        <w:numPr>
          <w:ilvl w:val="0"/>
          <w:numId w:val="0"/>
        </w:numPr>
        <w:spacing w:before="0" w:after="0" w:line="300" w:lineRule="auto"/>
        <w:rPr>
          <w:color w:val="auto"/>
        </w:rPr>
      </w:pPr>
    </w:p>
    <w:p w14:paraId="73E857EF" w14:textId="7F50625A" w:rsidR="005923AA" w:rsidRPr="00514B0A" w:rsidRDefault="005923AA">
      <w:pPr>
        <w:pStyle w:val="11Bodytext"/>
        <w:numPr>
          <w:ilvl w:val="1"/>
          <w:numId w:val="37"/>
        </w:numPr>
        <w:tabs>
          <w:tab w:val="num" w:pos="0"/>
        </w:tabs>
        <w:spacing w:before="0" w:after="0" w:line="300" w:lineRule="auto"/>
        <w:ind w:left="720" w:hanging="720"/>
        <w:rPr>
          <w:color w:val="auto"/>
        </w:rPr>
      </w:pPr>
      <w:r w:rsidRPr="00514B0A">
        <w:t>Therefore, £92,400 is a suggested purchase price to make First Homes/discounted home ownership affordable for households in the rent/buy gap in Fylde. This figure is essentially the equivalent price that is affordable to a household who can just afford to rent privately. In reality, there will be a range of incomes in the rent/buy gap and so some households could afford a higher price; however, setting all homes at a higher price would mean that some households will still be unable to afford.</w:t>
      </w:r>
    </w:p>
    <w:p w14:paraId="49DA2356" w14:textId="77777777" w:rsidR="00514B0A" w:rsidRPr="00514B0A" w:rsidRDefault="00514B0A" w:rsidP="00172F56">
      <w:pPr>
        <w:pStyle w:val="11Bodytext"/>
        <w:numPr>
          <w:ilvl w:val="0"/>
          <w:numId w:val="0"/>
        </w:numPr>
        <w:spacing w:before="0" w:after="0" w:line="300" w:lineRule="auto"/>
        <w:rPr>
          <w:color w:val="auto"/>
        </w:rPr>
      </w:pPr>
    </w:p>
    <w:p w14:paraId="33827073" w14:textId="6A729F20" w:rsidR="005923AA" w:rsidRPr="00514B0A" w:rsidRDefault="005923AA">
      <w:pPr>
        <w:pStyle w:val="11Bodytext"/>
        <w:numPr>
          <w:ilvl w:val="1"/>
          <w:numId w:val="37"/>
        </w:numPr>
        <w:spacing w:before="0" w:after="0" w:line="300" w:lineRule="auto"/>
        <w:ind w:left="720" w:hanging="720"/>
        <w:rPr>
          <w:color w:val="auto"/>
        </w:rPr>
      </w:pPr>
      <w:r w:rsidRPr="00514B0A">
        <w:t>On this basis, it is considered reasonable to look at the cost of First Homes as a range, from the equivalent private rent figure up to a midpoint of the cost of open market purchase and the relevant private rented figure (for a 2-bedroom home this is £115,000, giving a midpoint of £103,700). The use of a midpoint would mean that only around half of households in the rent/buy gap could afford, and therefore any housing provided at such a cost would need to also be supplemented by an equivalent number at a lower cost (which might include other tenures such as shared ownership).</w:t>
      </w:r>
    </w:p>
    <w:p w14:paraId="4A4F6CBC" w14:textId="77777777" w:rsidR="00514B0A" w:rsidRPr="00514B0A" w:rsidRDefault="00514B0A" w:rsidP="00172F56">
      <w:pPr>
        <w:pStyle w:val="11Bodytext"/>
        <w:numPr>
          <w:ilvl w:val="0"/>
          <w:numId w:val="0"/>
        </w:numPr>
        <w:spacing w:before="0" w:after="0" w:line="300" w:lineRule="auto"/>
        <w:rPr>
          <w:color w:val="auto"/>
        </w:rPr>
      </w:pPr>
    </w:p>
    <w:p w14:paraId="2E20B2BC" w14:textId="6037D4B1" w:rsidR="005923AA" w:rsidRPr="00514B0A" w:rsidRDefault="005923AA">
      <w:pPr>
        <w:pStyle w:val="11Bodytext"/>
        <w:numPr>
          <w:ilvl w:val="1"/>
          <w:numId w:val="37"/>
        </w:numPr>
        <w:tabs>
          <w:tab w:val="num" w:pos="0"/>
        </w:tabs>
        <w:spacing w:before="0" w:after="0" w:line="300" w:lineRule="auto"/>
        <w:ind w:left="720" w:hanging="720"/>
        <w:rPr>
          <w:color w:val="auto"/>
        </w:rPr>
      </w:pPr>
      <w:r w:rsidRPr="00514B0A">
        <w:t>To estimate what levels of discount these prices might equate to it is necessary to estimate the likely cost of a home prior to any discount; calculating the Open Market Value (OMV). This is not straightforward as housing costs will vary depending on location and the type of scheme, however, it is the case that homes will be newbuilds and are likely to attract a newbuild premium.</w:t>
      </w:r>
    </w:p>
    <w:p w14:paraId="58E7730D" w14:textId="77777777" w:rsidR="00514B0A" w:rsidRPr="00514B0A" w:rsidRDefault="00514B0A" w:rsidP="00172F56">
      <w:pPr>
        <w:pStyle w:val="11Bodytext"/>
        <w:numPr>
          <w:ilvl w:val="0"/>
          <w:numId w:val="0"/>
        </w:numPr>
        <w:spacing w:before="0" w:after="0" w:line="300" w:lineRule="auto"/>
        <w:rPr>
          <w:color w:val="auto"/>
        </w:rPr>
      </w:pPr>
    </w:p>
    <w:p w14:paraId="3775B0A9" w14:textId="267B3005" w:rsidR="005923AA" w:rsidRPr="00702371" w:rsidRDefault="005923AA">
      <w:pPr>
        <w:pStyle w:val="11Bodytext"/>
        <w:numPr>
          <w:ilvl w:val="1"/>
          <w:numId w:val="37"/>
        </w:numPr>
        <w:tabs>
          <w:tab w:val="num" w:pos="0"/>
        </w:tabs>
        <w:spacing w:before="0" w:after="0" w:line="300" w:lineRule="auto"/>
        <w:ind w:left="720" w:hanging="720"/>
        <w:rPr>
          <w:color w:val="auto"/>
        </w:rPr>
      </w:pPr>
      <w:r w:rsidRPr="00514B0A">
        <w:t>The table below shows the lower quartile cost of existing and new homes by type from Land Registry data; to boost the sample of new homes data from the last 5-years has been used. The analysis clearly identifies that newbuild homes are more expensive than existing homes in the stock although the overall average ‘premium’ (of 40%) will be heavily influenced by the profile of homes. When looking across the different types of home it can be seen that the premium is typically around 10% on average - this figure has therefore been used in calculations of OMV and against which a discount can be judged.</w:t>
      </w:r>
    </w:p>
    <w:p w14:paraId="5EEDF439" w14:textId="77777777" w:rsidR="00702371" w:rsidRPr="00514B0A" w:rsidRDefault="00702371" w:rsidP="00172F56">
      <w:pPr>
        <w:pStyle w:val="11Bodytext"/>
        <w:numPr>
          <w:ilvl w:val="0"/>
          <w:numId w:val="0"/>
        </w:numPr>
        <w:tabs>
          <w:tab w:val="num" w:pos="0"/>
        </w:tabs>
        <w:spacing w:before="0" w:after="0" w:line="300" w:lineRule="auto"/>
        <w:rPr>
          <w:color w:val="auto"/>
        </w:rPr>
      </w:pPr>
    </w:p>
    <w:tbl>
      <w:tblPr>
        <w:tblStyle w:val="TableTheme"/>
        <w:tblW w:w="8199" w:type="dxa"/>
        <w:jc w:val="center"/>
        <w:tblLook w:val="04A0" w:firstRow="1" w:lastRow="0" w:firstColumn="1" w:lastColumn="0" w:noHBand="0" w:noVBand="1"/>
      </w:tblPr>
      <w:tblGrid>
        <w:gridCol w:w="2107"/>
        <w:gridCol w:w="2033"/>
        <w:gridCol w:w="2033"/>
        <w:gridCol w:w="2026"/>
      </w:tblGrid>
      <w:tr w:rsidR="00702371" w:rsidRPr="00702371" w14:paraId="594F0229" w14:textId="77777777" w:rsidTr="008469E3">
        <w:trPr>
          <w:jc w:val="center"/>
        </w:trPr>
        <w:tc>
          <w:tcPr>
            <w:tcW w:w="8199" w:type="dxa"/>
            <w:gridSpan w:val="4"/>
          </w:tcPr>
          <w:p w14:paraId="1E6D11C2" w14:textId="56BACEC7" w:rsidR="00702371" w:rsidRPr="00702371" w:rsidRDefault="00702371" w:rsidP="0014104A">
            <w:pPr>
              <w:keepNext/>
              <w:spacing w:line="300" w:lineRule="auto"/>
              <w:jc w:val="center"/>
              <w:rPr>
                <w:rFonts w:ascii="Arial" w:hAnsi="Arial" w:cs="Arial"/>
                <w:b/>
                <w:bCs/>
                <w:sz w:val="20"/>
                <w:szCs w:val="20"/>
              </w:rPr>
            </w:pPr>
            <w:r w:rsidRPr="00702371">
              <w:rPr>
                <w:rFonts w:ascii="Arial" w:hAnsi="Arial" w:cs="Arial"/>
                <w:b/>
                <w:bCs/>
                <w:sz w:val="20"/>
                <w:szCs w:val="20"/>
              </w:rPr>
              <w:t>Figure 4.</w:t>
            </w:r>
            <w:r w:rsidR="00DF6242">
              <w:rPr>
                <w:rFonts w:ascii="Arial" w:hAnsi="Arial" w:cs="Arial"/>
                <w:b/>
                <w:bCs/>
                <w:sz w:val="20"/>
                <w:szCs w:val="20"/>
              </w:rPr>
              <w:t>4</w:t>
            </w:r>
            <w:r w:rsidRPr="00702371">
              <w:rPr>
                <w:rFonts w:ascii="Arial" w:hAnsi="Arial" w:cs="Arial"/>
                <w:b/>
                <w:bCs/>
                <w:sz w:val="20"/>
                <w:szCs w:val="20"/>
              </w:rPr>
              <w:t>: Lower quartile cost of housing to buy (existing and newly-built dwellings) – 5-years to September 2021 – Fylde</w:t>
            </w:r>
          </w:p>
        </w:tc>
      </w:tr>
      <w:tr w:rsidR="005923AA" w:rsidRPr="005923AA" w14:paraId="792DECBE" w14:textId="77777777" w:rsidTr="00702371">
        <w:trPr>
          <w:jc w:val="center"/>
        </w:trPr>
        <w:tc>
          <w:tcPr>
            <w:tcW w:w="2107" w:type="dxa"/>
          </w:tcPr>
          <w:p w14:paraId="614F9496" w14:textId="77777777" w:rsidR="005923AA" w:rsidRPr="005923AA" w:rsidRDefault="005923AA" w:rsidP="0014104A">
            <w:pPr>
              <w:keepNext/>
              <w:spacing w:line="300" w:lineRule="auto"/>
              <w:rPr>
                <w:rFonts w:ascii="Arial" w:hAnsi="Arial" w:cs="Arial"/>
                <w:sz w:val="20"/>
                <w:szCs w:val="20"/>
              </w:rPr>
            </w:pPr>
          </w:p>
        </w:tc>
        <w:tc>
          <w:tcPr>
            <w:tcW w:w="2033" w:type="dxa"/>
          </w:tcPr>
          <w:p w14:paraId="450435B4"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sz w:val="20"/>
                <w:szCs w:val="20"/>
              </w:rPr>
              <w:t>Existing dwellings</w:t>
            </w:r>
          </w:p>
        </w:tc>
        <w:tc>
          <w:tcPr>
            <w:tcW w:w="2033" w:type="dxa"/>
          </w:tcPr>
          <w:p w14:paraId="4D8D13DB"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sz w:val="20"/>
                <w:szCs w:val="20"/>
              </w:rPr>
              <w:t>Newly-built dwellings</w:t>
            </w:r>
          </w:p>
        </w:tc>
        <w:tc>
          <w:tcPr>
            <w:tcW w:w="2026" w:type="dxa"/>
          </w:tcPr>
          <w:p w14:paraId="383F8DC1"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sz w:val="20"/>
                <w:szCs w:val="20"/>
              </w:rPr>
              <w:t>New-build premium</w:t>
            </w:r>
          </w:p>
        </w:tc>
      </w:tr>
      <w:tr w:rsidR="005923AA" w:rsidRPr="005923AA" w14:paraId="4A8564B9" w14:textId="77777777" w:rsidTr="00702371">
        <w:trPr>
          <w:jc w:val="center"/>
        </w:trPr>
        <w:tc>
          <w:tcPr>
            <w:tcW w:w="2107" w:type="dxa"/>
          </w:tcPr>
          <w:p w14:paraId="71E027BC" w14:textId="77777777" w:rsidR="005923AA" w:rsidRPr="005923AA" w:rsidRDefault="005923AA" w:rsidP="0014104A">
            <w:pPr>
              <w:keepNext/>
              <w:spacing w:line="300" w:lineRule="auto"/>
              <w:rPr>
                <w:rFonts w:ascii="Arial" w:hAnsi="Arial" w:cs="Arial"/>
                <w:sz w:val="20"/>
                <w:szCs w:val="20"/>
              </w:rPr>
            </w:pPr>
            <w:r w:rsidRPr="005923AA">
              <w:rPr>
                <w:rFonts w:ascii="Arial" w:hAnsi="Arial" w:cs="Arial"/>
                <w:sz w:val="20"/>
                <w:szCs w:val="20"/>
              </w:rPr>
              <w:t>Flat/maisonette</w:t>
            </w:r>
          </w:p>
        </w:tc>
        <w:tc>
          <w:tcPr>
            <w:tcW w:w="2033" w:type="dxa"/>
          </w:tcPr>
          <w:p w14:paraId="3F615B19"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£82,800</w:t>
            </w:r>
          </w:p>
        </w:tc>
        <w:tc>
          <w:tcPr>
            <w:tcW w:w="2033" w:type="dxa"/>
          </w:tcPr>
          <w:p w14:paraId="14F0950B"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£88,000</w:t>
            </w:r>
          </w:p>
        </w:tc>
        <w:tc>
          <w:tcPr>
            <w:tcW w:w="2026" w:type="dxa"/>
          </w:tcPr>
          <w:p w14:paraId="6C927AFE"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6%</w:t>
            </w:r>
          </w:p>
        </w:tc>
      </w:tr>
      <w:tr w:rsidR="005923AA" w:rsidRPr="005923AA" w14:paraId="3AB26683" w14:textId="77777777" w:rsidTr="00702371">
        <w:trPr>
          <w:jc w:val="center"/>
        </w:trPr>
        <w:tc>
          <w:tcPr>
            <w:tcW w:w="2107" w:type="dxa"/>
          </w:tcPr>
          <w:p w14:paraId="7A75F02F" w14:textId="77777777" w:rsidR="005923AA" w:rsidRPr="005923AA" w:rsidRDefault="005923AA" w:rsidP="0014104A">
            <w:pPr>
              <w:keepNext/>
              <w:spacing w:line="300" w:lineRule="auto"/>
              <w:rPr>
                <w:rFonts w:ascii="Arial" w:hAnsi="Arial" w:cs="Arial"/>
                <w:sz w:val="20"/>
                <w:szCs w:val="20"/>
              </w:rPr>
            </w:pPr>
            <w:r w:rsidRPr="005923AA">
              <w:rPr>
                <w:rFonts w:ascii="Arial" w:hAnsi="Arial" w:cs="Arial"/>
                <w:sz w:val="20"/>
                <w:szCs w:val="20"/>
              </w:rPr>
              <w:t>Terraced</w:t>
            </w:r>
          </w:p>
        </w:tc>
        <w:tc>
          <w:tcPr>
            <w:tcW w:w="2033" w:type="dxa"/>
          </w:tcPr>
          <w:p w14:paraId="198C3942"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£119,400</w:t>
            </w:r>
          </w:p>
        </w:tc>
        <w:tc>
          <w:tcPr>
            <w:tcW w:w="2033" w:type="dxa"/>
          </w:tcPr>
          <w:p w14:paraId="337D47F5"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£132,000</w:t>
            </w:r>
          </w:p>
        </w:tc>
        <w:tc>
          <w:tcPr>
            <w:tcW w:w="2026" w:type="dxa"/>
          </w:tcPr>
          <w:p w14:paraId="683E5792"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11%</w:t>
            </w:r>
          </w:p>
        </w:tc>
      </w:tr>
      <w:tr w:rsidR="005923AA" w:rsidRPr="005923AA" w14:paraId="7422B79B" w14:textId="77777777" w:rsidTr="00702371">
        <w:trPr>
          <w:jc w:val="center"/>
        </w:trPr>
        <w:tc>
          <w:tcPr>
            <w:tcW w:w="2107" w:type="dxa"/>
          </w:tcPr>
          <w:p w14:paraId="69138DB3" w14:textId="77777777" w:rsidR="005923AA" w:rsidRPr="005923AA" w:rsidRDefault="005923AA" w:rsidP="0014104A">
            <w:pPr>
              <w:keepNext/>
              <w:spacing w:line="300" w:lineRule="auto"/>
              <w:rPr>
                <w:rFonts w:ascii="Arial" w:hAnsi="Arial" w:cs="Arial"/>
                <w:sz w:val="20"/>
                <w:szCs w:val="20"/>
              </w:rPr>
            </w:pPr>
            <w:r w:rsidRPr="005923AA">
              <w:rPr>
                <w:rFonts w:ascii="Arial" w:hAnsi="Arial" w:cs="Arial"/>
                <w:sz w:val="20"/>
                <w:szCs w:val="20"/>
              </w:rPr>
              <w:t>Semi-detached</w:t>
            </w:r>
          </w:p>
        </w:tc>
        <w:tc>
          <w:tcPr>
            <w:tcW w:w="2033" w:type="dxa"/>
          </w:tcPr>
          <w:p w14:paraId="2E2FEB43"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£150,000</w:t>
            </w:r>
          </w:p>
        </w:tc>
        <w:tc>
          <w:tcPr>
            <w:tcW w:w="2033" w:type="dxa"/>
          </w:tcPr>
          <w:p w14:paraId="7F613E01"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£174,700</w:t>
            </w:r>
          </w:p>
        </w:tc>
        <w:tc>
          <w:tcPr>
            <w:tcW w:w="2026" w:type="dxa"/>
          </w:tcPr>
          <w:p w14:paraId="5094B64E"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16%</w:t>
            </w:r>
          </w:p>
        </w:tc>
      </w:tr>
      <w:tr w:rsidR="005923AA" w:rsidRPr="005923AA" w14:paraId="4118F348" w14:textId="77777777" w:rsidTr="00702371">
        <w:trPr>
          <w:jc w:val="center"/>
        </w:trPr>
        <w:tc>
          <w:tcPr>
            <w:tcW w:w="2107" w:type="dxa"/>
          </w:tcPr>
          <w:p w14:paraId="72EABD60" w14:textId="77777777" w:rsidR="005923AA" w:rsidRPr="005923AA" w:rsidRDefault="005923AA" w:rsidP="0014104A">
            <w:pPr>
              <w:keepNext/>
              <w:spacing w:line="300" w:lineRule="auto"/>
              <w:rPr>
                <w:rFonts w:ascii="Arial" w:hAnsi="Arial" w:cs="Arial"/>
                <w:sz w:val="20"/>
                <w:szCs w:val="20"/>
              </w:rPr>
            </w:pPr>
            <w:r w:rsidRPr="005923AA">
              <w:rPr>
                <w:rFonts w:ascii="Arial" w:hAnsi="Arial" w:cs="Arial"/>
                <w:sz w:val="20"/>
                <w:szCs w:val="20"/>
              </w:rPr>
              <w:t>Detached</w:t>
            </w:r>
          </w:p>
        </w:tc>
        <w:tc>
          <w:tcPr>
            <w:tcW w:w="2033" w:type="dxa"/>
          </w:tcPr>
          <w:p w14:paraId="327006AF"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£219,600</w:t>
            </w:r>
          </w:p>
        </w:tc>
        <w:tc>
          <w:tcPr>
            <w:tcW w:w="2033" w:type="dxa"/>
          </w:tcPr>
          <w:p w14:paraId="0EBD3654"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£225,200</w:t>
            </w:r>
          </w:p>
        </w:tc>
        <w:tc>
          <w:tcPr>
            <w:tcW w:w="2026" w:type="dxa"/>
          </w:tcPr>
          <w:p w14:paraId="0BD9E453"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3%</w:t>
            </w:r>
          </w:p>
        </w:tc>
      </w:tr>
      <w:tr w:rsidR="005923AA" w:rsidRPr="005923AA" w14:paraId="2EDCB260" w14:textId="77777777" w:rsidTr="00702371">
        <w:trPr>
          <w:jc w:val="center"/>
        </w:trPr>
        <w:tc>
          <w:tcPr>
            <w:tcW w:w="2107" w:type="dxa"/>
          </w:tcPr>
          <w:p w14:paraId="7539F4A8" w14:textId="77777777" w:rsidR="005923AA" w:rsidRPr="005923AA" w:rsidRDefault="005923AA" w:rsidP="0014104A">
            <w:pPr>
              <w:keepNext/>
              <w:spacing w:line="300" w:lineRule="auto"/>
              <w:rPr>
                <w:rFonts w:ascii="Arial" w:hAnsi="Arial" w:cs="Arial"/>
                <w:sz w:val="20"/>
                <w:szCs w:val="20"/>
              </w:rPr>
            </w:pPr>
            <w:r w:rsidRPr="005923AA">
              <w:rPr>
                <w:rFonts w:ascii="Arial" w:hAnsi="Arial" w:cs="Arial"/>
                <w:sz w:val="20"/>
                <w:szCs w:val="20"/>
              </w:rPr>
              <w:t>All dwellings</w:t>
            </w:r>
          </w:p>
        </w:tc>
        <w:tc>
          <w:tcPr>
            <w:tcW w:w="2033" w:type="dxa"/>
          </w:tcPr>
          <w:p w14:paraId="4B6BD9A0"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£141,800</w:t>
            </w:r>
          </w:p>
        </w:tc>
        <w:tc>
          <w:tcPr>
            <w:tcW w:w="2033" w:type="dxa"/>
          </w:tcPr>
          <w:p w14:paraId="0388AE10"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£198,200</w:t>
            </w:r>
          </w:p>
        </w:tc>
        <w:tc>
          <w:tcPr>
            <w:tcW w:w="2026" w:type="dxa"/>
          </w:tcPr>
          <w:p w14:paraId="2D8A549C" w14:textId="77777777" w:rsidR="005923AA" w:rsidRPr="005923AA" w:rsidRDefault="005923AA" w:rsidP="0014104A">
            <w:pPr>
              <w:keepNext/>
              <w:spacing w:line="300" w:lineRule="auto"/>
              <w:jc w:val="center"/>
              <w:rPr>
                <w:rFonts w:ascii="Arial" w:hAnsi="Arial" w:cs="Arial"/>
                <w:sz w:val="20"/>
                <w:szCs w:val="20"/>
              </w:rPr>
            </w:pPr>
            <w:r w:rsidRPr="005923AA">
              <w:rPr>
                <w:rFonts w:ascii="Arial" w:hAnsi="Arial" w:cs="Arial"/>
                <w:color w:val="000000"/>
                <w:sz w:val="20"/>
                <w:szCs w:val="20"/>
              </w:rPr>
              <w:t>40%</w:t>
            </w:r>
          </w:p>
        </w:tc>
      </w:tr>
    </w:tbl>
    <w:p w14:paraId="63B3CE36" w14:textId="70EEE09D" w:rsidR="005923AA" w:rsidRDefault="005923AA" w:rsidP="0014104A">
      <w:pPr>
        <w:spacing w:line="300" w:lineRule="auto"/>
        <w:jc w:val="center"/>
        <w:rPr>
          <w:rFonts w:ascii="Arial" w:hAnsi="Arial" w:cs="Arial"/>
          <w:sz w:val="20"/>
          <w:szCs w:val="20"/>
        </w:rPr>
      </w:pPr>
      <w:r w:rsidRPr="005923AA">
        <w:rPr>
          <w:rFonts w:ascii="Arial" w:hAnsi="Arial" w:cs="Arial"/>
          <w:sz w:val="20"/>
          <w:szCs w:val="20"/>
        </w:rPr>
        <w:t>Source: Land Registry</w:t>
      </w:r>
    </w:p>
    <w:p w14:paraId="394889FD" w14:textId="77777777" w:rsidR="00702371" w:rsidRPr="00514B0A" w:rsidRDefault="00702371" w:rsidP="00172F56">
      <w:pPr>
        <w:pStyle w:val="11Bodytext"/>
        <w:numPr>
          <w:ilvl w:val="0"/>
          <w:numId w:val="0"/>
        </w:numPr>
        <w:spacing w:before="0" w:after="0" w:line="300" w:lineRule="auto"/>
        <w:rPr>
          <w:color w:val="auto"/>
        </w:rPr>
      </w:pPr>
    </w:p>
    <w:p w14:paraId="03FAD672" w14:textId="579B9B62" w:rsidR="005923AA" w:rsidRPr="00702371" w:rsidRDefault="005923AA">
      <w:pPr>
        <w:pStyle w:val="11Bodytext"/>
        <w:numPr>
          <w:ilvl w:val="1"/>
          <w:numId w:val="37"/>
        </w:numPr>
        <w:spacing w:before="0" w:after="0" w:line="300" w:lineRule="auto"/>
        <w:ind w:left="720" w:hanging="720"/>
        <w:rPr>
          <w:color w:val="auto"/>
        </w:rPr>
      </w:pPr>
      <w:r w:rsidRPr="00702371">
        <w:t>The table</w:t>
      </w:r>
      <w:r>
        <w:t xml:space="preserve"> </w:t>
      </w:r>
      <w:r w:rsidRPr="00702371">
        <w:t xml:space="preserve"> below therefore sets out a suggested purchase price for affordable home ownership/First Homes. The tables also show an estimated OMV and the level of discount likely to be required to achieve affordability. As noted, the OMV is based on taking the estimated lower quartile price by size and adding 10</w:t>
      </w:r>
      <w:r>
        <w:t>%.</w:t>
      </w:r>
      <w:r w:rsidRPr="00702371">
        <w:t xml:space="preserve"> It should be noted that the discounts are based on the OMV as estimated, in reality the OMV might be quite different for specific schemes and therefore the percentage discount would not be applicable. For example, if the OMV for a 2-bedroom home were to actually be £200,000 (rather than the modelled £126,500) then the discount would be in the range of 48% and 54%.</w:t>
      </w:r>
    </w:p>
    <w:p w14:paraId="64D0A5D4" w14:textId="77777777" w:rsidR="00702371" w:rsidRPr="00702371" w:rsidRDefault="00702371" w:rsidP="00172F56">
      <w:pPr>
        <w:pStyle w:val="11Bodytext"/>
        <w:numPr>
          <w:ilvl w:val="0"/>
          <w:numId w:val="0"/>
        </w:numPr>
        <w:spacing w:before="0" w:after="0" w:line="300" w:lineRule="auto"/>
        <w:rPr>
          <w:color w:val="auto"/>
        </w:rPr>
      </w:pPr>
    </w:p>
    <w:p w14:paraId="49018B4F" w14:textId="61407BD5" w:rsidR="005923AA" w:rsidRPr="00702371" w:rsidRDefault="005923AA">
      <w:pPr>
        <w:pStyle w:val="11Bodytext"/>
        <w:numPr>
          <w:ilvl w:val="1"/>
          <w:numId w:val="37"/>
        </w:numPr>
        <w:tabs>
          <w:tab w:val="num" w:pos="0"/>
        </w:tabs>
        <w:spacing w:before="0" w:after="0" w:line="300" w:lineRule="auto"/>
        <w:ind w:left="720" w:hanging="720"/>
        <w:rPr>
          <w:color w:val="auto"/>
        </w:rPr>
      </w:pPr>
      <w:bookmarkStart w:id="41" w:name="_Hlk74228883"/>
      <w:r w:rsidRPr="00702371">
        <w:t>On the basis of the specific assumptions used, the analysis points to a discount of up to 27% for 2-bedroom homes and a figure of up to 38% for larger (3-bedroom) properties.</w:t>
      </w:r>
      <w:r w:rsidRPr="00702371">
        <w:rPr>
          <w:rFonts w:eastAsiaTheme="majorEastAsia"/>
        </w:rPr>
        <w:t xml:space="preserve"> </w:t>
      </w:r>
      <w:r w:rsidRPr="00702371">
        <w:t>Given that a single discount figure is likely to needed for plan making purposes it is suggested that a 30% discount is reasonable, with the expectation that most First Homes will be 2- or 3-bedroom although a higher discount could be justified for some dwelling sizes.</w:t>
      </w:r>
    </w:p>
    <w:p w14:paraId="01DB7220" w14:textId="77777777" w:rsidR="00702371" w:rsidRPr="00702371" w:rsidRDefault="00702371" w:rsidP="00172F56">
      <w:pPr>
        <w:pStyle w:val="11Bodytext"/>
        <w:numPr>
          <w:ilvl w:val="0"/>
          <w:numId w:val="0"/>
        </w:numPr>
        <w:spacing w:before="0" w:after="0" w:line="300" w:lineRule="auto"/>
        <w:rPr>
          <w:color w:val="auto"/>
        </w:rPr>
      </w:pPr>
    </w:p>
    <w:p w14:paraId="5B4A42DE" w14:textId="5F00D912" w:rsidR="005923AA" w:rsidRPr="00702371" w:rsidRDefault="005923AA">
      <w:pPr>
        <w:pStyle w:val="11Bodytext"/>
        <w:numPr>
          <w:ilvl w:val="1"/>
          <w:numId w:val="37"/>
        </w:numPr>
        <w:spacing w:before="0" w:after="0" w:line="300" w:lineRule="auto"/>
        <w:ind w:left="720" w:hanging="720"/>
        <w:rPr>
          <w:color w:val="auto"/>
        </w:rPr>
      </w:pPr>
      <w:r w:rsidRPr="00702371">
        <w:t xml:space="preserve">It will however be important for the local authority to ensure that any discount above 30% does not prejudice the viability of provision of rented forms of affordable housing </w:t>
      </w:r>
      <w:r w:rsidR="0094079E">
        <w:t xml:space="preserve">such as social and affordable rents </w:t>
      </w:r>
      <w:r w:rsidRPr="00702371">
        <w:t>(for which there is a more acute need).</w:t>
      </w:r>
    </w:p>
    <w:p w14:paraId="271A20C0" w14:textId="77777777" w:rsidR="00702371" w:rsidRPr="00702371" w:rsidRDefault="00702371" w:rsidP="00172F56">
      <w:pPr>
        <w:pStyle w:val="11Bodytext"/>
        <w:numPr>
          <w:ilvl w:val="0"/>
          <w:numId w:val="0"/>
        </w:numPr>
        <w:tabs>
          <w:tab w:val="num" w:pos="0"/>
        </w:tabs>
        <w:spacing w:before="0" w:after="0" w:line="300" w:lineRule="auto"/>
        <w:rPr>
          <w:color w:val="auto"/>
        </w:rPr>
      </w:pPr>
    </w:p>
    <w:tbl>
      <w:tblPr>
        <w:tblStyle w:val="TableTheme"/>
        <w:tblW w:w="8199" w:type="dxa"/>
        <w:jc w:val="center"/>
        <w:tblLook w:val="04A0" w:firstRow="1" w:lastRow="0" w:firstColumn="1" w:lastColumn="0" w:noHBand="0" w:noVBand="1"/>
      </w:tblPr>
      <w:tblGrid>
        <w:gridCol w:w="2051"/>
        <w:gridCol w:w="2056"/>
        <w:gridCol w:w="2053"/>
        <w:gridCol w:w="2039"/>
      </w:tblGrid>
      <w:tr w:rsidR="00DC5FC5" w:rsidRPr="00DC5FC5" w14:paraId="0F50CA8F" w14:textId="77777777" w:rsidTr="008469E3">
        <w:trPr>
          <w:jc w:val="center"/>
        </w:trPr>
        <w:tc>
          <w:tcPr>
            <w:tcW w:w="8199" w:type="dxa"/>
            <w:gridSpan w:val="4"/>
          </w:tcPr>
          <w:p w14:paraId="09CCC290" w14:textId="07A4D872" w:rsidR="00DC5FC5" w:rsidRPr="00DC5FC5" w:rsidRDefault="00DC5FC5" w:rsidP="0014104A">
            <w:pPr>
              <w:pStyle w:val="11Bodytext"/>
              <w:keepNext/>
              <w:numPr>
                <w:ilvl w:val="0"/>
                <w:numId w:val="0"/>
              </w:numPr>
              <w:spacing w:before="0" w:after="0" w:line="300" w:lineRule="auto"/>
              <w:jc w:val="center"/>
              <w:rPr>
                <w:b/>
                <w:bCs w:val="0"/>
                <w:color w:val="auto"/>
              </w:rPr>
            </w:pPr>
            <w:r w:rsidRPr="00DC5FC5">
              <w:rPr>
                <w:b/>
                <w:bCs w:val="0"/>
                <w:color w:val="auto"/>
              </w:rPr>
              <w:t>Figure 4.</w:t>
            </w:r>
            <w:r w:rsidR="00DF6242">
              <w:rPr>
                <w:b/>
                <w:bCs w:val="0"/>
                <w:color w:val="auto"/>
              </w:rPr>
              <w:t>5</w:t>
            </w:r>
            <w:r w:rsidRPr="00DC5FC5">
              <w:rPr>
                <w:b/>
                <w:bCs w:val="0"/>
                <w:color w:val="auto"/>
              </w:rPr>
              <w:t xml:space="preserve">: </w:t>
            </w:r>
            <w:r w:rsidRPr="00DC5FC5">
              <w:rPr>
                <w:b/>
                <w:bCs w:val="0"/>
              </w:rPr>
              <w:t>Affordable home ownership prices – data for year to September 2021 – Fylde</w:t>
            </w:r>
          </w:p>
        </w:tc>
      </w:tr>
      <w:tr w:rsidR="005923AA" w:rsidRPr="005923AA" w14:paraId="124D7493" w14:textId="77777777" w:rsidTr="00DC5FC5">
        <w:trPr>
          <w:jc w:val="center"/>
        </w:trPr>
        <w:tc>
          <w:tcPr>
            <w:tcW w:w="2051" w:type="dxa"/>
          </w:tcPr>
          <w:p w14:paraId="15197A05" w14:textId="77777777" w:rsidR="005923AA" w:rsidRPr="005923AA" w:rsidRDefault="005923AA" w:rsidP="0014104A">
            <w:pPr>
              <w:keepNext/>
              <w:spacing w:line="300" w:lineRule="auto"/>
              <w:rPr>
                <w:rFonts w:ascii="Arial" w:hAnsi="Arial" w:cs="Arial"/>
                <w:sz w:val="20"/>
                <w:szCs w:val="20"/>
              </w:rPr>
            </w:pPr>
          </w:p>
        </w:tc>
        <w:tc>
          <w:tcPr>
            <w:tcW w:w="2056" w:type="dxa"/>
          </w:tcPr>
          <w:p w14:paraId="0D6ACD9D"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rPr>
                <w:color w:val="auto"/>
              </w:rPr>
              <w:t>Affordable Price</w:t>
            </w:r>
          </w:p>
        </w:tc>
        <w:tc>
          <w:tcPr>
            <w:tcW w:w="2053" w:type="dxa"/>
          </w:tcPr>
          <w:p w14:paraId="555EB190"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rPr>
                <w:color w:val="auto"/>
              </w:rPr>
              <w:t>Estimated newbuild OMV</w:t>
            </w:r>
          </w:p>
        </w:tc>
        <w:tc>
          <w:tcPr>
            <w:tcW w:w="2039" w:type="dxa"/>
          </w:tcPr>
          <w:p w14:paraId="2CCEBDA0"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rPr>
                <w:color w:val="auto"/>
              </w:rPr>
              <w:t>Discount required</w:t>
            </w:r>
          </w:p>
        </w:tc>
      </w:tr>
      <w:tr w:rsidR="005923AA" w:rsidRPr="005923AA" w14:paraId="3102C427" w14:textId="77777777" w:rsidTr="00DC5FC5">
        <w:trPr>
          <w:jc w:val="center"/>
        </w:trPr>
        <w:tc>
          <w:tcPr>
            <w:tcW w:w="2051" w:type="dxa"/>
          </w:tcPr>
          <w:p w14:paraId="407DEFE3" w14:textId="77777777" w:rsidR="005923AA" w:rsidRPr="005923AA" w:rsidRDefault="005923AA" w:rsidP="0014104A">
            <w:pPr>
              <w:pStyle w:val="11Bodytext"/>
              <w:keepNext/>
              <w:numPr>
                <w:ilvl w:val="0"/>
                <w:numId w:val="0"/>
              </w:numPr>
              <w:spacing w:before="0" w:after="0" w:line="300" w:lineRule="auto"/>
              <w:jc w:val="left"/>
              <w:rPr>
                <w:color w:val="auto"/>
              </w:rPr>
            </w:pPr>
            <w:r w:rsidRPr="005923AA">
              <w:rPr>
                <w:color w:val="auto"/>
              </w:rPr>
              <w:t>1-bedroom</w:t>
            </w:r>
          </w:p>
        </w:tc>
        <w:tc>
          <w:tcPr>
            <w:tcW w:w="2056" w:type="dxa"/>
          </w:tcPr>
          <w:p w14:paraId="3A68B20E"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rPr>
                <w:color w:val="auto"/>
              </w:rPr>
              <w:t>£70,300-£70,600</w:t>
            </w:r>
          </w:p>
        </w:tc>
        <w:tc>
          <w:tcPr>
            <w:tcW w:w="2053" w:type="dxa"/>
          </w:tcPr>
          <w:p w14:paraId="5D838DB7" w14:textId="77777777" w:rsidR="005923AA" w:rsidRPr="005923AA" w:rsidRDefault="005923AA" w:rsidP="0014104A">
            <w:pPr>
              <w:pStyle w:val="11Bodytext"/>
              <w:keepNext/>
              <w:numPr>
                <w:ilvl w:val="0"/>
                <w:numId w:val="0"/>
              </w:numPr>
              <w:spacing w:before="0" w:after="0" w:line="300" w:lineRule="auto"/>
              <w:jc w:val="center"/>
            </w:pPr>
            <w:r w:rsidRPr="005923AA">
              <w:t>£77,000</w:t>
            </w:r>
          </w:p>
        </w:tc>
        <w:tc>
          <w:tcPr>
            <w:tcW w:w="2039" w:type="dxa"/>
          </w:tcPr>
          <w:p w14:paraId="1AE07C06"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rPr>
                <w:color w:val="auto"/>
              </w:rPr>
              <w:t>8%-9%</w:t>
            </w:r>
          </w:p>
        </w:tc>
      </w:tr>
      <w:tr w:rsidR="005923AA" w:rsidRPr="005923AA" w14:paraId="093DF055" w14:textId="77777777" w:rsidTr="00DC5FC5">
        <w:trPr>
          <w:jc w:val="center"/>
        </w:trPr>
        <w:tc>
          <w:tcPr>
            <w:tcW w:w="2051" w:type="dxa"/>
          </w:tcPr>
          <w:p w14:paraId="522BDB11" w14:textId="77777777" w:rsidR="005923AA" w:rsidRPr="005923AA" w:rsidRDefault="005923AA" w:rsidP="0014104A">
            <w:pPr>
              <w:pStyle w:val="11Bodytext"/>
              <w:keepNext/>
              <w:numPr>
                <w:ilvl w:val="0"/>
                <w:numId w:val="0"/>
              </w:numPr>
              <w:spacing w:before="0" w:after="0" w:line="300" w:lineRule="auto"/>
              <w:jc w:val="left"/>
              <w:rPr>
                <w:color w:val="auto"/>
              </w:rPr>
            </w:pPr>
            <w:r w:rsidRPr="005923AA">
              <w:rPr>
                <w:color w:val="auto"/>
              </w:rPr>
              <w:t>2-bedrooms</w:t>
            </w:r>
          </w:p>
        </w:tc>
        <w:tc>
          <w:tcPr>
            <w:tcW w:w="2056" w:type="dxa"/>
          </w:tcPr>
          <w:p w14:paraId="777FFF47"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rPr>
                <w:color w:val="auto"/>
              </w:rPr>
              <w:t>£92,400-£103,700</w:t>
            </w:r>
          </w:p>
        </w:tc>
        <w:tc>
          <w:tcPr>
            <w:tcW w:w="2053" w:type="dxa"/>
          </w:tcPr>
          <w:p w14:paraId="04713A69"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t>£126,500</w:t>
            </w:r>
          </w:p>
        </w:tc>
        <w:tc>
          <w:tcPr>
            <w:tcW w:w="2039" w:type="dxa"/>
          </w:tcPr>
          <w:p w14:paraId="06DA8C1D"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rPr>
                <w:color w:val="auto"/>
              </w:rPr>
              <w:t>18%-27%</w:t>
            </w:r>
          </w:p>
        </w:tc>
      </w:tr>
      <w:tr w:rsidR="005923AA" w:rsidRPr="005923AA" w14:paraId="3B6EF666" w14:textId="77777777" w:rsidTr="00DC5FC5">
        <w:trPr>
          <w:jc w:val="center"/>
        </w:trPr>
        <w:tc>
          <w:tcPr>
            <w:tcW w:w="2051" w:type="dxa"/>
          </w:tcPr>
          <w:p w14:paraId="28399E69" w14:textId="77777777" w:rsidR="005923AA" w:rsidRPr="005923AA" w:rsidRDefault="005923AA" w:rsidP="0014104A">
            <w:pPr>
              <w:pStyle w:val="11Bodytext"/>
              <w:keepNext/>
              <w:numPr>
                <w:ilvl w:val="0"/>
                <w:numId w:val="0"/>
              </w:numPr>
              <w:spacing w:before="0" w:after="0" w:line="300" w:lineRule="auto"/>
              <w:jc w:val="left"/>
              <w:rPr>
                <w:color w:val="auto"/>
              </w:rPr>
            </w:pPr>
            <w:r w:rsidRPr="005923AA">
              <w:rPr>
                <w:color w:val="auto"/>
              </w:rPr>
              <w:t>3-bedrooms</w:t>
            </w:r>
          </w:p>
        </w:tc>
        <w:tc>
          <w:tcPr>
            <w:tcW w:w="2056" w:type="dxa"/>
          </w:tcPr>
          <w:p w14:paraId="457ED818"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rPr>
                <w:color w:val="auto"/>
              </w:rPr>
              <w:t>£115,600-£142,800</w:t>
            </w:r>
          </w:p>
        </w:tc>
        <w:tc>
          <w:tcPr>
            <w:tcW w:w="2053" w:type="dxa"/>
          </w:tcPr>
          <w:p w14:paraId="2E34E22B"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t>£187,000</w:t>
            </w:r>
          </w:p>
        </w:tc>
        <w:tc>
          <w:tcPr>
            <w:tcW w:w="2039" w:type="dxa"/>
          </w:tcPr>
          <w:p w14:paraId="3DD5501B"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rPr>
                <w:color w:val="auto"/>
              </w:rPr>
              <w:t>24%-38%</w:t>
            </w:r>
          </w:p>
        </w:tc>
      </w:tr>
      <w:tr w:rsidR="005923AA" w:rsidRPr="005923AA" w14:paraId="504DE4C0" w14:textId="77777777" w:rsidTr="00DC5FC5">
        <w:trPr>
          <w:jc w:val="center"/>
        </w:trPr>
        <w:tc>
          <w:tcPr>
            <w:tcW w:w="2051" w:type="dxa"/>
          </w:tcPr>
          <w:p w14:paraId="2AEF71AF" w14:textId="77777777" w:rsidR="005923AA" w:rsidRPr="005923AA" w:rsidRDefault="005923AA" w:rsidP="0014104A">
            <w:pPr>
              <w:pStyle w:val="11Bodytext"/>
              <w:keepNext/>
              <w:numPr>
                <w:ilvl w:val="0"/>
                <w:numId w:val="0"/>
              </w:numPr>
              <w:spacing w:before="0" w:after="0" w:line="300" w:lineRule="auto"/>
              <w:jc w:val="left"/>
              <w:rPr>
                <w:color w:val="auto"/>
              </w:rPr>
            </w:pPr>
            <w:r w:rsidRPr="005923AA">
              <w:rPr>
                <w:color w:val="auto"/>
              </w:rPr>
              <w:t>4+-bedrooms</w:t>
            </w:r>
          </w:p>
        </w:tc>
        <w:tc>
          <w:tcPr>
            <w:tcW w:w="2056" w:type="dxa"/>
          </w:tcPr>
          <w:p w14:paraId="3EE91D1E"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rPr>
                <w:color w:val="auto"/>
              </w:rPr>
              <w:t>£142,200-£208,600</w:t>
            </w:r>
          </w:p>
        </w:tc>
        <w:tc>
          <w:tcPr>
            <w:tcW w:w="2053" w:type="dxa"/>
          </w:tcPr>
          <w:p w14:paraId="100ED9E0"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t>£302,500</w:t>
            </w:r>
          </w:p>
        </w:tc>
        <w:tc>
          <w:tcPr>
            <w:tcW w:w="2039" w:type="dxa"/>
          </w:tcPr>
          <w:p w14:paraId="24C90EEA" w14:textId="77777777" w:rsidR="005923AA" w:rsidRPr="005923AA" w:rsidRDefault="005923AA" w:rsidP="0014104A">
            <w:pPr>
              <w:pStyle w:val="11Bodytext"/>
              <w:keepNext/>
              <w:numPr>
                <w:ilvl w:val="0"/>
                <w:numId w:val="0"/>
              </w:numPr>
              <w:spacing w:before="0" w:after="0" w:line="300" w:lineRule="auto"/>
              <w:jc w:val="center"/>
              <w:rPr>
                <w:color w:val="auto"/>
              </w:rPr>
            </w:pPr>
            <w:r w:rsidRPr="005923AA">
              <w:rPr>
                <w:color w:val="auto"/>
              </w:rPr>
              <w:t>31%-53%</w:t>
            </w:r>
          </w:p>
        </w:tc>
      </w:tr>
    </w:tbl>
    <w:p w14:paraId="574D6700" w14:textId="28BFE5F2" w:rsidR="005923AA" w:rsidRDefault="005923AA" w:rsidP="0014104A">
      <w:pPr>
        <w:pStyle w:val="11Bodytext"/>
        <w:numPr>
          <w:ilvl w:val="0"/>
          <w:numId w:val="0"/>
        </w:numPr>
        <w:spacing w:before="0" w:after="0" w:line="300" w:lineRule="auto"/>
        <w:jc w:val="center"/>
      </w:pPr>
      <w:r w:rsidRPr="005923AA">
        <w:t>Source: Derived from a range of sources as described</w:t>
      </w:r>
    </w:p>
    <w:p w14:paraId="2B3EAB07" w14:textId="2CD245F8" w:rsidR="00DC5FC5" w:rsidRDefault="00DC5FC5" w:rsidP="0033047F">
      <w:pPr>
        <w:pStyle w:val="11Bodytext"/>
        <w:numPr>
          <w:ilvl w:val="0"/>
          <w:numId w:val="0"/>
        </w:numPr>
        <w:spacing w:before="0" w:after="0" w:line="300" w:lineRule="auto"/>
      </w:pPr>
    </w:p>
    <w:bookmarkEnd w:id="41"/>
    <w:p w14:paraId="4F754F41" w14:textId="37F90789" w:rsidR="005923AA" w:rsidRPr="00DC5FC5" w:rsidRDefault="005923AA">
      <w:pPr>
        <w:pStyle w:val="11Bodytext"/>
        <w:numPr>
          <w:ilvl w:val="1"/>
          <w:numId w:val="37"/>
        </w:numPr>
        <w:spacing w:before="0" w:after="0" w:line="300" w:lineRule="auto"/>
        <w:ind w:left="720" w:hanging="720"/>
        <w:rPr>
          <w:color w:val="auto"/>
        </w:rPr>
      </w:pPr>
      <w:r w:rsidRPr="00DC5FC5">
        <w:t>It should also be noted that the analysis above is for the whole of the local authority area; the pricing of housing does vary across the Borough and therefore adjustments to the figures might be appropriate in some instances. That said, affordable needs can be met anywhere in the authority (where opportunities arise) and so using an expectation of an authority-wide affordability calculation should ensure affordable products on sites regardless of location.</w:t>
      </w:r>
    </w:p>
    <w:p w14:paraId="5B0124EC" w14:textId="15CD2127" w:rsidR="003367CD" w:rsidRDefault="003367CD">
      <w:pPr>
        <w:pStyle w:val="11Bodytext"/>
        <w:numPr>
          <w:ilvl w:val="0"/>
          <w:numId w:val="0"/>
        </w:numPr>
        <w:tabs>
          <w:tab w:val="num" w:pos="0"/>
        </w:tabs>
        <w:spacing w:before="0" w:after="0" w:line="300" w:lineRule="auto"/>
      </w:pPr>
    </w:p>
    <w:p w14:paraId="797D8E8F" w14:textId="77777777" w:rsidR="003367CD" w:rsidRDefault="003367CD" w:rsidP="00172F56">
      <w:pPr>
        <w:pStyle w:val="11Bodytext"/>
        <w:numPr>
          <w:ilvl w:val="0"/>
          <w:numId w:val="0"/>
        </w:numPr>
        <w:tabs>
          <w:tab w:val="num" w:pos="0"/>
        </w:tabs>
        <w:spacing w:before="0" w:after="0" w:line="300" w:lineRule="auto"/>
      </w:pPr>
    </w:p>
    <w:p w14:paraId="073A142B" w14:textId="77777777" w:rsidR="00620FE9" w:rsidRDefault="00620FE9" w:rsidP="00172F56">
      <w:pPr>
        <w:pStyle w:val="11Bodytext"/>
        <w:numPr>
          <w:ilvl w:val="0"/>
          <w:numId w:val="0"/>
        </w:numPr>
        <w:tabs>
          <w:tab w:val="num" w:pos="0"/>
        </w:tabs>
        <w:spacing w:before="0" w:after="0" w:line="300" w:lineRule="auto"/>
      </w:pPr>
    </w:p>
    <w:p w14:paraId="75758FD5" w14:textId="01BBB924" w:rsidR="00AF46A0" w:rsidRPr="00D20EF1" w:rsidRDefault="00AF46A0" w:rsidP="00172F56">
      <w:pPr>
        <w:pStyle w:val="11Bodytext"/>
        <w:numPr>
          <w:ilvl w:val="0"/>
          <w:numId w:val="0"/>
        </w:numPr>
        <w:tabs>
          <w:tab w:val="num" w:pos="0"/>
        </w:tabs>
        <w:spacing w:before="0" w:after="0" w:line="300" w:lineRule="auto"/>
        <w:rPr>
          <w:b/>
          <w:bCs w:val="0"/>
          <w:color w:val="auto"/>
        </w:rPr>
      </w:pPr>
      <w:r>
        <w:rPr>
          <w:b/>
          <w:bCs w:val="0"/>
          <w:color w:val="auto"/>
        </w:rPr>
        <w:t>Survey Data on Affordability</w:t>
      </w:r>
    </w:p>
    <w:p w14:paraId="3A1BD54A" w14:textId="77777777" w:rsidR="00AF46A0" w:rsidRPr="00D20EF1" w:rsidRDefault="00AF46A0" w:rsidP="00172F56">
      <w:pPr>
        <w:pStyle w:val="11Bodytext"/>
        <w:numPr>
          <w:ilvl w:val="0"/>
          <w:numId w:val="0"/>
        </w:numPr>
        <w:spacing w:before="0" w:after="0" w:line="300" w:lineRule="auto"/>
        <w:rPr>
          <w:color w:val="auto"/>
        </w:rPr>
      </w:pPr>
    </w:p>
    <w:p w14:paraId="58D25BE9" w14:textId="22DD424E" w:rsidR="00AF46A0" w:rsidRPr="00AF46A0" w:rsidRDefault="00AF46A0">
      <w:pPr>
        <w:pStyle w:val="11Bodytext"/>
        <w:numPr>
          <w:ilvl w:val="1"/>
          <w:numId w:val="37"/>
        </w:numPr>
        <w:tabs>
          <w:tab w:val="num" w:pos="0"/>
        </w:tabs>
        <w:spacing w:before="0" w:after="0" w:line="300" w:lineRule="auto"/>
        <w:ind w:left="720" w:hanging="720"/>
        <w:rPr>
          <w:color w:val="auto"/>
        </w:rPr>
      </w:pPr>
      <w:r>
        <w:t xml:space="preserve">In assessing the need for affordable home ownership, analysis was carried out to look at </w:t>
      </w:r>
      <w:r w:rsidR="00432414">
        <w:t>households</w:t>
      </w:r>
      <w:r>
        <w:t xml:space="preserve"> unable to buy a home but who are able to afford to rent. These households will typically have ‘middle’ incomes and are likely to be the target for affordable home ownership. Analysis did however show that many of these </w:t>
      </w:r>
      <w:r w:rsidR="00432414">
        <w:t>households</w:t>
      </w:r>
      <w:r>
        <w:t xml:space="preserve"> may struggle to buy due to low finances for a deposit and/or levels of debt which could be a barrier.</w:t>
      </w:r>
    </w:p>
    <w:p w14:paraId="74A9A37C" w14:textId="77777777" w:rsidR="00AF46A0" w:rsidRPr="00AF46A0" w:rsidRDefault="00AF46A0" w:rsidP="00172F56">
      <w:pPr>
        <w:pStyle w:val="11Bodytext"/>
        <w:numPr>
          <w:ilvl w:val="0"/>
          <w:numId w:val="0"/>
        </w:numPr>
        <w:spacing w:before="0" w:after="0" w:line="300" w:lineRule="auto"/>
        <w:rPr>
          <w:color w:val="auto"/>
        </w:rPr>
      </w:pPr>
    </w:p>
    <w:p w14:paraId="7090C099" w14:textId="764648B4" w:rsidR="00AF46A0" w:rsidRDefault="00AF46A0">
      <w:pPr>
        <w:pStyle w:val="11Bodytext"/>
        <w:numPr>
          <w:ilvl w:val="1"/>
          <w:numId w:val="37"/>
        </w:numPr>
        <w:spacing w:before="0" w:after="0" w:line="300" w:lineRule="auto"/>
        <w:ind w:left="720" w:hanging="720"/>
        <w:rPr>
          <w:color w:val="auto"/>
        </w:rPr>
      </w:pPr>
      <w:r>
        <w:rPr>
          <w:color w:val="auto"/>
        </w:rPr>
        <w:t>From the survey data it is however possible to look at the range of house prices that might be affordable to this group</w:t>
      </w:r>
      <w:r w:rsidR="004B564A">
        <w:rPr>
          <w:color w:val="auto"/>
        </w:rPr>
        <w:t xml:space="preserve"> </w:t>
      </w:r>
      <w:r w:rsidR="004B564A" w:rsidRPr="65A3F470">
        <w:rPr>
          <w:color w:val="auto"/>
        </w:rPr>
        <w:t>and</w:t>
      </w:r>
      <w:r w:rsidR="004B564A">
        <w:rPr>
          <w:color w:val="auto"/>
        </w:rPr>
        <w:t xml:space="preserve"> in interpreting this data it should be remembered that a house price of £155,000 was assumed as the Borough-wide level to access the </w:t>
      </w:r>
      <w:r w:rsidR="004B564A" w:rsidRPr="31A1F2C6">
        <w:rPr>
          <w:color w:val="auto"/>
        </w:rPr>
        <w:t>market</w:t>
      </w:r>
      <w:r w:rsidR="004B564A">
        <w:rPr>
          <w:color w:val="auto"/>
        </w:rPr>
        <w:t>, whilst analysis above puts a figure of around £90,000-£105,000 as the figure to buy a 2-bedroom home.</w:t>
      </w:r>
    </w:p>
    <w:p w14:paraId="23D975C0" w14:textId="77777777" w:rsidR="00DB60AA" w:rsidRDefault="00DB60AA" w:rsidP="00172F56">
      <w:pPr>
        <w:pStyle w:val="11Bodytext"/>
        <w:numPr>
          <w:ilvl w:val="0"/>
          <w:numId w:val="0"/>
        </w:numPr>
        <w:spacing w:before="0" w:after="0" w:line="300" w:lineRule="auto"/>
        <w:rPr>
          <w:color w:val="auto"/>
        </w:rPr>
      </w:pPr>
    </w:p>
    <w:p w14:paraId="663C90CA" w14:textId="6B9D76BF" w:rsidR="00695920" w:rsidRDefault="00DB60AA">
      <w:pPr>
        <w:pStyle w:val="11Bodytext"/>
        <w:numPr>
          <w:ilvl w:val="1"/>
          <w:numId w:val="37"/>
        </w:numPr>
        <w:spacing w:before="0" w:after="0" w:line="300" w:lineRule="auto"/>
        <w:ind w:left="720" w:hanging="720"/>
        <w:rPr>
          <w:color w:val="auto"/>
        </w:rPr>
      </w:pPr>
      <w:r>
        <w:rPr>
          <w:color w:val="auto"/>
        </w:rPr>
        <w:t xml:space="preserve">The analysis shows that a notable proportion of households have </w:t>
      </w:r>
      <w:r w:rsidR="00432414">
        <w:rPr>
          <w:color w:val="auto"/>
        </w:rPr>
        <w:t>incomes</w:t>
      </w:r>
      <w:r>
        <w:rPr>
          <w:color w:val="auto"/>
        </w:rPr>
        <w:t xml:space="preserve"> that are unlikely to allow them to afford </w:t>
      </w:r>
      <w:r w:rsidR="00695920">
        <w:rPr>
          <w:color w:val="auto"/>
        </w:rPr>
        <w:t xml:space="preserve">even a 2-bedroom home at the price suggested by </w:t>
      </w:r>
      <w:r w:rsidR="00432414">
        <w:rPr>
          <w:color w:val="auto"/>
        </w:rPr>
        <w:t>analysis</w:t>
      </w:r>
      <w:r w:rsidR="00695920">
        <w:rPr>
          <w:color w:val="auto"/>
        </w:rPr>
        <w:t xml:space="preserve">, with a total of 39% of </w:t>
      </w:r>
      <w:r w:rsidR="00432414">
        <w:rPr>
          <w:color w:val="auto"/>
        </w:rPr>
        <w:t>households</w:t>
      </w:r>
      <w:r w:rsidR="00695920">
        <w:rPr>
          <w:color w:val="auto"/>
        </w:rPr>
        <w:t xml:space="preserve"> able to rent but not buy only being able to afford up to £90,000. This </w:t>
      </w:r>
      <w:r w:rsidR="00432414">
        <w:rPr>
          <w:color w:val="auto"/>
        </w:rPr>
        <w:t>analysis</w:t>
      </w:r>
      <w:r w:rsidR="00695920">
        <w:rPr>
          <w:color w:val="auto"/>
        </w:rPr>
        <w:t xml:space="preserve"> points to </w:t>
      </w:r>
      <w:r w:rsidR="0094079E">
        <w:rPr>
          <w:color w:val="auto"/>
        </w:rPr>
        <w:t>discount market sale/First Homes</w:t>
      </w:r>
      <w:r w:rsidR="00695920">
        <w:rPr>
          <w:color w:val="auto"/>
        </w:rPr>
        <w:t xml:space="preserve"> as likely to only be a reasonable solution for a fraction of </w:t>
      </w:r>
      <w:r w:rsidR="00432414">
        <w:rPr>
          <w:color w:val="auto"/>
        </w:rPr>
        <w:t>households</w:t>
      </w:r>
      <w:r w:rsidR="00695920">
        <w:rPr>
          <w:color w:val="auto"/>
        </w:rPr>
        <w:t xml:space="preserve"> in the rent/buy gap, although other forms of </w:t>
      </w:r>
      <w:r w:rsidR="00695920" w:rsidRPr="45341EC0">
        <w:rPr>
          <w:color w:val="auto"/>
        </w:rPr>
        <w:t xml:space="preserve">affordable </w:t>
      </w:r>
      <w:r w:rsidR="00695920">
        <w:rPr>
          <w:color w:val="auto"/>
        </w:rPr>
        <w:t xml:space="preserve">home ownership </w:t>
      </w:r>
      <w:r w:rsidR="00695920" w:rsidRPr="45341EC0">
        <w:rPr>
          <w:color w:val="auto"/>
        </w:rPr>
        <w:t xml:space="preserve">products </w:t>
      </w:r>
      <w:r w:rsidR="00695920">
        <w:rPr>
          <w:color w:val="auto"/>
        </w:rPr>
        <w:t>(such as shared ownership</w:t>
      </w:r>
      <w:r w:rsidR="00695920" w:rsidRPr="45341EC0">
        <w:rPr>
          <w:color w:val="auto"/>
        </w:rPr>
        <w:t>)</w:t>
      </w:r>
      <w:r w:rsidR="00695920">
        <w:rPr>
          <w:color w:val="auto"/>
        </w:rPr>
        <w:t xml:space="preserve"> may be more suitable. </w:t>
      </w:r>
    </w:p>
    <w:p w14:paraId="0C718D93" w14:textId="77777777" w:rsidR="00695920" w:rsidRDefault="00695920" w:rsidP="00172F56">
      <w:pPr>
        <w:pStyle w:val="11Bodytext"/>
        <w:numPr>
          <w:ilvl w:val="0"/>
          <w:numId w:val="0"/>
        </w:numPr>
        <w:spacing w:before="0" w:after="0" w:line="300" w:lineRule="auto"/>
        <w:rPr>
          <w:color w:val="auto"/>
        </w:rPr>
      </w:pPr>
    </w:p>
    <w:p w14:paraId="362F979C" w14:textId="12E180AA" w:rsidR="00DB60AA" w:rsidRPr="00D20EF1" w:rsidRDefault="00695920">
      <w:pPr>
        <w:pStyle w:val="11Bodytext"/>
        <w:numPr>
          <w:ilvl w:val="1"/>
          <w:numId w:val="37"/>
        </w:numPr>
        <w:spacing w:before="0" w:after="0" w:line="300" w:lineRule="auto"/>
        <w:ind w:left="720" w:hanging="720"/>
        <w:rPr>
          <w:color w:val="auto"/>
        </w:rPr>
      </w:pPr>
      <w:r>
        <w:rPr>
          <w:color w:val="auto"/>
        </w:rPr>
        <w:t>From the table below it should also be noted there are a small number of households able to afford in</w:t>
      </w:r>
      <w:r w:rsidR="00544D6E">
        <w:rPr>
          <w:color w:val="auto"/>
        </w:rPr>
        <w:t xml:space="preserve"> </w:t>
      </w:r>
      <w:r>
        <w:rPr>
          <w:color w:val="auto"/>
        </w:rPr>
        <w:t>excess of £155,000 (which was the Borough wide lower quartile price used for affordability analysis). A higher figure arises as the analysis was carried out on a sub-area basis, with the lower quartile price in many locations being above the £155,000 figure.</w:t>
      </w:r>
    </w:p>
    <w:p w14:paraId="191CE64B" w14:textId="77777777" w:rsidR="00AF46A0" w:rsidRPr="00D20EF1" w:rsidRDefault="00AF46A0" w:rsidP="00172F56">
      <w:pPr>
        <w:pStyle w:val="11Bodytext"/>
        <w:numPr>
          <w:ilvl w:val="0"/>
          <w:numId w:val="0"/>
        </w:numPr>
        <w:spacing w:before="0" w:after="0" w:line="300" w:lineRule="auto"/>
        <w:rPr>
          <w:color w:val="auto"/>
        </w:rPr>
      </w:pPr>
    </w:p>
    <w:tbl>
      <w:tblPr>
        <w:tblStyle w:val="TableTheme"/>
        <w:tblW w:w="8199" w:type="dxa"/>
        <w:jc w:val="center"/>
        <w:tblLook w:val="04A0" w:firstRow="1" w:lastRow="0" w:firstColumn="1" w:lastColumn="0" w:noHBand="0" w:noVBand="1"/>
      </w:tblPr>
      <w:tblGrid>
        <w:gridCol w:w="8199"/>
      </w:tblGrid>
      <w:tr w:rsidR="00DB60AA" w:rsidRPr="00DB60AA" w14:paraId="45A4F440" w14:textId="77777777" w:rsidTr="00DB60AA">
        <w:trPr>
          <w:jc w:val="center"/>
        </w:trPr>
        <w:tc>
          <w:tcPr>
            <w:tcW w:w="9628" w:type="dxa"/>
          </w:tcPr>
          <w:p w14:paraId="0361451C" w14:textId="7011C49C" w:rsidR="00DB60AA" w:rsidRPr="00DB60AA" w:rsidRDefault="00DB60AA" w:rsidP="0014104A">
            <w:pPr>
              <w:pStyle w:val="11Bodytext"/>
              <w:keepNext/>
              <w:numPr>
                <w:ilvl w:val="1"/>
                <w:numId w:val="0"/>
              </w:numPr>
              <w:spacing w:before="60" w:after="60" w:line="300" w:lineRule="auto"/>
              <w:jc w:val="center"/>
              <w:rPr>
                <w:b/>
                <w:bCs w:val="0"/>
              </w:rPr>
            </w:pPr>
            <w:bookmarkStart w:id="42" w:name="_Hlk106890625"/>
            <w:r w:rsidRPr="00DB60AA">
              <w:rPr>
                <w:b/>
                <w:bCs w:val="0"/>
              </w:rPr>
              <w:t>Figure 4.</w:t>
            </w:r>
            <w:r w:rsidR="00DF6242">
              <w:rPr>
                <w:b/>
                <w:bCs w:val="0"/>
              </w:rPr>
              <w:t>6</w:t>
            </w:r>
            <w:r w:rsidRPr="00DB60AA">
              <w:rPr>
                <w:b/>
                <w:bCs w:val="0"/>
              </w:rPr>
              <w:t>: House price affordable to those able to rent but not buy</w:t>
            </w:r>
          </w:p>
        </w:tc>
      </w:tr>
      <w:tr w:rsidR="00DB60AA" w14:paraId="497F86B5" w14:textId="77777777" w:rsidTr="00DB60AA">
        <w:trPr>
          <w:jc w:val="center"/>
        </w:trPr>
        <w:tc>
          <w:tcPr>
            <w:tcW w:w="9628" w:type="dxa"/>
          </w:tcPr>
          <w:p w14:paraId="643B141D" w14:textId="41DA32F5" w:rsidR="00DB60AA" w:rsidRDefault="00DB60AA" w:rsidP="00172F56">
            <w:pPr>
              <w:pStyle w:val="11Bodytext"/>
              <w:keepNext/>
              <w:numPr>
                <w:ilvl w:val="0"/>
                <w:numId w:val="0"/>
              </w:numPr>
              <w:tabs>
                <w:tab w:val="num" w:pos="0"/>
              </w:tabs>
              <w:spacing w:before="0" w:after="0" w:line="300" w:lineRule="auto"/>
              <w:jc w:val="center"/>
            </w:pPr>
            <w:r>
              <w:rPr>
                <w:noProof/>
              </w:rPr>
              <w:drawing>
                <wp:inline distT="0" distB="0" distL="0" distR="0" wp14:anchorId="6AE1C75B" wp14:editId="70F59B5F">
                  <wp:extent cx="5040000" cy="2880000"/>
                  <wp:effectExtent l="0" t="0" r="8255"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33EE9723" w14:textId="67585989" w:rsidR="00DC5FC5" w:rsidRDefault="00AB789F" w:rsidP="0014104A">
      <w:pPr>
        <w:pStyle w:val="11Bodytext"/>
        <w:numPr>
          <w:ilvl w:val="0"/>
          <w:numId w:val="0"/>
        </w:numPr>
        <w:tabs>
          <w:tab w:val="num" w:pos="0"/>
        </w:tabs>
        <w:spacing w:before="0" w:after="0" w:line="300" w:lineRule="auto"/>
        <w:jc w:val="center"/>
      </w:pPr>
      <w:r>
        <w:t>Source: Household survey</w:t>
      </w:r>
    </w:p>
    <w:bookmarkEnd w:id="42"/>
    <w:p w14:paraId="6C76BAC3" w14:textId="3E47B024" w:rsidR="003367CD" w:rsidRDefault="003367CD">
      <w:pPr>
        <w:pStyle w:val="11Bodytext"/>
        <w:numPr>
          <w:ilvl w:val="0"/>
          <w:numId w:val="0"/>
        </w:numPr>
        <w:tabs>
          <w:tab w:val="num" w:pos="0"/>
        </w:tabs>
        <w:spacing w:before="0" w:after="0" w:line="300" w:lineRule="auto"/>
        <w:rPr>
          <w:color w:val="auto"/>
        </w:rPr>
      </w:pPr>
    </w:p>
    <w:p w14:paraId="5F3D32BD" w14:textId="4C798D0E" w:rsidR="003367CD" w:rsidRDefault="003367CD">
      <w:pPr>
        <w:pStyle w:val="11Bodytext"/>
        <w:numPr>
          <w:ilvl w:val="0"/>
          <w:numId w:val="0"/>
        </w:numPr>
        <w:tabs>
          <w:tab w:val="num" w:pos="0"/>
        </w:tabs>
        <w:spacing w:before="0" w:after="0" w:line="300" w:lineRule="auto"/>
        <w:rPr>
          <w:color w:val="auto"/>
        </w:rPr>
      </w:pPr>
    </w:p>
    <w:p w14:paraId="6E253D02" w14:textId="77777777" w:rsidR="003367CD" w:rsidRDefault="003367CD" w:rsidP="00172F56">
      <w:pPr>
        <w:pStyle w:val="11Bodytext"/>
        <w:numPr>
          <w:ilvl w:val="0"/>
          <w:numId w:val="0"/>
        </w:numPr>
        <w:tabs>
          <w:tab w:val="num" w:pos="0"/>
        </w:tabs>
        <w:spacing w:before="0" w:after="0" w:line="300" w:lineRule="auto"/>
        <w:rPr>
          <w:color w:val="auto"/>
        </w:rPr>
      </w:pPr>
    </w:p>
    <w:p w14:paraId="4352E0AB" w14:textId="77777777" w:rsidR="00620FE9" w:rsidRDefault="00620FE9" w:rsidP="00172F56">
      <w:pPr>
        <w:pStyle w:val="11Bodytext"/>
        <w:numPr>
          <w:ilvl w:val="0"/>
          <w:numId w:val="0"/>
        </w:numPr>
        <w:tabs>
          <w:tab w:val="num" w:pos="0"/>
        </w:tabs>
        <w:spacing w:before="0" w:after="0" w:line="300" w:lineRule="auto"/>
        <w:rPr>
          <w:color w:val="auto"/>
        </w:rPr>
      </w:pPr>
    </w:p>
    <w:p w14:paraId="58FBF818" w14:textId="729C63D1" w:rsidR="00695920" w:rsidRPr="00D20EF1" w:rsidRDefault="008679D9" w:rsidP="00172F56">
      <w:pPr>
        <w:pStyle w:val="11Bodytext"/>
        <w:numPr>
          <w:ilvl w:val="1"/>
          <w:numId w:val="0"/>
        </w:numPr>
        <w:spacing w:before="0" w:after="0" w:line="300" w:lineRule="auto"/>
        <w:rPr>
          <w:b/>
          <w:bCs w:val="0"/>
          <w:color w:val="auto"/>
        </w:rPr>
      </w:pPr>
      <w:r>
        <w:rPr>
          <w:b/>
          <w:bCs w:val="0"/>
          <w:color w:val="auto"/>
        </w:rPr>
        <w:t xml:space="preserve">Key Points in Relation to </w:t>
      </w:r>
      <w:r w:rsidRPr="1BA939BB">
        <w:rPr>
          <w:b/>
          <w:color w:val="auto"/>
        </w:rPr>
        <w:t>Discounted Market Sales Housing</w:t>
      </w:r>
    </w:p>
    <w:p w14:paraId="55698862" w14:textId="77777777" w:rsidR="00695920" w:rsidRPr="00D20EF1" w:rsidRDefault="00695920" w:rsidP="00172F56">
      <w:pPr>
        <w:pStyle w:val="11Bodytext"/>
        <w:numPr>
          <w:ilvl w:val="0"/>
          <w:numId w:val="0"/>
        </w:numPr>
        <w:spacing w:before="0" w:after="0" w:line="300" w:lineRule="auto"/>
        <w:rPr>
          <w:color w:val="auto"/>
        </w:rPr>
      </w:pPr>
    </w:p>
    <w:p w14:paraId="3C5ED37C" w14:textId="07C50ACD" w:rsidR="005923AA" w:rsidRPr="008679D9" w:rsidRDefault="005923AA">
      <w:pPr>
        <w:pStyle w:val="11Bodytext"/>
        <w:numPr>
          <w:ilvl w:val="1"/>
          <w:numId w:val="37"/>
        </w:numPr>
        <w:spacing w:before="0" w:after="0" w:line="300" w:lineRule="auto"/>
        <w:ind w:left="720" w:hanging="720"/>
        <w:rPr>
          <w:color w:val="auto"/>
        </w:rPr>
      </w:pPr>
      <w:r w:rsidRPr="008679D9">
        <w:t xml:space="preserve">The paragraphs below seek to answer a series of questions in relation to </w:t>
      </w:r>
      <w:r w:rsidR="0094079E">
        <w:t xml:space="preserve">Discounted Market Housing (although they would also apply to </w:t>
      </w:r>
      <w:r w:rsidRPr="008679D9">
        <w:t>First Homes</w:t>
      </w:r>
      <w:r w:rsidR="0094079E">
        <w:t>)</w:t>
      </w:r>
      <w:r w:rsidRPr="008679D9">
        <w:t xml:space="preserve">. This should help the Council in deciding the appropriate approach, although ultimately there will be choices and decision to be made by the Council that this report can only comment on. Whilst the analysis above has focussed on pricing, the discussion below also draws on this </w:t>
      </w:r>
      <w:r>
        <w:t>information</w:t>
      </w:r>
      <w:r w:rsidRPr="008679D9">
        <w:t xml:space="preserve"> to consider whether there are any specific local criteria that could be applied.</w:t>
      </w:r>
    </w:p>
    <w:p w14:paraId="2E7BE602" w14:textId="77777777" w:rsidR="008679D9" w:rsidRPr="008679D9" w:rsidRDefault="008679D9" w:rsidP="00172F56">
      <w:pPr>
        <w:pStyle w:val="11Bodytext"/>
        <w:numPr>
          <w:ilvl w:val="0"/>
          <w:numId w:val="0"/>
        </w:numPr>
        <w:spacing w:before="0" w:after="0" w:line="300" w:lineRule="auto"/>
        <w:rPr>
          <w:color w:val="auto"/>
        </w:rPr>
      </w:pPr>
    </w:p>
    <w:p w14:paraId="1CE417FD" w14:textId="4007123E" w:rsidR="005923AA" w:rsidRPr="008679D9" w:rsidRDefault="005923AA">
      <w:pPr>
        <w:pStyle w:val="11Bodytext"/>
        <w:numPr>
          <w:ilvl w:val="0"/>
          <w:numId w:val="39"/>
        </w:numPr>
        <w:spacing w:before="0" w:after="0" w:line="300" w:lineRule="auto"/>
        <w:rPr>
          <w:color w:val="auto"/>
        </w:rPr>
      </w:pPr>
      <w:r w:rsidRPr="005923AA">
        <w:rPr>
          <w:i/>
          <w:iCs/>
        </w:rPr>
        <w:t>Is there a justification for a discount of greater than 30%, if so, what should it be and should the discount be variable depending upon property size?</w:t>
      </w:r>
    </w:p>
    <w:p w14:paraId="7FA45CA2" w14:textId="77777777" w:rsidR="008679D9" w:rsidRPr="00D20EF1" w:rsidRDefault="008679D9" w:rsidP="00172F56">
      <w:pPr>
        <w:pStyle w:val="11Bodytext"/>
        <w:numPr>
          <w:ilvl w:val="0"/>
          <w:numId w:val="0"/>
        </w:numPr>
        <w:spacing w:before="0" w:after="0" w:line="300" w:lineRule="auto"/>
        <w:rPr>
          <w:color w:val="auto"/>
        </w:rPr>
      </w:pPr>
    </w:p>
    <w:p w14:paraId="7578F383" w14:textId="5BC5797E" w:rsidR="005923AA" w:rsidRPr="008679D9" w:rsidRDefault="005923AA">
      <w:pPr>
        <w:pStyle w:val="11Bodytext"/>
        <w:numPr>
          <w:ilvl w:val="1"/>
          <w:numId w:val="37"/>
        </w:numPr>
        <w:spacing w:before="0" w:after="0" w:line="300" w:lineRule="auto"/>
        <w:ind w:left="720" w:hanging="720"/>
        <w:rPr>
          <w:color w:val="auto"/>
        </w:rPr>
      </w:pPr>
      <w:r w:rsidRPr="008679D9">
        <w:t xml:space="preserve">There is certainly a case to seek a discount in excess of 30% - a higher discount will make homes cheaper and therefore potentially open up additional households </w:t>
      </w:r>
      <w:r>
        <w:t>to</w:t>
      </w:r>
      <w:r w:rsidRPr="008679D9">
        <w:t xml:space="preserve"> being able to afford. However, providing a higher discount may well have an impact on viability, meaning the Council will not be able to provide as many homes in other tenures (such as </w:t>
      </w:r>
      <w:r w:rsidR="0094079E">
        <w:t xml:space="preserve">social/affordable </w:t>
      </w:r>
      <w:r w:rsidRPr="008679D9">
        <w:t>rented housing which is likely to be needed by those with more acute needs and fewer choices in the housing market).</w:t>
      </w:r>
    </w:p>
    <w:p w14:paraId="3CF0B5BE" w14:textId="77777777" w:rsidR="008679D9" w:rsidRPr="008679D9" w:rsidRDefault="008679D9" w:rsidP="00172F56">
      <w:pPr>
        <w:pStyle w:val="11Bodytext"/>
        <w:numPr>
          <w:ilvl w:val="0"/>
          <w:numId w:val="0"/>
        </w:numPr>
        <w:spacing w:before="0" w:after="0" w:line="300" w:lineRule="auto"/>
        <w:rPr>
          <w:color w:val="auto"/>
        </w:rPr>
      </w:pPr>
    </w:p>
    <w:p w14:paraId="3C22E80B" w14:textId="496C944A" w:rsidR="005923AA" w:rsidRPr="008679D9" w:rsidRDefault="005923AA">
      <w:pPr>
        <w:pStyle w:val="11Bodytext"/>
        <w:numPr>
          <w:ilvl w:val="1"/>
          <w:numId w:val="37"/>
        </w:numPr>
        <w:tabs>
          <w:tab w:val="num" w:pos="0"/>
        </w:tabs>
        <w:spacing w:before="0" w:after="0" w:line="300" w:lineRule="auto"/>
        <w:ind w:left="720" w:hanging="720"/>
        <w:rPr>
          <w:color w:val="auto"/>
        </w:rPr>
      </w:pPr>
      <w:r w:rsidRPr="008679D9">
        <w:t>The Council could therefore investigate higher discounts (with 40% being suggested by the analysis if homes of 3+-bedrooms are likely to be delivered), but it is not recommended to seek a higher figure unless this can be proven to not impact on overall affordable delivery.</w:t>
      </w:r>
    </w:p>
    <w:p w14:paraId="6581A68F" w14:textId="77777777" w:rsidR="008679D9" w:rsidRPr="008679D9" w:rsidRDefault="008679D9" w:rsidP="00172F56">
      <w:pPr>
        <w:pStyle w:val="11Bodytext"/>
        <w:numPr>
          <w:ilvl w:val="0"/>
          <w:numId w:val="0"/>
        </w:numPr>
        <w:spacing w:before="0" w:after="0" w:line="300" w:lineRule="auto"/>
        <w:rPr>
          <w:color w:val="auto"/>
        </w:rPr>
      </w:pPr>
    </w:p>
    <w:p w14:paraId="222CC6CA" w14:textId="5ED3BC03" w:rsidR="005923AA" w:rsidRPr="008679D9" w:rsidRDefault="005923AA">
      <w:pPr>
        <w:pStyle w:val="11Bodytext"/>
        <w:numPr>
          <w:ilvl w:val="1"/>
          <w:numId w:val="37"/>
        </w:numPr>
        <w:tabs>
          <w:tab w:val="num" w:pos="0"/>
        </w:tabs>
        <w:spacing w:before="0" w:after="0" w:line="300" w:lineRule="auto"/>
        <w:ind w:left="720" w:hanging="720"/>
        <w:rPr>
          <w:color w:val="auto"/>
        </w:rPr>
      </w:pPr>
      <w:r w:rsidRPr="008679D9">
        <w:t>Although not specifically set out in the PPG, it does seem likely that the Council would need to have a single discount for all dwelling sizes and in any case, for Fylde, there is no strong argument that different sizes of homes will have such different pricing/affordability that different discounts would be appropriate anyway.</w:t>
      </w:r>
      <w:r w:rsidR="0094079E">
        <w:t xml:space="preserve"> There is however potentially a case for different discounts in different locations given variations in the pricing of accommodation – this would be allowed under transitional arrangements and would need to be assessed on a site-by-site basis.</w:t>
      </w:r>
    </w:p>
    <w:p w14:paraId="17F0631C" w14:textId="77777777" w:rsidR="008679D9" w:rsidRPr="008679D9" w:rsidRDefault="008679D9" w:rsidP="00172F56">
      <w:pPr>
        <w:pStyle w:val="11Bodytext"/>
        <w:numPr>
          <w:ilvl w:val="0"/>
          <w:numId w:val="0"/>
        </w:numPr>
        <w:tabs>
          <w:tab w:val="num" w:pos="0"/>
        </w:tabs>
        <w:spacing w:before="0" w:after="0" w:line="300" w:lineRule="auto"/>
        <w:rPr>
          <w:color w:val="auto"/>
        </w:rPr>
      </w:pPr>
    </w:p>
    <w:p w14:paraId="2AD2F03A" w14:textId="77777777" w:rsidR="005923AA" w:rsidRPr="005923AA" w:rsidRDefault="005923AA">
      <w:pPr>
        <w:pStyle w:val="11Bodytext"/>
        <w:numPr>
          <w:ilvl w:val="0"/>
          <w:numId w:val="39"/>
        </w:numPr>
        <w:spacing w:before="0" w:after="0" w:line="300" w:lineRule="auto"/>
        <w:rPr>
          <w:color w:val="auto"/>
        </w:rPr>
      </w:pPr>
      <w:r w:rsidRPr="005923AA">
        <w:rPr>
          <w:i/>
          <w:iCs/>
        </w:rPr>
        <w:t>Is the maximum price of £250K after discount an appropriate maximum sales value?</w:t>
      </w:r>
    </w:p>
    <w:p w14:paraId="59C0B7D5" w14:textId="77777777" w:rsidR="002A0F79" w:rsidRPr="008679D9" w:rsidRDefault="002A0F79" w:rsidP="00172F56">
      <w:pPr>
        <w:pStyle w:val="11Bodytext"/>
        <w:numPr>
          <w:ilvl w:val="0"/>
          <w:numId w:val="0"/>
        </w:numPr>
        <w:spacing w:before="0" w:after="0" w:line="300" w:lineRule="auto"/>
        <w:rPr>
          <w:color w:val="auto"/>
        </w:rPr>
      </w:pPr>
    </w:p>
    <w:p w14:paraId="7956A76D" w14:textId="41D2B8B4" w:rsidR="005923AA" w:rsidRPr="002A0F79" w:rsidRDefault="005923AA">
      <w:pPr>
        <w:pStyle w:val="11Bodytext"/>
        <w:numPr>
          <w:ilvl w:val="1"/>
          <w:numId w:val="37"/>
        </w:numPr>
        <w:tabs>
          <w:tab w:val="num" w:pos="0"/>
        </w:tabs>
        <w:spacing w:before="0" w:after="0" w:line="300" w:lineRule="auto"/>
        <w:ind w:left="720" w:hanging="720"/>
        <w:rPr>
          <w:color w:val="auto"/>
        </w:rPr>
      </w:pPr>
      <w:r w:rsidRPr="002A0F79">
        <w:rPr>
          <w:color w:val="0B0C0C"/>
        </w:rPr>
        <w:t>Looking at the previous table above, it can be seen that all of the affordable prices sit below the £250,000 cap and therefore it is arguable that a lower cap would be appropriate. It can also be seen that the £250,000 figure is only close to being approached for larger (4-bedroom) homes (with a suggested price of up to £209,000). It is considered that the number of 4-bedroom homes likely to be provided as First Homes will be low (focus likely to be on 2 and 3-bedroom homes) and this gives further reason for looking at a lower cap.</w:t>
      </w:r>
    </w:p>
    <w:p w14:paraId="62DCE02C" w14:textId="77777777" w:rsidR="002A0F79" w:rsidRPr="002A0F79" w:rsidRDefault="002A0F79" w:rsidP="00172F56">
      <w:pPr>
        <w:pStyle w:val="11Bodytext"/>
        <w:numPr>
          <w:ilvl w:val="0"/>
          <w:numId w:val="0"/>
        </w:numPr>
        <w:spacing w:before="0" w:after="0" w:line="300" w:lineRule="auto"/>
        <w:rPr>
          <w:color w:val="auto"/>
        </w:rPr>
      </w:pPr>
    </w:p>
    <w:p w14:paraId="0C61EFF2" w14:textId="3970A5DF" w:rsidR="005923AA" w:rsidRPr="002A0F79" w:rsidRDefault="005923AA">
      <w:pPr>
        <w:pStyle w:val="11Bodytext"/>
        <w:numPr>
          <w:ilvl w:val="1"/>
          <w:numId w:val="37"/>
        </w:numPr>
        <w:tabs>
          <w:tab w:val="num" w:pos="0"/>
        </w:tabs>
        <w:spacing w:before="0" w:after="0" w:line="300" w:lineRule="auto"/>
        <w:ind w:left="720" w:hanging="720"/>
        <w:rPr>
          <w:color w:val="auto"/>
        </w:rPr>
      </w:pPr>
      <w:r w:rsidRPr="002A0F79">
        <w:rPr>
          <w:color w:val="0B0C0C"/>
        </w:rPr>
        <w:t>A lower cap would help to ensure that homes are affordable even on schemes where the OMV is relatively high (although consideration about viability and potential loss of other forms of affordable housing will also be a consideration). Looking at the affordable prices, and also the analysis of actual newbuild homes it is considered that a cap of something in the region of £150,000 might be appropriate. This could help to ensure that First Homes are only offered on properties where the initial OMV is not significantly above the affordable prices.</w:t>
      </w:r>
    </w:p>
    <w:p w14:paraId="3198358D" w14:textId="1B019D87" w:rsidR="002A0F79" w:rsidRDefault="002A0F79">
      <w:pPr>
        <w:pStyle w:val="11Bodytext"/>
        <w:numPr>
          <w:ilvl w:val="0"/>
          <w:numId w:val="0"/>
        </w:numPr>
        <w:tabs>
          <w:tab w:val="num" w:pos="0"/>
        </w:tabs>
        <w:spacing w:before="0" w:after="0" w:line="300" w:lineRule="auto"/>
        <w:rPr>
          <w:color w:val="auto"/>
        </w:rPr>
      </w:pPr>
    </w:p>
    <w:p w14:paraId="28050588" w14:textId="3FFBC159" w:rsidR="003367CD" w:rsidRDefault="003367CD">
      <w:pPr>
        <w:pStyle w:val="11Bodytext"/>
        <w:numPr>
          <w:ilvl w:val="0"/>
          <w:numId w:val="0"/>
        </w:numPr>
        <w:tabs>
          <w:tab w:val="num" w:pos="0"/>
        </w:tabs>
        <w:spacing w:before="0" w:after="0" w:line="300" w:lineRule="auto"/>
        <w:rPr>
          <w:color w:val="auto"/>
        </w:rPr>
      </w:pPr>
    </w:p>
    <w:p w14:paraId="38355C3C" w14:textId="77777777" w:rsidR="003367CD" w:rsidRDefault="003367CD" w:rsidP="00172F56">
      <w:pPr>
        <w:pStyle w:val="11Bodytext"/>
        <w:numPr>
          <w:ilvl w:val="0"/>
          <w:numId w:val="0"/>
        </w:numPr>
        <w:tabs>
          <w:tab w:val="num" w:pos="0"/>
        </w:tabs>
        <w:spacing w:before="0" w:after="0" w:line="300" w:lineRule="auto"/>
        <w:rPr>
          <w:color w:val="auto"/>
        </w:rPr>
      </w:pPr>
    </w:p>
    <w:p w14:paraId="243EC765" w14:textId="5E17E95F" w:rsidR="005923AA" w:rsidRPr="005923AA" w:rsidRDefault="005923AA">
      <w:pPr>
        <w:pStyle w:val="11Bodytext"/>
        <w:numPr>
          <w:ilvl w:val="0"/>
          <w:numId w:val="39"/>
        </w:numPr>
        <w:spacing w:before="0" w:after="0" w:line="300" w:lineRule="auto"/>
        <w:rPr>
          <w:color w:val="auto"/>
        </w:rPr>
      </w:pPr>
      <w:r w:rsidRPr="005923AA">
        <w:rPr>
          <w:i/>
          <w:iCs/>
        </w:rPr>
        <w:t>Is the national threshold of £80,000 for household income appropriate?</w:t>
      </w:r>
    </w:p>
    <w:p w14:paraId="491E661D" w14:textId="77777777" w:rsidR="002A0F79" w:rsidRPr="002A0F79" w:rsidRDefault="002A0F79" w:rsidP="00172F56">
      <w:pPr>
        <w:pStyle w:val="11Bodytext"/>
        <w:numPr>
          <w:ilvl w:val="0"/>
          <w:numId w:val="0"/>
        </w:numPr>
        <w:spacing w:before="0" w:after="0" w:line="300" w:lineRule="auto"/>
        <w:rPr>
          <w:color w:val="auto"/>
        </w:rPr>
      </w:pPr>
    </w:p>
    <w:p w14:paraId="1774352D" w14:textId="6C7CCD55" w:rsidR="005923AA" w:rsidRPr="002A0F79" w:rsidRDefault="005923AA">
      <w:pPr>
        <w:pStyle w:val="11Bodytext"/>
        <w:numPr>
          <w:ilvl w:val="1"/>
          <w:numId w:val="37"/>
        </w:numPr>
        <w:spacing w:before="0" w:after="0" w:line="300" w:lineRule="auto"/>
        <w:ind w:left="720" w:hanging="720"/>
        <w:rPr>
          <w:color w:val="auto"/>
        </w:rPr>
      </w:pPr>
      <w:r w:rsidRPr="002A0F79">
        <w:t>To study the income threshold analysis has been provided below to consider the likely incomes required to afford both the lower end and midpoint Affordable Price. This is shown in the table below and shows even the most expensive price would  require an income of about £46,000. It should however be noted that these findings are based on a specific set of assumptions about mortgage multiples and deposit availability (10% deposit and 4 times mortgage multiple) and in reality individual households will have their own specific circumstances.</w:t>
      </w:r>
    </w:p>
    <w:p w14:paraId="78F18B72" w14:textId="77777777" w:rsidR="002A0F79" w:rsidRPr="002A0F79" w:rsidRDefault="002A0F79" w:rsidP="00172F56">
      <w:pPr>
        <w:pStyle w:val="11Bodytext"/>
        <w:numPr>
          <w:ilvl w:val="0"/>
          <w:numId w:val="0"/>
        </w:numPr>
        <w:spacing w:before="0" w:after="0" w:line="300" w:lineRule="auto"/>
        <w:rPr>
          <w:color w:val="auto"/>
        </w:rPr>
      </w:pPr>
    </w:p>
    <w:p w14:paraId="6028BDC3" w14:textId="77E767E4" w:rsidR="005923AA" w:rsidRPr="002A0F79" w:rsidRDefault="005923AA">
      <w:pPr>
        <w:pStyle w:val="11Bodytext"/>
        <w:numPr>
          <w:ilvl w:val="1"/>
          <w:numId w:val="37"/>
        </w:numPr>
        <w:tabs>
          <w:tab w:val="num" w:pos="0"/>
        </w:tabs>
        <w:spacing w:before="0" w:after="0" w:line="300" w:lineRule="auto"/>
        <w:ind w:left="720" w:hanging="720"/>
        <w:rPr>
          <w:color w:val="auto"/>
        </w:rPr>
      </w:pPr>
      <w:r w:rsidRPr="002A0F79">
        <w:t>That said, it is considered that an £80,000 threshold looks to be too high; households with that level of income would be expected to readily buy a home in the area without the need for any discount. On balance, and looking at the figures in the round (and recognising that there may be relatively few 4-bedroom homes delivered) it is considered that an income cap of around £35-£40,000 might be appropriate in the case of Fylde.</w:t>
      </w:r>
    </w:p>
    <w:p w14:paraId="03898D45" w14:textId="77777777" w:rsidR="002A0F79" w:rsidRPr="002A0F79" w:rsidRDefault="002A0F79" w:rsidP="00172F56">
      <w:pPr>
        <w:pStyle w:val="11Bodytext"/>
        <w:numPr>
          <w:ilvl w:val="0"/>
          <w:numId w:val="0"/>
        </w:numPr>
        <w:tabs>
          <w:tab w:val="num" w:pos="0"/>
        </w:tabs>
        <w:spacing w:before="0" w:after="0" w:line="300" w:lineRule="auto"/>
        <w:rPr>
          <w:color w:val="auto"/>
        </w:rPr>
      </w:pPr>
    </w:p>
    <w:tbl>
      <w:tblPr>
        <w:tblStyle w:val="TableGridLight10"/>
        <w:tblW w:w="8199" w:type="dxa"/>
        <w:jc w:val="center"/>
        <w:tblLook w:val="04A0" w:firstRow="1" w:lastRow="0" w:firstColumn="1" w:lastColumn="0" w:noHBand="0" w:noVBand="1"/>
      </w:tblPr>
      <w:tblGrid>
        <w:gridCol w:w="2731"/>
        <w:gridCol w:w="2734"/>
        <w:gridCol w:w="2734"/>
      </w:tblGrid>
      <w:tr w:rsidR="002A0F79" w:rsidRPr="002A0F79" w14:paraId="4D11E532" w14:textId="77777777" w:rsidTr="008469E3">
        <w:trPr>
          <w:jc w:val="center"/>
        </w:trPr>
        <w:tc>
          <w:tcPr>
            <w:tcW w:w="8199" w:type="dxa"/>
            <w:gridSpan w:val="3"/>
          </w:tcPr>
          <w:p w14:paraId="69ADD6AF" w14:textId="086085BB" w:rsidR="002A0F79" w:rsidRPr="002A0F79" w:rsidRDefault="002A0F79" w:rsidP="0014104A">
            <w:pPr>
              <w:pStyle w:val="11Bodytext"/>
              <w:numPr>
                <w:ilvl w:val="1"/>
                <w:numId w:val="0"/>
              </w:numPr>
              <w:spacing w:before="60" w:after="60" w:line="300" w:lineRule="auto"/>
              <w:jc w:val="center"/>
              <w:rPr>
                <w:b/>
                <w:bCs w:val="0"/>
                <w:color w:val="auto"/>
              </w:rPr>
            </w:pPr>
            <w:r w:rsidRPr="002A0F79">
              <w:rPr>
                <w:b/>
                <w:bCs w:val="0"/>
                <w:color w:val="auto"/>
              </w:rPr>
              <w:t>Figure 4.</w:t>
            </w:r>
            <w:r w:rsidR="00DF6242">
              <w:rPr>
                <w:b/>
                <w:bCs w:val="0"/>
                <w:color w:val="auto"/>
              </w:rPr>
              <w:t>7</w:t>
            </w:r>
            <w:r w:rsidRPr="002A0F79">
              <w:rPr>
                <w:b/>
                <w:bCs w:val="0"/>
                <w:color w:val="auto"/>
              </w:rPr>
              <w:t xml:space="preserve">: </w:t>
            </w:r>
            <w:r w:rsidRPr="31A1F2C6">
              <w:rPr>
                <w:b/>
                <w:color w:val="auto"/>
              </w:rPr>
              <w:t>Household i</w:t>
            </w:r>
            <w:r w:rsidRPr="002A0F79">
              <w:rPr>
                <w:b/>
                <w:bCs w:val="0"/>
              </w:rPr>
              <w:t>ncomes Required to Afford First Homes – Fylde</w:t>
            </w:r>
          </w:p>
        </w:tc>
      </w:tr>
      <w:tr w:rsidR="005923AA" w:rsidRPr="005923AA" w14:paraId="2F189EB0" w14:textId="77777777" w:rsidTr="002A0F79">
        <w:trPr>
          <w:jc w:val="center"/>
        </w:trPr>
        <w:tc>
          <w:tcPr>
            <w:tcW w:w="2731" w:type="dxa"/>
          </w:tcPr>
          <w:p w14:paraId="50641F94" w14:textId="77777777" w:rsidR="005923AA" w:rsidRPr="005923AA" w:rsidRDefault="005923AA" w:rsidP="0014104A">
            <w:pPr>
              <w:spacing w:before="60" w:after="60" w:line="300" w:lineRule="auto"/>
              <w:rPr>
                <w:rFonts w:ascii="Arial" w:hAnsi="Arial" w:cs="Arial"/>
                <w:sz w:val="20"/>
                <w:szCs w:val="20"/>
              </w:rPr>
            </w:pPr>
          </w:p>
        </w:tc>
        <w:tc>
          <w:tcPr>
            <w:tcW w:w="2734" w:type="dxa"/>
          </w:tcPr>
          <w:p w14:paraId="2C1C4F54" w14:textId="0314A919" w:rsidR="005923AA" w:rsidRPr="005923AA" w:rsidRDefault="005923AA" w:rsidP="0014104A">
            <w:pPr>
              <w:pStyle w:val="11Bodytext"/>
              <w:numPr>
                <w:ilvl w:val="1"/>
                <w:numId w:val="0"/>
              </w:numPr>
              <w:spacing w:before="60" w:after="60" w:line="300" w:lineRule="auto"/>
              <w:jc w:val="center"/>
              <w:rPr>
                <w:color w:val="auto"/>
              </w:rPr>
            </w:pPr>
            <w:r w:rsidRPr="31A1F2C6">
              <w:rPr>
                <w:color w:val="auto"/>
              </w:rPr>
              <w:t xml:space="preserve">Income required to afford </w:t>
            </w:r>
            <w:r w:rsidRPr="005923AA">
              <w:rPr>
                <w:color w:val="auto"/>
              </w:rPr>
              <w:t>Affordable Price (lower end)</w:t>
            </w:r>
          </w:p>
        </w:tc>
        <w:tc>
          <w:tcPr>
            <w:tcW w:w="2734" w:type="dxa"/>
          </w:tcPr>
          <w:p w14:paraId="551C05D5" w14:textId="76C03C26" w:rsidR="005923AA" w:rsidRPr="005923AA" w:rsidRDefault="005923AA" w:rsidP="0014104A">
            <w:pPr>
              <w:pStyle w:val="11Bodytext"/>
              <w:numPr>
                <w:ilvl w:val="1"/>
                <w:numId w:val="0"/>
              </w:numPr>
              <w:spacing w:before="60" w:after="60" w:line="300" w:lineRule="auto"/>
              <w:jc w:val="center"/>
              <w:rPr>
                <w:color w:val="auto"/>
              </w:rPr>
            </w:pPr>
            <w:r w:rsidRPr="31A1F2C6">
              <w:rPr>
                <w:color w:val="auto"/>
              </w:rPr>
              <w:t xml:space="preserve">Income required to afford </w:t>
            </w:r>
            <w:r w:rsidRPr="005923AA">
              <w:rPr>
                <w:color w:val="auto"/>
              </w:rPr>
              <w:t>Affordable Price (midpoint)</w:t>
            </w:r>
          </w:p>
        </w:tc>
      </w:tr>
      <w:tr w:rsidR="005923AA" w:rsidRPr="005923AA" w14:paraId="07D68B1E" w14:textId="77777777" w:rsidTr="002A0F79">
        <w:trPr>
          <w:jc w:val="center"/>
        </w:trPr>
        <w:tc>
          <w:tcPr>
            <w:tcW w:w="2731" w:type="dxa"/>
          </w:tcPr>
          <w:p w14:paraId="5E8C8566" w14:textId="77777777" w:rsidR="005923AA" w:rsidRPr="005923AA" w:rsidRDefault="005923AA" w:rsidP="0014104A">
            <w:pPr>
              <w:pStyle w:val="11Bodytext"/>
              <w:numPr>
                <w:ilvl w:val="0"/>
                <w:numId w:val="0"/>
              </w:numPr>
              <w:spacing w:before="0" w:after="0" w:line="300" w:lineRule="auto"/>
              <w:jc w:val="left"/>
              <w:rPr>
                <w:color w:val="auto"/>
              </w:rPr>
            </w:pPr>
            <w:r w:rsidRPr="005923AA">
              <w:rPr>
                <w:color w:val="auto"/>
              </w:rPr>
              <w:t>1-bedroom</w:t>
            </w:r>
          </w:p>
        </w:tc>
        <w:tc>
          <w:tcPr>
            <w:tcW w:w="2734" w:type="dxa"/>
          </w:tcPr>
          <w:p w14:paraId="4FE6947D" w14:textId="77777777" w:rsidR="005923AA" w:rsidRPr="005923AA" w:rsidRDefault="005923AA" w:rsidP="0014104A">
            <w:pPr>
              <w:pStyle w:val="11Bodytext"/>
              <w:numPr>
                <w:ilvl w:val="0"/>
                <w:numId w:val="0"/>
              </w:numPr>
              <w:spacing w:before="0" w:after="0" w:line="300" w:lineRule="auto"/>
              <w:jc w:val="center"/>
              <w:rPr>
                <w:color w:val="auto"/>
              </w:rPr>
            </w:pPr>
            <w:r w:rsidRPr="005923AA">
              <w:t>£15,800</w:t>
            </w:r>
          </w:p>
        </w:tc>
        <w:tc>
          <w:tcPr>
            <w:tcW w:w="2734" w:type="dxa"/>
          </w:tcPr>
          <w:p w14:paraId="5BDB519B" w14:textId="77777777" w:rsidR="005923AA" w:rsidRPr="005923AA" w:rsidRDefault="005923AA" w:rsidP="0014104A">
            <w:pPr>
              <w:pStyle w:val="11Bodytext"/>
              <w:numPr>
                <w:ilvl w:val="0"/>
                <w:numId w:val="0"/>
              </w:numPr>
              <w:spacing w:before="0" w:after="0" w:line="300" w:lineRule="auto"/>
              <w:jc w:val="center"/>
              <w:rPr>
                <w:color w:val="auto"/>
              </w:rPr>
            </w:pPr>
            <w:r w:rsidRPr="005923AA">
              <w:t>£15,900</w:t>
            </w:r>
          </w:p>
        </w:tc>
      </w:tr>
      <w:tr w:rsidR="005923AA" w:rsidRPr="005923AA" w14:paraId="0DB9ECCD" w14:textId="77777777" w:rsidTr="002A0F79">
        <w:trPr>
          <w:jc w:val="center"/>
        </w:trPr>
        <w:tc>
          <w:tcPr>
            <w:tcW w:w="2731" w:type="dxa"/>
          </w:tcPr>
          <w:p w14:paraId="4CA3AF47" w14:textId="77777777" w:rsidR="005923AA" w:rsidRPr="005923AA" w:rsidRDefault="005923AA" w:rsidP="0014104A">
            <w:pPr>
              <w:pStyle w:val="11Bodytext"/>
              <w:numPr>
                <w:ilvl w:val="0"/>
                <w:numId w:val="0"/>
              </w:numPr>
              <w:spacing w:before="0" w:after="0" w:line="300" w:lineRule="auto"/>
              <w:jc w:val="left"/>
              <w:rPr>
                <w:color w:val="auto"/>
              </w:rPr>
            </w:pPr>
            <w:r w:rsidRPr="005923AA">
              <w:rPr>
                <w:color w:val="auto"/>
              </w:rPr>
              <w:t>2-bedrooms</w:t>
            </w:r>
          </w:p>
        </w:tc>
        <w:tc>
          <w:tcPr>
            <w:tcW w:w="2734" w:type="dxa"/>
          </w:tcPr>
          <w:p w14:paraId="3E88052B" w14:textId="77777777" w:rsidR="005923AA" w:rsidRPr="005923AA" w:rsidRDefault="005923AA" w:rsidP="0014104A">
            <w:pPr>
              <w:pStyle w:val="11Bodytext"/>
              <w:numPr>
                <w:ilvl w:val="0"/>
                <w:numId w:val="0"/>
              </w:numPr>
              <w:spacing w:before="0" w:after="0" w:line="300" w:lineRule="auto"/>
              <w:jc w:val="center"/>
              <w:rPr>
                <w:color w:val="auto"/>
              </w:rPr>
            </w:pPr>
            <w:r w:rsidRPr="005923AA">
              <w:t>£20,800</w:t>
            </w:r>
          </w:p>
        </w:tc>
        <w:tc>
          <w:tcPr>
            <w:tcW w:w="2734" w:type="dxa"/>
          </w:tcPr>
          <w:p w14:paraId="033B1C50" w14:textId="77777777" w:rsidR="005923AA" w:rsidRPr="005923AA" w:rsidRDefault="005923AA" w:rsidP="0014104A">
            <w:pPr>
              <w:pStyle w:val="11Bodytext"/>
              <w:numPr>
                <w:ilvl w:val="0"/>
                <w:numId w:val="0"/>
              </w:numPr>
              <w:spacing w:before="0" w:after="0" w:line="300" w:lineRule="auto"/>
              <w:jc w:val="center"/>
              <w:rPr>
                <w:color w:val="auto"/>
              </w:rPr>
            </w:pPr>
            <w:r w:rsidRPr="005923AA">
              <w:t>£23,300</w:t>
            </w:r>
          </w:p>
        </w:tc>
      </w:tr>
      <w:tr w:rsidR="005923AA" w:rsidRPr="005923AA" w14:paraId="3FD46CDE" w14:textId="77777777" w:rsidTr="002A0F79">
        <w:trPr>
          <w:jc w:val="center"/>
        </w:trPr>
        <w:tc>
          <w:tcPr>
            <w:tcW w:w="2731" w:type="dxa"/>
          </w:tcPr>
          <w:p w14:paraId="30BE2FBF" w14:textId="77777777" w:rsidR="005923AA" w:rsidRPr="005923AA" w:rsidRDefault="005923AA" w:rsidP="0014104A">
            <w:pPr>
              <w:pStyle w:val="11Bodytext"/>
              <w:numPr>
                <w:ilvl w:val="0"/>
                <w:numId w:val="0"/>
              </w:numPr>
              <w:spacing w:before="0" w:after="0" w:line="300" w:lineRule="auto"/>
              <w:jc w:val="left"/>
              <w:rPr>
                <w:color w:val="auto"/>
              </w:rPr>
            </w:pPr>
            <w:r w:rsidRPr="005923AA">
              <w:rPr>
                <w:color w:val="auto"/>
              </w:rPr>
              <w:t>3-bedrooms</w:t>
            </w:r>
          </w:p>
        </w:tc>
        <w:tc>
          <w:tcPr>
            <w:tcW w:w="2734" w:type="dxa"/>
          </w:tcPr>
          <w:p w14:paraId="0B3A7081" w14:textId="77777777" w:rsidR="005923AA" w:rsidRPr="005923AA" w:rsidRDefault="005923AA" w:rsidP="0014104A">
            <w:pPr>
              <w:pStyle w:val="11Bodytext"/>
              <w:numPr>
                <w:ilvl w:val="0"/>
                <w:numId w:val="0"/>
              </w:numPr>
              <w:spacing w:before="0" w:after="0" w:line="300" w:lineRule="auto"/>
              <w:jc w:val="center"/>
              <w:rPr>
                <w:color w:val="auto"/>
              </w:rPr>
            </w:pPr>
            <w:r w:rsidRPr="005923AA">
              <w:t>£26,000</w:t>
            </w:r>
          </w:p>
        </w:tc>
        <w:tc>
          <w:tcPr>
            <w:tcW w:w="2734" w:type="dxa"/>
          </w:tcPr>
          <w:p w14:paraId="5BFACE97" w14:textId="77777777" w:rsidR="005923AA" w:rsidRPr="005923AA" w:rsidRDefault="005923AA" w:rsidP="0014104A">
            <w:pPr>
              <w:pStyle w:val="11Bodytext"/>
              <w:numPr>
                <w:ilvl w:val="0"/>
                <w:numId w:val="0"/>
              </w:numPr>
              <w:spacing w:before="0" w:after="0" w:line="300" w:lineRule="auto"/>
              <w:jc w:val="center"/>
              <w:rPr>
                <w:color w:val="auto"/>
              </w:rPr>
            </w:pPr>
            <w:r w:rsidRPr="005923AA">
              <w:t>£32,100</w:t>
            </w:r>
          </w:p>
        </w:tc>
      </w:tr>
      <w:tr w:rsidR="005923AA" w:rsidRPr="005923AA" w14:paraId="049E20C4" w14:textId="77777777" w:rsidTr="002A0F79">
        <w:trPr>
          <w:jc w:val="center"/>
        </w:trPr>
        <w:tc>
          <w:tcPr>
            <w:tcW w:w="2731" w:type="dxa"/>
          </w:tcPr>
          <w:p w14:paraId="53615DB5" w14:textId="77777777" w:rsidR="005923AA" w:rsidRPr="005923AA" w:rsidRDefault="005923AA" w:rsidP="0014104A">
            <w:pPr>
              <w:pStyle w:val="11Bodytext"/>
              <w:numPr>
                <w:ilvl w:val="0"/>
                <w:numId w:val="0"/>
              </w:numPr>
              <w:spacing w:before="0" w:after="0" w:line="300" w:lineRule="auto"/>
              <w:jc w:val="left"/>
              <w:rPr>
                <w:color w:val="auto"/>
              </w:rPr>
            </w:pPr>
            <w:r w:rsidRPr="005923AA">
              <w:rPr>
                <w:color w:val="auto"/>
              </w:rPr>
              <w:t>4+-bedrooms</w:t>
            </w:r>
          </w:p>
        </w:tc>
        <w:tc>
          <w:tcPr>
            <w:tcW w:w="2734" w:type="dxa"/>
          </w:tcPr>
          <w:p w14:paraId="5954D985" w14:textId="77777777" w:rsidR="005923AA" w:rsidRPr="005923AA" w:rsidRDefault="005923AA" w:rsidP="0014104A">
            <w:pPr>
              <w:pStyle w:val="11Bodytext"/>
              <w:numPr>
                <w:ilvl w:val="0"/>
                <w:numId w:val="0"/>
              </w:numPr>
              <w:spacing w:before="0" w:after="0" w:line="300" w:lineRule="auto"/>
              <w:jc w:val="center"/>
              <w:rPr>
                <w:color w:val="auto"/>
              </w:rPr>
            </w:pPr>
            <w:r w:rsidRPr="005923AA">
              <w:t>£32,000</w:t>
            </w:r>
          </w:p>
        </w:tc>
        <w:tc>
          <w:tcPr>
            <w:tcW w:w="2734" w:type="dxa"/>
          </w:tcPr>
          <w:p w14:paraId="2729AB52" w14:textId="77777777" w:rsidR="005923AA" w:rsidRPr="005923AA" w:rsidRDefault="005923AA" w:rsidP="0014104A">
            <w:pPr>
              <w:pStyle w:val="11Bodytext"/>
              <w:numPr>
                <w:ilvl w:val="0"/>
                <w:numId w:val="0"/>
              </w:numPr>
              <w:spacing w:before="0" w:after="0" w:line="300" w:lineRule="auto"/>
              <w:jc w:val="center"/>
              <w:rPr>
                <w:color w:val="auto"/>
              </w:rPr>
            </w:pPr>
            <w:r w:rsidRPr="005923AA">
              <w:t>£46,900</w:t>
            </w:r>
          </w:p>
        </w:tc>
      </w:tr>
    </w:tbl>
    <w:p w14:paraId="415BA69E" w14:textId="3D5B58DE" w:rsidR="005923AA" w:rsidRDefault="005923AA" w:rsidP="0014104A">
      <w:pPr>
        <w:pStyle w:val="11Bodytext"/>
        <w:numPr>
          <w:ilvl w:val="0"/>
          <w:numId w:val="0"/>
        </w:numPr>
        <w:spacing w:before="0" w:after="0" w:line="300" w:lineRule="auto"/>
        <w:jc w:val="center"/>
        <w:rPr>
          <w:color w:val="auto"/>
        </w:rPr>
      </w:pPr>
      <w:r w:rsidRPr="005923AA">
        <w:rPr>
          <w:color w:val="auto"/>
        </w:rPr>
        <w:t>Source: Derived from a range of sources</w:t>
      </w:r>
    </w:p>
    <w:p w14:paraId="746D0600" w14:textId="22F3E2A3" w:rsidR="002A0F79" w:rsidRDefault="002A0F79" w:rsidP="0033047F">
      <w:pPr>
        <w:pStyle w:val="11Bodytext"/>
        <w:numPr>
          <w:ilvl w:val="0"/>
          <w:numId w:val="0"/>
        </w:numPr>
        <w:spacing w:before="0" w:after="0" w:line="300" w:lineRule="auto"/>
        <w:rPr>
          <w:color w:val="auto"/>
        </w:rPr>
      </w:pPr>
    </w:p>
    <w:p w14:paraId="16B8E3C5" w14:textId="2908D889" w:rsidR="002A0F79" w:rsidRPr="00D20EF1" w:rsidRDefault="002A0F79" w:rsidP="00172F56">
      <w:pPr>
        <w:pStyle w:val="11Bodytext"/>
        <w:numPr>
          <w:ilvl w:val="1"/>
          <w:numId w:val="0"/>
        </w:numPr>
        <w:spacing w:before="0" w:after="0" w:line="300" w:lineRule="auto"/>
        <w:rPr>
          <w:b/>
          <w:bCs w:val="0"/>
          <w:color w:val="auto"/>
        </w:rPr>
      </w:pPr>
      <w:r>
        <w:rPr>
          <w:b/>
          <w:bCs w:val="0"/>
          <w:color w:val="auto"/>
        </w:rPr>
        <w:t>Shared Ownership</w:t>
      </w:r>
    </w:p>
    <w:p w14:paraId="4E06B2F7" w14:textId="77777777" w:rsidR="002A0F79" w:rsidRPr="00D20EF1" w:rsidRDefault="002A0F79" w:rsidP="00172F56">
      <w:pPr>
        <w:pStyle w:val="11Bodytext"/>
        <w:numPr>
          <w:ilvl w:val="0"/>
          <w:numId w:val="0"/>
        </w:numPr>
        <w:spacing w:before="0" w:after="0" w:line="300" w:lineRule="auto"/>
        <w:rPr>
          <w:color w:val="auto"/>
        </w:rPr>
      </w:pPr>
    </w:p>
    <w:p w14:paraId="3547B518" w14:textId="79F6FC3F" w:rsidR="005923AA" w:rsidRPr="002A0F79" w:rsidRDefault="005923AA">
      <w:pPr>
        <w:pStyle w:val="11Bodytext"/>
        <w:numPr>
          <w:ilvl w:val="1"/>
          <w:numId w:val="37"/>
        </w:numPr>
        <w:spacing w:before="0" w:after="0" w:line="300" w:lineRule="auto"/>
        <w:ind w:left="720" w:hanging="720"/>
        <w:rPr>
          <w:color w:val="auto"/>
        </w:rPr>
      </w:pPr>
      <w:r w:rsidRPr="002A0F79">
        <w:t xml:space="preserve">Whilst the Government has a clear focus on First Homes, they also see a continued role for Shared Ownership, launching a ‘New Model for Shared Ownership’ in early 2021 (following a 2020 consultation) – this includes a number of proposals, with the main one for the purposes of this assessment being the reduction of the minimum initial share from 25% to 10%. A key advantage of shared ownership over other tenures is that </w:t>
      </w:r>
      <w:r w:rsidRPr="002A0F79">
        <w:rPr>
          <w:shd w:val="clear" w:color="auto" w:fill="FFFFFF"/>
        </w:rPr>
        <w:t>a lower deposit is likely to be required than for full or discounted purchase. Additionally, the rental part of the cost will be subsidised by a Registered Provider and therefore keeps monthly outgoings down.</w:t>
      </w:r>
    </w:p>
    <w:p w14:paraId="57D9B9A1" w14:textId="77777777" w:rsidR="002A0F79" w:rsidRPr="002A0F79" w:rsidRDefault="002A0F79" w:rsidP="00172F56">
      <w:pPr>
        <w:pStyle w:val="11Bodytext"/>
        <w:numPr>
          <w:ilvl w:val="0"/>
          <w:numId w:val="0"/>
        </w:numPr>
        <w:spacing w:before="0" w:after="0" w:line="300" w:lineRule="auto"/>
        <w:rPr>
          <w:color w:val="auto"/>
        </w:rPr>
      </w:pPr>
    </w:p>
    <w:p w14:paraId="1AFB385B" w14:textId="615284E1" w:rsidR="005923AA" w:rsidRPr="002A0F79" w:rsidRDefault="005923AA">
      <w:pPr>
        <w:pStyle w:val="11Bodytext"/>
        <w:numPr>
          <w:ilvl w:val="1"/>
          <w:numId w:val="37"/>
        </w:numPr>
        <w:spacing w:before="0" w:after="0" w:line="300" w:lineRule="auto"/>
        <w:ind w:left="720" w:hanging="720"/>
        <w:rPr>
          <w:color w:val="auto"/>
        </w:rPr>
      </w:pPr>
      <w:r w:rsidRPr="002A0F79">
        <w:rPr>
          <w:shd w:val="clear" w:color="auto" w:fill="FFFFFF"/>
        </w:rPr>
        <w:t>For the purposes of the analysis in this report it is considered that for shared ownership to be affordable, total outgoings should not exceed that needed to rent privately.</w:t>
      </w:r>
    </w:p>
    <w:p w14:paraId="35C092EA" w14:textId="51B03941" w:rsidR="002A0F79" w:rsidRDefault="002A0F79">
      <w:pPr>
        <w:pStyle w:val="11Bodytext"/>
        <w:numPr>
          <w:ilvl w:val="0"/>
          <w:numId w:val="0"/>
        </w:numPr>
        <w:spacing w:before="0" w:after="0" w:line="300" w:lineRule="auto"/>
        <w:rPr>
          <w:color w:val="auto"/>
        </w:rPr>
      </w:pPr>
    </w:p>
    <w:p w14:paraId="709140C3" w14:textId="0750D1E4" w:rsidR="003367CD" w:rsidRDefault="003367CD">
      <w:pPr>
        <w:pStyle w:val="11Bodytext"/>
        <w:numPr>
          <w:ilvl w:val="0"/>
          <w:numId w:val="0"/>
        </w:numPr>
        <w:spacing w:before="0" w:after="0" w:line="300" w:lineRule="auto"/>
        <w:rPr>
          <w:color w:val="auto"/>
        </w:rPr>
      </w:pPr>
    </w:p>
    <w:p w14:paraId="4290B99F" w14:textId="1173C660" w:rsidR="003367CD" w:rsidRDefault="003367CD">
      <w:pPr>
        <w:pStyle w:val="11Bodytext"/>
        <w:numPr>
          <w:ilvl w:val="0"/>
          <w:numId w:val="0"/>
        </w:numPr>
        <w:spacing w:before="0" w:after="0" w:line="300" w:lineRule="auto"/>
        <w:rPr>
          <w:color w:val="auto"/>
        </w:rPr>
      </w:pPr>
    </w:p>
    <w:p w14:paraId="218DFE5C" w14:textId="683F2BCF" w:rsidR="003367CD" w:rsidRDefault="003367CD">
      <w:pPr>
        <w:pStyle w:val="11Bodytext"/>
        <w:numPr>
          <w:ilvl w:val="0"/>
          <w:numId w:val="0"/>
        </w:numPr>
        <w:spacing w:before="0" w:after="0" w:line="300" w:lineRule="auto"/>
        <w:rPr>
          <w:color w:val="auto"/>
        </w:rPr>
      </w:pPr>
    </w:p>
    <w:p w14:paraId="5A8088AD" w14:textId="606518FA" w:rsidR="003367CD" w:rsidRDefault="003367CD">
      <w:pPr>
        <w:pStyle w:val="11Bodytext"/>
        <w:numPr>
          <w:ilvl w:val="0"/>
          <w:numId w:val="0"/>
        </w:numPr>
        <w:spacing w:before="0" w:after="0" w:line="300" w:lineRule="auto"/>
        <w:rPr>
          <w:color w:val="auto"/>
        </w:rPr>
      </w:pPr>
    </w:p>
    <w:p w14:paraId="217C0D28" w14:textId="2F11854F" w:rsidR="003367CD" w:rsidRDefault="003367CD">
      <w:pPr>
        <w:pStyle w:val="11Bodytext"/>
        <w:numPr>
          <w:ilvl w:val="0"/>
          <w:numId w:val="0"/>
        </w:numPr>
        <w:spacing w:before="0" w:after="0" w:line="300" w:lineRule="auto"/>
        <w:rPr>
          <w:color w:val="auto"/>
        </w:rPr>
      </w:pPr>
    </w:p>
    <w:p w14:paraId="4E33F001" w14:textId="5CF591A7" w:rsidR="003367CD" w:rsidRDefault="003367CD">
      <w:pPr>
        <w:pStyle w:val="11Bodytext"/>
        <w:numPr>
          <w:ilvl w:val="0"/>
          <w:numId w:val="0"/>
        </w:numPr>
        <w:spacing w:before="0" w:after="0" w:line="300" w:lineRule="auto"/>
        <w:rPr>
          <w:color w:val="auto"/>
        </w:rPr>
      </w:pPr>
    </w:p>
    <w:p w14:paraId="53E1AA94" w14:textId="606DDDCF" w:rsidR="003367CD" w:rsidRDefault="003367CD">
      <w:pPr>
        <w:pStyle w:val="11Bodytext"/>
        <w:numPr>
          <w:ilvl w:val="0"/>
          <w:numId w:val="0"/>
        </w:numPr>
        <w:spacing w:before="0" w:after="0" w:line="300" w:lineRule="auto"/>
        <w:rPr>
          <w:color w:val="auto"/>
        </w:rPr>
      </w:pPr>
    </w:p>
    <w:p w14:paraId="71E326D6" w14:textId="77777777" w:rsidR="003367CD" w:rsidRDefault="003367CD" w:rsidP="00172F56">
      <w:pPr>
        <w:pStyle w:val="11Bodytext"/>
        <w:numPr>
          <w:ilvl w:val="0"/>
          <w:numId w:val="0"/>
        </w:numPr>
        <w:spacing w:before="0" w:after="0" w:line="300" w:lineRule="auto"/>
        <w:rPr>
          <w:color w:val="auto"/>
        </w:rPr>
      </w:pPr>
    </w:p>
    <w:p w14:paraId="32ADBE58" w14:textId="6B39DCF2" w:rsidR="005923AA" w:rsidRPr="002A0F79" w:rsidRDefault="005923AA">
      <w:pPr>
        <w:pStyle w:val="11Bodytext"/>
        <w:numPr>
          <w:ilvl w:val="1"/>
          <w:numId w:val="37"/>
        </w:numPr>
        <w:tabs>
          <w:tab w:val="num" w:pos="0"/>
        </w:tabs>
        <w:spacing w:before="0" w:after="0" w:line="300" w:lineRule="auto"/>
        <w:ind w:left="720" w:hanging="720"/>
        <w:rPr>
          <w:color w:val="auto"/>
        </w:rPr>
      </w:pPr>
      <w:r w:rsidRPr="002A0F79">
        <w:t>Because shared ownership is based on buying part of a property, it is the case that the sale will need to be at open market value. Where there is a large gap between the typical incomes required to buy or rent, it may be the case that lower equity shares are needed for homes to be affordable (at the level of renting privately). The analysis below therefore seeks to estimate the typical equity share that might be affordable for different sizes of property with any share lower than 10% likely to be unavailable. The key assumptions used in the analysis are:</w:t>
      </w:r>
    </w:p>
    <w:p w14:paraId="25DE1CDD" w14:textId="77777777" w:rsidR="002A0F79" w:rsidRPr="002A0F79" w:rsidRDefault="002A0F79" w:rsidP="00172F56">
      <w:pPr>
        <w:pStyle w:val="11Bodytext"/>
        <w:numPr>
          <w:ilvl w:val="0"/>
          <w:numId w:val="0"/>
        </w:numPr>
        <w:tabs>
          <w:tab w:val="num" w:pos="0"/>
        </w:tabs>
        <w:spacing w:before="0" w:after="0" w:line="300" w:lineRule="auto"/>
        <w:rPr>
          <w:color w:val="auto"/>
        </w:rPr>
      </w:pPr>
    </w:p>
    <w:p w14:paraId="4E6C1427" w14:textId="77777777" w:rsidR="005923AA" w:rsidRPr="002A0F79" w:rsidRDefault="005923AA">
      <w:pPr>
        <w:pStyle w:val="ListParagraph"/>
        <w:numPr>
          <w:ilvl w:val="0"/>
          <w:numId w:val="39"/>
        </w:numPr>
        <w:spacing w:line="300" w:lineRule="auto"/>
        <w:jc w:val="both"/>
        <w:rPr>
          <w:rFonts w:ascii="Arial" w:hAnsi="Arial" w:cs="Arial"/>
          <w:sz w:val="20"/>
          <w:szCs w:val="20"/>
        </w:rPr>
      </w:pPr>
      <w:r w:rsidRPr="002A0F79">
        <w:rPr>
          <w:rFonts w:ascii="Arial" w:hAnsi="Arial" w:cs="Arial"/>
          <w:sz w:val="20"/>
          <w:szCs w:val="20"/>
        </w:rPr>
        <w:t>OMV at LQ price plus 10% (reflecting likelihood that newbuild homes will have a premium attached and that they may well be priced above a LQ level) – it should be noted that this is an assumption for modelling purposes and consideration will need to be given to the OMV of any specific product;</w:t>
      </w:r>
    </w:p>
    <w:p w14:paraId="234E025F" w14:textId="77777777" w:rsidR="005923AA" w:rsidRPr="002A0F79" w:rsidRDefault="005923AA">
      <w:pPr>
        <w:pStyle w:val="ListParagraph"/>
        <w:numPr>
          <w:ilvl w:val="0"/>
          <w:numId w:val="39"/>
        </w:numPr>
        <w:spacing w:line="300" w:lineRule="auto"/>
        <w:jc w:val="both"/>
        <w:rPr>
          <w:rFonts w:ascii="Arial" w:hAnsi="Arial" w:cs="Arial"/>
          <w:sz w:val="20"/>
          <w:szCs w:val="20"/>
        </w:rPr>
      </w:pPr>
      <w:r w:rsidRPr="002A0F79">
        <w:rPr>
          <w:rFonts w:ascii="Arial" w:hAnsi="Arial" w:cs="Arial"/>
          <w:sz w:val="20"/>
          <w:szCs w:val="20"/>
        </w:rPr>
        <w:t>10% deposit on the equity share;</w:t>
      </w:r>
    </w:p>
    <w:p w14:paraId="02BDC710" w14:textId="77777777" w:rsidR="005923AA" w:rsidRPr="002A0F79" w:rsidRDefault="005923AA">
      <w:pPr>
        <w:pStyle w:val="ListParagraph"/>
        <w:numPr>
          <w:ilvl w:val="0"/>
          <w:numId w:val="39"/>
        </w:numPr>
        <w:spacing w:line="300" w:lineRule="auto"/>
        <w:jc w:val="both"/>
        <w:rPr>
          <w:rFonts w:ascii="Arial" w:hAnsi="Arial" w:cs="Arial"/>
          <w:sz w:val="20"/>
          <w:szCs w:val="20"/>
        </w:rPr>
      </w:pPr>
      <w:r w:rsidRPr="002A0F79">
        <w:rPr>
          <w:rFonts w:ascii="Arial" w:hAnsi="Arial" w:cs="Arial"/>
          <w:sz w:val="20"/>
          <w:szCs w:val="20"/>
        </w:rPr>
        <w:t>Rent at 2.75% pa on unsold equity;</w:t>
      </w:r>
    </w:p>
    <w:p w14:paraId="458A6E67" w14:textId="77777777" w:rsidR="005923AA" w:rsidRPr="002A0F79" w:rsidRDefault="005923AA">
      <w:pPr>
        <w:pStyle w:val="ListParagraph"/>
        <w:numPr>
          <w:ilvl w:val="0"/>
          <w:numId w:val="39"/>
        </w:numPr>
        <w:spacing w:line="300" w:lineRule="auto"/>
        <w:jc w:val="both"/>
        <w:rPr>
          <w:rFonts w:ascii="Arial" w:hAnsi="Arial" w:cs="Arial"/>
          <w:sz w:val="20"/>
          <w:szCs w:val="20"/>
        </w:rPr>
      </w:pPr>
      <w:r w:rsidRPr="002A0F79">
        <w:rPr>
          <w:rFonts w:ascii="Arial" w:hAnsi="Arial" w:cs="Arial"/>
          <w:sz w:val="20"/>
          <w:szCs w:val="20"/>
        </w:rPr>
        <w:t>Repayment mortgage over 25-years at 4%;</w:t>
      </w:r>
    </w:p>
    <w:p w14:paraId="6ABA4B19" w14:textId="0D400EB3" w:rsidR="005923AA" w:rsidRPr="002A0F79" w:rsidRDefault="005923AA">
      <w:pPr>
        <w:pStyle w:val="ListParagraph"/>
        <w:numPr>
          <w:ilvl w:val="0"/>
          <w:numId w:val="39"/>
        </w:numPr>
        <w:spacing w:line="300" w:lineRule="auto"/>
        <w:jc w:val="both"/>
        <w:rPr>
          <w:rFonts w:ascii="Arial" w:hAnsi="Arial" w:cs="Arial"/>
          <w:sz w:val="20"/>
          <w:szCs w:val="20"/>
        </w:rPr>
      </w:pPr>
      <w:r w:rsidRPr="002A0F79">
        <w:rPr>
          <w:rFonts w:ascii="Arial" w:hAnsi="Arial" w:cs="Arial"/>
          <w:sz w:val="20"/>
          <w:szCs w:val="20"/>
        </w:rPr>
        <w:t>For flatted development it is likely there would also be a service charge, the analysis assumes a £100 per month charge for 1- and 2-bedroom homes; and</w:t>
      </w:r>
    </w:p>
    <w:p w14:paraId="07DFDB39" w14:textId="03979241" w:rsidR="005923AA" w:rsidRDefault="005923AA">
      <w:pPr>
        <w:pStyle w:val="ListParagraph"/>
        <w:numPr>
          <w:ilvl w:val="0"/>
          <w:numId w:val="39"/>
        </w:numPr>
        <w:spacing w:line="300" w:lineRule="auto"/>
        <w:jc w:val="both"/>
        <w:rPr>
          <w:rFonts w:ascii="Arial" w:hAnsi="Arial" w:cs="Arial"/>
          <w:sz w:val="20"/>
          <w:szCs w:val="20"/>
        </w:rPr>
      </w:pPr>
      <w:r w:rsidRPr="002A0F79">
        <w:rPr>
          <w:rFonts w:ascii="Arial" w:hAnsi="Arial" w:cs="Arial"/>
          <w:sz w:val="20"/>
          <w:szCs w:val="20"/>
        </w:rPr>
        <w:t>It is also assumed that shared ownership would be priced for households sitting towards the bottom end of the rent/buy gap and so the calculations assume that total outgoings should be no higher than the equivalent private rent (lower quartile) cost for that size of property.</w:t>
      </w:r>
    </w:p>
    <w:p w14:paraId="11188043" w14:textId="77777777" w:rsidR="002A0F79" w:rsidRPr="002A0F79" w:rsidRDefault="002A0F79" w:rsidP="00172F56">
      <w:pPr>
        <w:pStyle w:val="11Bodytext"/>
        <w:numPr>
          <w:ilvl w:val="0"/>
          <w:numId w:val="0"/>
        </w:numPr>
        <w:spacing w:before="0" w:after="0" w:line="300" w:lineRule="auto"/>
        <w:rPr>
          <w:color w:val="auto"/>
        </w:rPr>
      </w:pPr>
    </w:p>
    <w:p w14:paraId="31E9C4B8" w14:textId="244D0FB3" w:rsidR="005923AA" w:rsidRPr="002A0F79" w:rsidRDefault="005923AA">
      <w:pPr>
        <w:pStyle w:val="11Bodytext"/>
        <w:numPr>
          <w:ilvl w:val="1"/>
          <w:numId w:val="37"/>
        </w:numPr>
        <w:tabs>
          <w:tab w:val="num" w:pos="0"/>
        </w:tabs>
        <w:spacing w:before="0" w:after="0" w:line="300" w:lineRule="auto"/>
        <w:ind w:left="720" w:hanging="720"/>
        <w:rPr>
          <w:color w:val="auto"/>
        </w:rPr>
      </w:pPr>
      <w:r w:rsidRPr="002A0F79">
        <w:t>The table below shows that to make shared ownership affordable, equity shares in the region of around 50% could work for homes up to 3-bedrooms, although figures closer to 15% are likely to be required for homes with 4+-bedrooms. It seems likely that it will be quite difficult to make shared ownership ‘work’ for homes with 4+-bedrooms. The Council could consider additional rented homes of these sizes where it is difficult to make homes genuinely affordable.</w:t>
      </w:r>
    </w:p>
    <w:p w14:paraId="3B6014ED" w14:textId="77777777" w:rsidR="002A0F79" w:rsidRPr="002A0F79" w:rsidRDefault="002A0F79" w:rsidP="00172F56">
      <w:pPr>
        <w:pStyle w:val="11Bodytext"/>
        <w:numPr>
          <w:ilvl w:val="0"/>
          <w:numId w:val="0"/>
        </w:numPr>
        <w:spacing w:before="0" w:after="0" w:line="300" w:lineRule="auto"/>
        <w:rPr>
          <w:color w:val="auto"/>
        </w:rPr>
      </w:pPr>
    </w:p>
    <w:p w14:paraId="702C845B" w14:textId="62D6110E" w:rsidR="005923AA" w:rsidRPr="002A0F79" w:rsidRDefault="005923AA">
      <w:pPr>
        <w:pStyle w:val="11Bodytext"/>
        <w:numPr>
          <w:ilvl w:val="1"/>
          <w:numId w:val="37"/>
        </w:numPr>
        <w:spacing w:before="0" w:after="0" w:line="300" w:lineRule="auto"/>
        <w:ind w:left="720" w:hanging="720"/>
        <w:rPr>
          <w:color w:val="auto"/>
        </w:rPr>
      </w:pPr>
      <w:r>
        <w:t>It</w:t>
      </w:r>
      <w:r w:rsidRPr="002A0F79">
        <w:t xml:space="preserve"> should also be noted that the analysis below is predicated on a particular set of assumptions (notably about likely OMV). In reality costs do vary across the area and will vary from site to site. Therefore, this analysis should be seen as indicative with specific schemes being tested individually to determine if the product being offered is genuinely (or reasonably) affordable.</w:t>
      </w:r>
    </w:p>
    <w:p w14:paraId="36E0B408" w14:textId="77777777" w:rsidR="002A0F79" w:rsidRPr="002A0F79" w:rsidRDefault="002A0F79" w:rsidP="00172F56">
      <w:pPr>
        <w:pStyle w:val="11Bodytext"/>
        <w:numPr>
          <w:ilvl w:val="0"/>
          <w:numId w:val="0"/>
        </w:numPr>
        <w:tabs>
          <w:tab w:val="num" w:pos="0"/>
        </w:tabs>
        <w:spacing w:before="0" w:after="0" w:line="300" w:lineRule="auto"/>
        <w:rPr>
          <w:color w:val="auto"/>
        </w:rPr>
      </w:pPr>
    </w:p>
    <w:tbl>
      <w:tblPr>
        <w:tblStyle w:val="TableTheme"/>
        <w:tblW w:w="8199" w:type="dxa"/>
        <w:jc w:val="center"/>
        <w:tblLook w:val="04A0" w:firstRow="1" w:lastRow="0" w:firstColumn="1" w:lastColumn="0" w:noHBand="0" w:noVBand="1"/>
      </w:tblPr>
      <w:tblGrid>
        <w:gridCol w:w="3256"/>
        <w:gridCol w:w="1235"/>
        <w:gridCol w:w="1236"/>
        <w:gridCol w:w="1236"/>
        <w:gridCol w:w="1236"/>
      </w:tblGrid>
      <w:tr w:rsidR="002A0F79" w:rsidRPr="002A0F79" w14:paraId="43A5D669" w14:textId="77777777" w:rsidTr="008469E3">
        <w:trPr>
          <w:jc w:val="center"/>
        </w:trPr>
        <w:tc>
          <w:tcPr>
            <w:tcW w:w="8199" w:type="dxa"/>
            <w:gridSpan w:val="5"/>
          </w:tcPr>
          <w:p w14:paraId="258D9550" w14:textId="49592133" w:rsidR="002A0F79" w:rsidRPr="002A0F79" w:rsidRDefault="002A0F79" w:rsidP="0014104A">
            <w:pPr>
              <w:pStyle w:val="BodyText"/>
              <w:keepNext/>
              <w:tabs>
                <w:tab w:val="left" w:pos="720"/>
              </w:tabs>
              <w:spacing w:before="60" w:after="60" w:line="300" w:lineRule="auto"/>
              <w:jc w:val="center"/>
              <w:rPr>
                <w:rFonts w:cs="Arial"/>
                <w:b/>
              </w:rPr>
            </w:pPr>
            <w:r w:rsidRPr="002A0F79">
              <w:rPr>
                <w:rFonts w:cs="Arial"/>
                <w:b/>
              </w:rPr>
              <w:t>Figure 4.</w:t>
            </w:r>
            <w:r w:rsidR="00DF6242">
              <w:rPr>
                <w:rFonts w:cs="Arial"/>
                <w:b/>
              </w:rPr>
              <w:t>8</w:t>
            </w:r>
            <w:r w:rsidRPr="002A0F79">
              <w:rPr>
                <w:rFonts w:cs="Arial"/>
                <w:b/>
              </w:rPr>
              <w:t>: Estimated Affordable Equity Share by Size – Fylde</w:t>
            </w:r>
          </w:p>
        </w:tc>
      </w:tr>
      <w:tr w:rsidR="005923AA" w:rsidRPr="005923AA" w14:paraId="632ADF32" w14:textId="77777777" w:rsidTr="002A0F79">
        <w:trPr>
          <w:jc w:val="center"/>
        </w:trPr>
        <w:tc>
          <w:tcPr>
            <w:tcW w:w="3256" w:type="dxa"/>
          </w:tcPr>
          <w:p w14:paraId="55188E9B" w14:textId="77777777" w:rsidR="005923AA" w:rsidRPr="005923AA" w:rsidRDefault="005923AA" w:rsidP="0014104A">
            <w:pPr>
              <w:keepNext/>
              <w:spacing w:line="300" w:lineRule="auto"/>
              <w:rPr>
                <w:rFonts w:ascii="Arial" w:hAnsi="Arial" w:cs="Arial"/>
                <w:bCs/>
                <w:sz w:val="20"/>
                <w:szCs w:val="20"/>
              </w:rPr>
            </w:pPr>
          </w:p>
        </w:tc>
        <w:tc>
          <w:tcPr>
            <w:tcW w:w="1235" w:type="dxa"/>
          </w:tcPr>
          <w:p w14:paraId="2A23AA73"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bCs/>
              </w:rPr>
              <w:t>1-bedroom</w:t>
            </w:r>
          </w:p>
        </w:tc>
        <w:tc>
          <w:tcPr>
            <w:tcW w:w="1236" w:type="dxa"/>
            <w:hideMark/>
          </w:tcPr>
          <w:p w14:paraId="354EC4F6"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bCs/>
              </w:rPr>
              <w:t>2-bedrooms</w:t>
            </w:r>
          </w:p>
        </w:tc>
        <w:tc>
          <w:tcPr>
            <w:tcW w:w="1236" w:type="dxa"/>
            <w:hideMark/>
          </w:tcPr>
          <w:p w14:paraId="29E6DA46"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bCs/>
              </w:rPr>
              <w:t>3-bedrooms</w:t>
            </w:r>
          </w:p>
        </w:tc>
        <w:tc>
          <w:tcPr>
            <w:tcW w:w="1236" w:type="dxa"/>
            <w:hideMark/>
          </w:tcPr>
          <w:p w14:paraId="18507F28"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bCs/>
              </w:rPr>
              <w:t>4-bedrooms</w:t>
            </w:r>
          </w:p>
        </w:tc>
      </w:tr>
      <w:tr w:rsidR="005923AA" w:rsidRPr="005923AA" w14:paraId="506FDAA6" w14:textId="77777777" w:rsidTr="002A0F79">
        <w:trPr>
          <w:jc w:val="center"/>
        </w:trPr>
        <w:tc>
          <w:tcPr>
            <w:tcW w:w="3256" w:type="dxa"/>
            <w:hideMark/>
          </w:tcPr>
          <w:p w14:paraId="7EC16DCE" w14:textId="77777777" w:rsidR="005923AA" w:rsidRPr="005923AA" w:rsidRDefault="005923AA" w:rsidP="0014104A">
            <w:pPr>
              <w:pStyle w:val="BodyText"/>
              <w:keepNext/>
              <w:tabs>
                <w:tab w:val="left" w:pos="720"/>
              </w:tabs>
              <w:spacing w:after="0" w:line="300" w:lineRule="auto"/>
              <w:rPr>
                <w:rFonts w:cs="Arial"/>
                <w:bCs/>
              </w:rPr>
            </w:pPr>
            <w:r w:rsidRPr="005923AA">
              <w:rPr>
                <w:rFonts w:cs="Arial"/>
                <w:bCs/>
              </w:rPr>
              <w:t>OMV</w:t>
            </w:r>
          </w:p>
        </w:tc>
        <w:tc>
          <w:tcPr>
            <w:tcW w:w="1235" w:type="dxa"/>
          </w:tcPr>
          <w:p w14:paraId="5D9E8693" w14:textId="77777777" w:rsidR="005923AA" w:rsidRPr="005923AA" w:rsidRDefault="005923AA" w:rsidP="0014104A">
            <w:pPr>
              <w:pStyle w:val="BodyText"/>
              <w:keepNext/>
              <w:tabs>
                <w:tab w:val="left" w:pos="720"/>
              </w:tabs>
              <w:spacing w:after="0" w:line="300" w:lineRule="auto"/>
              <w:jc w:val="center"/>
              <w:rPr>
                <w:rFonts w:cs="Arial"/>
                <w:color w:val="000000"/>
              </w:rPr>
            </w:pPr>
            <w:r w:rsidRPr="005923AA">
              <w:rPr>
                <w:rFonts w:cs="Arial"/>
                <w:color w:val="000000"/>
              </w:rPr>
              <w:t>£77,000</w:t>
            </w:r>
          </w:p>
        </w:tc>
        <w:tc>
          <w:tcPr>
            <w:tcW w:w="1236" w:type="dxa"/>
            <w:hideMark/>
          </w:tcPr>
          <w:p w14:paraId="259D904B"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£126,500</w:t>
            </w:r>
          </w:p>
        </w:tc>
        <w:tc>
          <w:tcPr>
            <w:tcW w:w="1236" w:type="dxa"/>
            <w:hideMark/>
          </w:tcPr>
          <w:p w14:paraId="28B54D63"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£187,000</w:t>
            </w:r>
          </w:p>
        </w:tc>
        <w:tc>
          <w:tcPr>
            <w:tcW w:w="1236" w:type="dxa"/>
            <w:hideMark/>
          </w:tcPr>
          <w:p w14:paraId="4E669506"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£302,500</w:t>
            </w:r>
          </w:p>
        </w:tc>
      </w:tr>
      <w:tr w:rsidR="005923AA" w:rsidRPr="005923AA" w14:paraId="61928E5D" w14:textId="77777777" w:rsidTr="002A0F79">
        <w:trPr>
          <w:jc w:val="center"/>
        </w:trPr>
        <w:tc>
          <w:tcPr>
            <w:tcW w:w="3256" w:type="dxa"/>
            <w:hideMark/>
          </w:tcPr>
          <w:p w14:paraId="6E23F97A" w14:textId="77777777" w:rsidR="005923AA" w:rsidRPr="005923AA" w:rsidRDefault="005923AA" w:rsidP="0014104A">
            <w:pPr>
              <w:pStyle w:val="BodyText"/>
              <w:keepNext/>
              <w:tabs>
                <w:tab w:val="left" w:pos="720"/>
              </w:tabs>
              <w:spacing w:after="0" w:line="300" w:lineRule="auto"/>
              <w:rPr>
                <w:rFonts w:cs="Arial"/>
                <w:bCs/>
              </w:rPr>
            </w:pPr>
            <w:r w:rsidRPr="005923AA">
              <w:rPr>
                <w:rFonts w:cs="Arial"/>
                <w:bCs/>
              </w:rPr>
              <w:t>Share</w:t>
            </w:r>
          </w:p>
        </w:tc>
        <w:tc>
          <w:tcPr>
            <w:tcW w:w="1235" w:type="dxa"/>
          </w:tcPr>
          <w:p w14:paraId="7526C217" w14:textId="77777777" w:rsidR="005923AA" w:rsidRPr="005923AA" w:rsidRDefault="005923AA" w:rsidP="0014104A">
            <w:pPr>
              <w:pStyle w:val="BodyText"/>
              <w:keepNext/>
              <w:tabs>
                <w:tab w:val="left" w:pos="720"/>
              </w:tabs>
              <w:spacing w:after="0" w:line="300" w:lineRule="auto"/>
              <w:jc w:val="center"/>
              <w:rPr>
                <w:rFonts w:cs="Arial"/>
                <w:color w:val="000000"/>
              </w:rPr>
            </w:pPr>
            <w:r w:rsidRPr="005923AA">
              <w:rPr>
                <w:rFonts w:cs="Arial"/>
                <w:color w:val="000000"/>
              </w:rPr>
              <w:t>64%</w:t>
            </w:r>
          </w:p>
        </w:tc>
        <w:tc>
          <w:tcPr>
            <w:tcW w:w="1236" w:type="dxa"/>
            <w:hideMark/>
          </w:tcPr>
          <w:p w14:paraId="6AF0E776"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42%</w:t>
            </w:r>
          </w:p>
        </w:tc>
        <w:tc>
          <w:tcPr>
            <w:tcW w:w="1236" w:type="dxa"/>
            <w:hideMark/>
          </w:tcPr>
          <w:p w14:paraId="36EC847E"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48%</w:t>
            </w:r>
          </w:p>
        </w:tc>
        <w:tc>
          <w:tcPr>
            <w:tcW w:w="1236" w:type="dxa"/>
            <w:hideMark/>
          </w:tcPr>
          <w:p w14:paraId="2AA39B89"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14%</w:t>
            </w:r>
          </w:p>
        </w:tc>
      </w:tr>
      <w:tr w:rsidR="005923AA" w:rsidRPr="005923AA" w14:paraId="3BA600F8" w14:textId="77777777" w:rsidTr="002A0F79">
        <w:trPr>
          <w:jc w:val="center"/>
        </w:trPr>
        <w:tc>
          <w:tcPr>
            <w:tcW w:w="3256" w:type="dxa"/>
            <w:hideMark/>
          </w:tcPr>
          <w:p w14:paraId="4E6C7D72" w14:textId="77777777" w:rsidR="005923AA" w:rsidRPr="005923AA" w:rsidRDefault="005923AA" w:rsidP="0014104A">
            <w:pPr>
              <w:pStyle w:val="BodyText"/>
              <w:keepNext/>
              <w:tabs>
                <w:tab w:val="left" w:pos="720"/>
              </w:tabs>
              <w:spacing w:after="0" w:line="300" w:lineRule="auto"/>
              <w:rPr>
                <w:rFonts w:cs="Arial"/>
                <w:bCs/>
              </w:rPr>
            </w:pPr>
            <w:r w:rsidRPr="005923AA">
              <w:rPr>
                <w:rFonts w:cs="Arial"/>
                <w:bCs/>
              </w:rPr>
              <w:t>Equity Bought</w:t>
            </w:r>
          </w:p>
        </w:tc>
        <w:tc>
          <w:tcPr>
            <w:tcW w:w="1235" w:type="dxa"/>
          </w:tcPr>
          <w:p w14:paraId="33155B54" w14:textId="77777777" w:rsidR="005923AA" w:rsidRPr="005923AA" w:rsidRDefault="005923AA" w:rsidP="0014104A">
            <w:pPr>
              <w:pStyle w:val="BodyText"/>
              <w:keepNext/>
              <w:tabs>
                <w:tab w:val="left" w:pos="720"/>
              </w:tabs>
              <w:spacing w:after="0" w:line="300" w:lineRule="auto"/>
              <w:jc w:val="center"/>
              <w:rPr>
                <w:rFonts w:cs="Arial"/>
                <w:color w:val="000000"/>
              </w:rPr>
            </w:pPr>
            <w:r w:rsidRPr="005923AA">
              <w:rPr>
                <w:rFonts w:cs="Arial"/>
                <w:color w:val="000000"/>
              </w:rPr>
              <w:t>£49,000</w:t>
            </w:r>
          </w:p>
        </w:tc>
        <w:tc>
          <w:tcPr>
            <w:tcW w:w="1236" w:type="dxa"/>
            <w:hideMark/>
          </w:tcPr>
          <w:p w14:paraId="555D61FB"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£52,900</w:t>
            </w:r>
          </w:p>
        </w:tc>
        <w:tc>
          <w:tcPr>
            <w:tcW w:w="1236" w:type="dxa"/>
            <w:hideMark/>
          </w:tcPr>
          <w:p w14:paraId="7A84CA6C"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£90,100</w:t>
            </w:r>
          </w:p>
        </w:tc>
        <w:tc>
          <w:tcPr>
            <w:tcW w:w="1236" w:type="dxa"/>
            <w:hideMark/>
          </w:tcPr>
          <w:p w14:paraId="5356952F"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£43,600</w:t>
            </w:r>
          </w:p>
        </w:tc>
      </w:tr>
      <w:tr w:rsidR="005923AA" w:rsidRPr="005923AA" w14:paraId="331031E7" w14:textId="77777777" w:rsidTr="002A0F79">
        <w:trPr>
          <w:jc w:val="center"/>
        </w:trPr>
        <w:tc>
          <w:tcPr>
            <w:tcW w:w="3256" w:type="dxa"/>
            <w:hideMark/>
          </w:tcPr>
          <w:p w14:paraId="6A7FFC37" w14:textId="77777777" w:rsidR="005923AA" w:rsidRPr="005923AA" w:rsidRDefault="005923AA" w:rsidP="0014104A">
            <w:pPr>
              <w:pStyle w:val="BodyText"/>
              <w:keepNext/>
              <w:tabs>
                <w:tab w:val="left" w:pos="720"/>
              </w:tabs>
              <w:spacing w:after="0" w:line="300" w:lineRule="auto"/>
              <w:rPr>
                <w:rFonts w:cs="Arial"/>
                <w:bCs/>
              </w:rPr>
            </w:pPr>
            <w:r w:rsidRPr="005923AA">
              <w:rPr>
                <w:rFonts w:cs="Arial"/>
                <w:bCs/>
              </w:rPr>
              <w:t>Mortgage Needed</w:t>
            </w:r>
          </w:p>
        </w:tc>
        <w:tc>
          <w:tcPr>
            <w:tcW w:w="1235" w:type="dxa"/>
          </w:tcPr>
          <w:p w14:paraId="4AFBA6D1" w14:textId="77777777" w:rsidR="005923AA" w:rsidRPr="005923AA" w:rsidRDefault="005923AA" w:rsidP="0014104A">
            <w:pPr>
              <w:pStyle w:val="BodyText"/>
              <w:keepNext/>
              <w:tabs>
                <w:tab w:val="left" w:pos="720"/>
              </w:tabs>
              <w:spacing w:after="0" w:line="300" w:lineRule="auto"/>
              <w:jc w:val="center"/>
              <w:rPr>
                <w:rFonts w:cs="Arial"/>
                <w:color w:val="000000"/>
              </w:rPr>
            </w:pPr>
            <w:r w:rsidRPr="005923AA">
              <w:rPr>
                <w:rFonts w:cs="Arial"/>
                <w:color w:val="000000"/>
              </w:rPr>
              <w:t>£44,100</w:t>
            </w:r>
          </w:p>
        </w:tc>
        <w:tc>
          <w:tcPr>
            <w:tcW w:w="1236" w:type="dxa"/>
            <w:hideMark/>
          </w:tcPr>
          <w:p w14:paraId="333B7BCA"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£47,600</w:t>
            </w:r>
          </w:p>
        </w:tc>
        <w:tc>
          <w:tcPr>
            <w:tcW w:w="1236" w:type="dxa"/>
            <w:hideMark/>
          </w:tcPr>
          <w:p w14:paraId="0C08C263"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£81,100</w:t>
            </w:r>
          </w:p>
        </w:tc>
        <w:tc>
          <w:tcPr>
            <w:tcW w:w="1236" w:type="dxa"/>
            <w:hideMark/>
          </w:tcPr>
          <w:p w14:paraId="471606D0"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£39,200</w:t>
            </w:r>
          </w:p>
        </w:tc>
      </w:tr>
      <w:tr w:rsidR="005923AA" w:rsidRPr="005923AA" w14:paraId="7D129A15" w14:textId="77777777" w:rsidTr="002A0F79">
        <w:trPr>
          <w:jc w:val="center"/>
        </w:trPr>
        <w:tc>
          <w:tcPr>
            <w:tcW w:w="3256" w:type="dxa"/>
            <w:hideMark/>
          </w:tcPr>
          <w:p w14:paraId="0F574AAE" w14:textId="77777777" w:rsidR="005923AA" w:rsidRPr="005923AA" w:rsidRDefault="005923AA" w:rsidP="0014104A">
            <w:pPr>
              <w:pStyle w:val="BodyText"/>
              <w:keepNext/>
              <w:tabs>
                <w:tab w:val="left" w:pos="720"/>
              </w:tabs>
              <w:spacing w:after="0" w:line="300" w:lineRule="auto"/>
              <w:rPr>
                <w:rFonts w:cs="Arial"/>
                <w:bCs/>
              </w:rPr>
            </w:pPr>
            <w:r w:rsidRPr="005923AA">
              <w:rPr>
                <w:rFonts w:cs="Arial"/>
                <w:bCs/>
              </w:rPr>
              <w:t>Monthly Cost of Mortgage</w:t>
            </w:r>
          </w:p>
        </w:tc>
        <w:tc>
          <w:tcPr>
            <w:tcW w:w="1235" w:type="dxa"/>
          </w:tcPr>
          <w:p w14:paraId="22D8ADEF" w14:textId="77777777" w:rsidR="005923AA" w:rsidRPr="005923AA" w:rsidRDefault="005923AA" w:rsidP="0014104A">
            <w:pPr>
              <w:pStyle w:val="BodyText"/>
              <w:keepNext/>
              <w:tabs>
                <w:tab w:val="left" w:pos="720"/>
              </w:tabs>
              <w:spacing w:after="0" w:line="300" w:lineRule="auto"/>
              <w:jc w:val="center"/>
              <w:rPr>
                <w:rFonts w:cs="Arial"/>
                <w:color w:val="000000"/>
              </w:rPr>
            </w:pPr>
            <w:r w:rsidRPr="005923AA">
              <w:rPr>
                <w:rFonts w:cs="Arial"/>
                <w:color w:val="000000"/>
              </w:rPr>
              <w:t>£233</w:t>
            </w:r>
          </w:p>
        </w:tc>
        <w:tc>
          <w:tcPr>
            <w:tcW w:w="1236" w:type="dxa"/>
            <w:hideMark/>
          </w:tcPr>
          <w:p w14:paraId="6D95708E"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£251</w:t>
            </w:r>
          </w:p>
        </w:tc>
        <w:tc>
          <w:tcPr>
            <w:tcW w:w="1236" w:type="dxa"/>
            <w:hideMark/>
          </w:tcPr>
          <w:p w14:paraId="190BE369"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£428</w:t>
            </w:r>
          </w:p>
        </w:tc>
        <w:tc>
          <w:tcPr>
            <w:tcW w:w="1236" w:type="dxa"/>
            <w:hideMark/>
          </w:tcPr>
          <w:p w14:paraId="781FF54E"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£207</w:t>
            </w:r>
          </w:p>
        </w:tc>
      </w:tr>
      <w:tr w:rsidR="005923AA" w:rsidRPr="005923AA" w14:paraId="62A7028E" w14:textId="77777777" w:rsidTr="002A0F79">
        <w:trPr>
          <w:jc w:val="center"/>
        </w:trPr>
        <w:tc>
          <w:tcPr>
            <w:tcW w:w="3256" w:type="dxa"/>
            <w:hideMark/>
          </w:tcPr>
          <w:p w14:paraId="4DAE156F" w14:textId="77777777" w:rsidR="005923AA" w:rsidRPr="005923AA" w:rsidRDefault="005923AA" w:rsidP="0014104A">
            <w:pPr>
              <w:pStyle w:val="BodyText"/>
              <w:keepNext/>
              <w:tabs>
                <w:tab w:val="left" w:pos="720"/>
              </w:tabs>
              <w:spacing w:after="0" w:line="300" w:lineRule="auto"/>
              <w:rPr>
                <w:rFonts w:cs="Arial"/>
                <w:bCs/>
              </w:rPr>
            </w:pPr>
            <w:r w:rsidRPr="005923AA">
              <w:rPr>
                <w:rFonts w:cs="Arial"/>
                <w:bCs/>
              </w:rPr>
              <w:t>Retained Equity</w:t>
            </w:r>
          </w:p>
        </w:tc>
        <w:tc>
          <w:tcPr>
            <w:tcW w:w="1235" w:type="dxa"/>
          </w:tcPr>
          <w:p w14:paraId="2A791C44" w14:textId="77777777" w:rsidR="005923AA" w:rsidRPr="005923AA" w:rsidRDefault="005923AA" w:rsidP="0014104A">
            <w:pPr>
              <w:pStyle w:val="BodyText"/>
              <w:keepNext/>
              <w:tabs>
                <w:tab w:val="left" w:pos="720"/>
              </w:tabs>
              <w:spacing w:after="0" w:line="300" w:lineRule="auto"/>
              <w:jc w:val="center"/>
              <w:rPr>
                <w:rFonts w:cs="Arial"/>
                <w:color w:val="000000"/>
              </w:rPr>
            </w:pPr>
            <w:r w:rsidRPr="005923AA">
              <w:rPr>
                <w:rFonts w:cs="Arial"/>
              </w:rPr>
              <w:t>£28,000</w:t>
            </w:r>
          </w:p>
        </w:tc>
        <w:tc>
          <w:tcPr>
            <w:tcW w:w="1236" w:type="dxa"/>
            <w:hideMark/>
          </w:tcPr>
          <w:p w14:paraId="033E277C"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rPr>
              <w:t>£73,600</w:t>
            </w:r>
          </w:p>
        </w:tc>
        <w:tc>
          <w:tcPr>
            <w:tcW w:w="1236" w:type="dxa"/>
            <w:hideMark/>
          </w:tcPr>
          <w:p w14:paraId="027D7E2B"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rPr>
              <w:t>£96,900</w:t>
            </w:r>
          </w:p>
        </w:tc>
        <w:tc>
          <w:tcPr>
            <w:tcW w:w="1236" w:type="dxa"/>
            <w:hideMark/>
          </w:tcPr>
          <w:p w14:paraId="235DDAFE"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rPr>
              <w:t>£258,900</w:t>
            </w:r>
          </w:p>
        </w:tc>
      </w:tr>
      <w:tr w:rsidR="005923AA" w:rsidRPr="005923AA" w14:paraId="3424E9EE" w14:textId="77777777" w:rsidTr="002A0F79">
        <w:trPr>
          <w:jc w:val="center"/>
        </w:trPr>
        <w:tc>
          <w:tcPr>
            <w:tcW w:w="3256" w:type="dxa"/>
            <w:hideMark/>
          </w:tcPr>
          <w:p w14:paraId="3C19F44D" w14:textId="77777777" w:rsidR="005923AA" w:rsidRPr="005923AA" w:rsidRDefault="005923AA" w:rsidP="0014104A">
            <w:pPr>
              <w:pStyle w:val="BodyText"/>
              <w:keepNext/>
              <w:tabs>
                <w:tab w:val="left" w:pos="720"/>
              </w:tabs>
              <w:spacing w:after="0" w:line="300" w:lineRule="auto"/>
              <w:rPr>
                <w:rFonts w:cs="Arial"/>
                <w:bCs/>
              </w:rPr>
            </w:pPr>
            <w:r w:rsidRPr="005923AA">
              <w:rPr>
                <w:rFonts w:cs="Arial"/>
                <w:bCs/>
              </w:rPr>
              <w:t>Monthly Rent on Retained Equity</w:t>
            </w:r>
          </w:p>
        </w:tc>
        <w:tc>
          <w:tcPr>
            <w:tcW w:w="1235" w:type="dxa"/>
          </w:tcPr>
          <w:p w14:paraId="4ABE0B55" w14:textId="77777777" w:rsidR="005923AA" w:rsidRPr="005923AA" w:rsidRDefault="005923AA" w:rsidP="0014104A">
            <w:pPr>
              <w:pStyle w:val="BodyText"/>
              <w:keepNext/>
              <w:tabs>
                <w:tab w:val="left" w:pos="720"/>
              </w:tabs>
              <w:spacing w:after="0" w:line="300" w:lineRule="auto"/>
              <w:jc w:val="center"/>
              <w:rPr>
                <w:rFonts w:cs="Arial"/>
                <w:color w:val="000000"/>
              </w:rPr>
            </w:pPr>
            <w:r w:rsidRPr="005923AA">
              <w:rPr>
                <w:rFonts w:cs="Arial"/>
                <w:color w:val="000000"/>
              </w:rPr>
              <w:t>£64</w:t>
            </w:r>
          </w:p>
        </w:tc>
        <w:tc>
          <w:tcPr>
            <w:tcW w:w="1236" w:type="dxa"/>
            <w:hideMark/>
          </w:tcPr>
          <w:p w14:paraId="77C5A227"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£169</w:t>
            </w:r>
          </w:p>
        </w:tc>
        <w:tc>
          <w:tcPr>
            <w:tcW w:w="1236" w:type="dxa"/>
            <w:hideMark/>
          </w:tcPr>
          <w:p w14:paraId="73EAB00B"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£222</w:t>
            </w:r>
          </w:p>
        </w:tc>
        <w:tc>
          <w:tcPr>
            <w:tcW w:w="1236" w:type="dxa"/>
            <w:hideMark/>
          </w:tcPr>
          <w:p w14:paraId="0D709C32"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£593</w:t>
            </w:r>
          </w:p>
        </w:tc>
      </w:tr>
      <w:tr w:rsidR="005923AA" w:rsidRPr="005923AA" w14:paraId="67010697" w14:textId="77777777" w:rsidTr="002A0F79">
        <w:trPr>
          <w:jc w:val="center"/>
        </w:trPr>
        <w:tc>
          <w:tcPr>
            <w:tcW w:w="3256" w:type="dxa"/>
            <w:hideMark/>
          </w:tcPr>
          <w:p w14:paraId="072F190B" w14:textId="77777777" w:rsidR="005923AA" w:rsidRPr="005923AA" w:rsidRDefault="005923AA" w:rsidP="0014104A">
            <w:pPr>
              <w:pStyle w:val="BodyText"/>
              <w:keepNext/>
              <w:tabs>
                <w:tab w:val="left" w:pos="720"/>
              </w:tabs>
              <w:spacing w:after="0" w:line="300" w:lineRule="auto"/>
              <w:rPr>
                <w:rFonts w:cs="Arial"/>
                <w:bCs/>
              </w:rPr>
            </w:pPr>
            <w:r w:rsidRPr="005923AA">
              <w:rPr>
                <w:rFonts w:cs="Arial"/>
                <w:bCs/>
              </w:rPr>
              <w:t>Service Charge per month</w:t>
            </w:r>
          </w:p>
        </w:tc>
        <w:tc>
          <w:tcPr>
            <w:tcW w:w="1235" w:type="dxa"/>
          </w:tcPr>
          <w:p w14:paraId="34E07CB6" w14:textId="77777777" w:rsidR="005923AA" w:rsidRPr="005923AA" w:rsidRDefault="005923AA" w:rsidP="0014104A">
            <w:pPr>
              <w:pStyle w:val="BodyText"/>
              <w:keepNext/>
              <w:tabs>
                <w:tab w:val="left" w:pos="720"/>
              </w:tabs>
              <w:spacing w:after="0" w:line="300" w:lineRule="auto"/>
              <w:jc w:val="center"/>
              <w:rPr>
                <w:rFonts w:cs="Arial"/>
                <w:color w:val="000000"/>
              </w:rPr>
            </w:pPr>
            <w:r w:rsidRPr="005923AA">
              <w:rPr>
                <w:rFonts w:cs="Arial"/>
                <w:color w:val="000000"/>
              </w:rPr>
              <w:t>£100</w:t>
            </w:r>
          </w:p>
        </w:tc>
        <w:tc>
          <w:tcPr>
            <w:tcW w:w="1236" w:type="dxa"/>
            <w:hideMark/>
          </w:tcPr>
          <w:p w14:paraId="231D110F"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£100</w:t>
            </w:r>
          </w:p>
        </w:tc>
        <w:tc>
          <w:tcPr>
            <w:tcW w:w="1236" w:type="dxa"/>
            <w:hideMark/>
          </w:tcPr>
          <w:p w14:paraId="2D24361B"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£0</w:t>
            </w:r>
          </w:p>
        </w:tc>
        <w:tc>
          <w:tcPr>
            <w:tcW w:w="1236" w:type="dxa"/>
            <w:hideMark/>
          </w:tcPr>
          <w:p w14:paraId="613C727D"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£0</w:t>
            </w:r>
          </w:p>
        </w:tc>
      </w:tr>
      <w:tr w:rsidR="005923AA" w:rsidRPr="005923AA" w14:paraId="448184A2" w14:textId="77777777" w:rsidTr="002A0F79">
        <w:trPr>
          <w:jc w:val="center"/>
        </w:trPr>
        <w:tc>
          <w:tcPr>
            <w:tcW w:w="3256" w:type="dxa"/>
            <w:hideMark/>
          </w:tcPr>
          <w:p w14:paraId="2D66BF40" w14:textId="77777777" w:rsidR="005923AA" w:rsidRPr="005923AA" w:rsidRDefault="005923AA" w:rsidP="0014104A">
            <w:pPr>
              <w:pStyle w:val="BodyText"/>
              <w:keepNext/>
              <w:tabs>
                <w:tab w:val="left" w:pos="720"/>
              </w:tabs>
              <w:spacing w:after="0" w:line="300" w:lineRule="auto"/>
              <w:rPr>
                <w:rFonts w:cs="Arial"/>
                <w:bCs/>
              </w:rPr>
            </w:pPr>
            <w:r w:rsidRPr="005923AA">
              <w:rPr>
                <w:rFonts w:cs="Arial"/>
                <w:bCs/>
              </w:rPr>
              <w:t>Total Cost per month</w:t>
            </w:r>
          </w:p>
        </w:tc>
        <w:tc>
          <w:tcPr>
            <w:tcW w:w="1235" w:type="dxa"/>
          </w:tcPr>
          <w:p w14:paraId="59C3BF68" w14:textId="77777777" w:rsidR="005923AA" w:rsidRPr="005923AA" w:rsidRDefault="005923AA" w:rsidP="0014104A">
            <w:pPr>
              <w:pStyle w:val="BodyText"/>
              <w:keepNext/>
              <w:tabs>
                <w:tab w:val="left" w:pos="720"/>
              </w:tabs>
              <w:spacing w:after="0" w:line="300" w:lineRule="auto"/>
              <w:jc w:val="center"/>
              <w:rPr>
                <w:rFonts w:cs="Arial"/>
                <w:color w:val="000000"/>
              </w:rPr>
            </w:pPr>
            <w:r w:rsidRPr="005923AA">
              <w:rPr>
                <w:rFonts w:cs="Arial"/>
                <w:color w:val="000000"/>
              </w:rPr>
              <w:t>£397</w:t>
            </w:r>
          </w:p>
        </w:tc>
        <w:tc>
          <w:tcPr>
            <w:tcW w:w="1236" w:type="dxa"/>
            <w:hideMark/>
          </w:tcPr>
          <w:p w14:paraId="4592EBB9"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£520</w:t>
            </w:r>
          </w:p>
        </w:tc>
        <w:tc>
          <w:tcPr>
            <w:tcW w:w="1236" w:type="dxa"/>
            <w:hideMark/>
          </w:tcPr>
          <w:p w14:paraId="3069E41C"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£650</w:t>
            </w:r>
          </w:p>
        </w:tc>
        <w:tc>
          <w:tcPr>
            <w:tcW w:w="1236" w:type="dxa"/>
            <w:hideMark/>
          </w:tcPr>
          <w:p w14:paraId="6960E015" w14:textId="77777777" w:rsidR="005923AA" w:rsidRPr="005923AA" w:rsidRDefault="005923AA" w:rsidP="0014104A">
            <w:pPr>
              <w:pStyle w:val="BodyText"/>
              <w:keepNext/>
              <w:tabs>
                <w:tab w:val="left" w:pos="720"/>
              </w:tabs>
              <w:spacing w:after="0" w:line="300" w:lineRule="auto"/>
              <w:jc w:val="center"/>
              <w:rPr>
                <w:rFonts w:cs="Arial"/>
                <w:bCs/>
              </w:rPr>
            </w:pPr>
            <w:r w:rsidRPr="005923AA">
              <w:rPr>
                <w:rFonts w:cs="Arial"/>
                <w:color w:val="000000"/>
              </w:rPr>
              <w:t>£800</w:t>
            </w:r>
          </w:p>
        </w:tc>
      </w:tr>
    </w:tbl>
    <w:p w14:paraId="37CA101F" w14:textId="2576CD9D" w:rsidR="005923AA" w:rsidRDefault="005923AA" w:rsidP="0014104A">
      <w:pPr>
        <w:pStyle w:val="BodyText"/>
        <w:spacing w:after="0" w:line="300" w:lineRule="auto"/>
        <w:jc w:val="center"/>
        <w:rPr>
          <w:rFonts w:cs="Arial"/>
        </w:rPr>
      </w:pPr>
      <w:r w:rsidRPr="005923AA">
        <w:rPr>
          <w:rFonts w:cs="Arial"/>
        </w:rPr>
        <w:t>Source: Data based on Housing Market Cost Analysis</w:t>
      </w:r>
    </w:p>
    <w:p w14:paraId="59BAB528" w14:textId="5B410A94" w:rsidR="002A0F79" w:rsidRDefault="002A0F79">
      <w:pPr>
        <w:pStyle w:val="BodyText"/>
        <w:spacing w:after="0" w:line="300" w:lineRule="auto"/>
        <w:jc w:val="both"/>
        <w:rPr>
          <w:rFonts w:cs="Arial"/>
        </w:rPr>
      </w:pPr>
    </w:p>
    <w:p w14:paraId="693FC09B" w14:textId="77777777" w:rsidR="003367CD" w:rsidRDefault="003367CD" w:rsidP="00172F56">
      <w:pPr>
        <w:pStyle w:val="BodyText"/>
        <w:spacing w:after="0" w:line="300" w:lineRule="auto"/>
        <w:jc w:val="both"/>
        <w:rPr>
          <w:rFonts w:cs="Arial"/>
        </w:rPr>
      </w:pPr>
    </w:p>
    <w:p w14:paraId="5DD943DC" w14:textId="7EE09F18" w:rsidR="005923AA" w:rsidRPr="002A0F79" w:rsidRDefault="005923AA">
      <w:pPr>
        <w:pStyle w:val="11Bodytext"/>
        <w:numPr>
          <w:ilvl w:val="1"/>
          <w:numId w:val="37"/>
        </w:numPr>
        <w:spacing w:before="0" w:after="0" w:line="300" w:lineRule="auto"/>
        <w:ind w:left="720" w:hanging="720"/>
        <w:rPr>
          <w:color w:val="auto"/>
        </w:rPr>
      </w:pPr>
      <w:r w:rsidRPr="002A0F79">
        <w:t xml:space="preserve">In policy terms, whilst the analysis has provided an indication of the equity shares possibly required by size, the key figure is actually the total cost per month (and how this compares with the costs to access private rented housing). For example, whilst the table suggests a 48% equity share for 2-bedroom home, this is based on a specific set of assumptions. Were a scheme to come forward with a 48% share, but a total cost in excess of £650 per month, then it would be clear that a lower share is likely to be required to make the home genuinely affordable. Hence the actual share can only be calculated on a scheme-by-scheme basis. A policy position </w:t>
      </w:r>
      <w:r w:rsidR="0094079E">
        <w:t>could</w:t>
      </w:r>
      <w:r w:rsidR="00931AE7">
        <w:t xml:space="preserve"> </w:t>
      </w:r>
      <w:r w:rsidRPr="002A0F79">
        <w:t>seek to ensure that outgoings are no more than can reasonably be achieved in the private rented sector, rather than seeking a specific equity share</w:t>
      </w:r>
      <w:r w:rsidR="0094079E">
        <w:t xml:space="preserve"> although in practice seeking a specific share is likely to be a more </w:t>
      </w:r>
      <w:r w:rsidR="00931AE7">
        <w:t>manageable</w:t>
      </w:r>
      <w:r w:rsidR="0094079E">
        <w:t xml:space="preserve"> approach</w:t>
      </w:r>
      <w:r w:rsidRPr="002A0F79">
        <w:t>.</w:t>
      </w:r>
    </w:p>
    <w:p w14:paraId="19578874" w14:textId="77777777" w:rsidR="002A0F79" w:rsidRPr="002A0F79" w:rsidRDefault="002A0F79" w:rsidP="00172F56">
      <w:pPr>
        <w:pStyle w:val="11Bodytext"/>
        <w:numPr>
          <w:ilvl w:val="0"/>
          <w:numId w:val="0"/>
        </w:numPr>
        <w:spacing w:before="0" w:after="0" w:line="300" w:lineRule="auto"/>
        <w:rPr>
          <w:color w:val="auto"/>
        </w:rPr>
      </w:pPr>
    </w:p>
    <w:p w14:paraId="4160350F" w14:textId="0A4456D4" w:rsidR="002A0F79" w:rsidRDefault="002A0F79">
      <w:pPr>
        <w:pStyle w:val="11Bodytext"/>
        <w:numPr>
          <w:ilvl w:val="1"/>
          <w:numId w:val="37"/>
        </w:numPr>
        <w:spacing w:before="0" w:after="0" w:line="300" w:lineRule="auto"/>
        <w:ind w:left="720" w:hanging="720"/>
        <w:rPr>
          <w:color w:val="auto"/>
        </w:rPr>
      </w:pPr>
      <w:r w:rsidRPr="5E98B394">
        <w:rPr>
          <w:color w:val="auto"/>
        </w:rPr>
        <w:t xml:space="preserve">In terms of affordability, if the Council could </w:t>
      </w:r>
      <w:r w:rsidR="005866F6" w:rsidRPr="5E98B394">
        <w:rPr>
          <w:color w:val="auto"/>
        </w:rPr>
        <w:t>achieve</w:t>
      </w:r>
      <w:r w:rsidRPr="5E98B394">
        <w:rPr>
          <w:color w:val="auto"/>
        </w:rPr>
        <w:t xml:space="preserve"> shared </w:t>
      </w:r>
      <w:r w:rsidR="005866F6" w:rsidRPr="5E98B394">
        <w:rPr>
          <w:color w:val="auto"/>
        </w:rPr>
        <w:t>ownership</w:t>
      </w:r>
      <w:r w:rsidRPr="5E98B394">
        <w:rPr>
          <w:color w:val="auto"/>
        </w:rPr>
        <w:t xml:space="preserve"> at the levels of </w:t>
      </w:r>
      <w:r w:rsidR="005866F6" w:rsidRPr="5E98B394">
        <w:rPr>
          <w:color w:val="auto"/>
        </w:rPr>
        <w:t>outgoings</w:t>
      </w:r>
      <w:r w:rsidRPr="5E98B394">
        <w:rPr>
          <w:color w:val="auto"/>
        </w:rPr>
        <w:t xml:space="preserve"> shown in the table above</w:t>
      </w:r>
      <w:r w:rsidR="005866F6" w:rsidRPr="5E98B394">
        <w:rPr>
          <w:color w:val="auto"/>
        </w:rPr>
        <w:t xml:space="preserve"> then theoretically all of the households they survey has identified as being in the rent/buy gap would be able to afford. There will however be cases where a lack of </w:t>
      </w:r>
      <w:r w:rsidR="00432414" w:rsidRPr="5E98B394">
        <w:rPr>
          <w:color w:val="auto"/>
        </w:rPr>
        <w:t>deposit</w:t>
      </w:r>
      <w:r w:rsidR="005866F6" w:rsidRPr="5E98B394">
        <w:rPr>
          <w:color w:val="auto"/>
        </w:rPr>
        <w:t xml:space="preserve"> will be a barrier, although </w:t>
      </w:r>
      <w:r w:rsidR="00432414" w:rsidRPr="5E98B394">
        <w:rPr>
          <w:color w:val="auto"/>
        </w:rPr>
        <w:t>deposit</w:t>
      </w:r>
      <w:r w:rsidR="005866F6" w:rsidRPr="5E98B394">
        <w:rPr>
          <w:color w:val="auto"/>
        </w:rPr>
        <w:t xml:space="preserve"> levels are likely to be much lower than required for other forms of affordable home ownership such as </w:t>
      </w:r>
      <w:r w:rsidR="0094079E">
        <w:rPr>
          <w:color w:val="auto"/>
        </w:rPr>
        <w:t xml:space="preserve">discounted market sales </w:t>
      </w:r>
      <w:r w:rsidR="00931AE7">
        <w:rPr>
          <w:color w:val="auto"/>
        </w:rPr>
        <w:t>housing</w:t>
      </w:r>
      <w:r w:rsidR="005866F6" w:rsidRPr="5E98B394">
        <w:rPr>
          <w:color w:val="auto"/>
        </w:rPr>
        <w:t>.</w:t>
      </w:r>
      <w:r w:rsidR="0094079E">
        <w:rPr>
          <w:color w:val="auto"/>
        </w:rPr>
        <w:t xml:space="preserve"> It should also be noted that generally local authorities cannot impose eligibility criteria on shared ownership (some exceptions such as for older people and rural exceptions) and so this tenure would not be guaranteed to be meeting a local need.</w:t>
      </w:r>
    </w:p>
    <w:p w14:paraId="12FAAD9C" w14:textId="2F181BEE" w:rsidR="005866F6" w:rsidRDefault="005866F6" w:rsidP="00172F56">
      <w:pPr>
        <w:pStyle w:val="11Bodytext"/>
        <w:numPr>
          <w:ilvl w:val="1"/>
          <w:numId w:val="0"/>
        </w:numPr>
        <w:spacing w:before="0" w:after="0" w:line="300" w:lineRule="auto"/>
        <w:rPr>
          <w:color w:val="auto"/>
        </w:rPr>
      </w:pPr>
    </w:p>
    <w:p w14:paraId="3E3C8D64" w14:textId="7C196700" w:rsidR="005866F6" w:rsidRPr="00D20EF1" w:rsidRDefault="005866F6" w:rsidP="00172F56">
      <w:pPr>
        <w:pStyle w:val="11Bodytext"/>
        <w:numPr>
          <w:ilvl w:val="0"/>
          <w:numId w:val="0"/>
        </w:numPr>
        <w:tabs>
          <w:tab w:val="num" w:pos="0"/>
        </w:tabs>
        <w:spacing w:before="0" w:after="0" w:line="300" w:lineRule="auto"/>
        <w:rPr>
          <w:b/>
          <w:bCs w:val="0"/>
          <w:color w:val="auto"/>
        </w:rPr>
      </w:pPr>
      <w:r>
        <w:rPr>
          <w:b/>
          <w:bCs w:val="0"/>
          <w:color w:val="auto"/>
        </w:rPr>
        <w:t>Rent to Buy</w:t>
      </w:r>
    </w:p>
    <w:p w14:paraId="34091370" w14:textId="77777777" w:rsidR="005866F6" w:rsidRPr="00D20EF1" w:rsidRDefault="005866F6" w:rsidP="00172F56">
      <w:pPr>
        <w:pStyle w:val="11Bodytext"/>
        <w:numPr>
          <w:ilvl w:val="0"/>
          <w:numId w:val="0"/>
        </w:numPr>
        <w:spacing w:before="0" w:after="0" w:line="300" w:lineRule="auto"/>
        <w:rPr>
          <w:color w:val="auto"/>
        </w:rPr>
      </w:pPr>
    </w:p>
    <w:p w14:paraId="5DFDCEB0" w14:textId="63D6BC42" w:rsidR="005923AA" w:rsidRPr="005866F6" w:rsidRDefault="005923AA">
      <w:pPr>
        <w:pStyle w:val="11Bodytext"/>
        <w:numPr>
          <w:ilvl w:val="1"/>
          <w:numId w:val="37"/>
        </w:numPr>
        <w:tabs>
          <w:tab w:val="num" w:pos="0"/>
        </w:tabs>
        <w:spacing w:before="0" w:after="0" w:line="300" w:lineRule="auto"/>
        <w:ind w:left="720" w:hanging="720"/>
        <w:rPr>
          <w:color w:val="auto"/>
        </w:rPr>
      </w:pPr>
      <w:r w:rsidRPr="005866F6">
        <w:t>A further affordable option is Rent to Buy; this is a government scheme designed to ease the transition from renting to buying the same home. Initially (typically five years) the newly built home will be provided at the equivalent of an affordable rent (approximately 20% below the market rate). The expectation is that the discount provided in that first five years is saved in order to put towards a deposit on the purchase of the same property. Rent to Buy can be advantageous for some households as it allows for a smaller ‘step’ to be taken on to the home ownership ladder.</w:t>
      </w:r>
    </w:p>
    <w:p w14:paraId="400109F7" w14:textId="77777777" w:rsidR="005866F6" w:rsidRPr="005866F6" w:rsidRDefault="005866F6" w:rsidP="00172F56">
      <w:pPr>
        <w:pStyle w:val="11Bodytext"/>
        <w:numPr>
          <w:ilvl w:val="0"/>
          <w:numId w:val="0"/>
        </w:numPr>
        <w:spacing w:before="0" w:after="0" w:line="300" w:lineRule="auto"/>
        <w:rPr>
          <w:color w:val="auto"/>
        </w:rPr>
      </w:pPr>
    </w:p>
    <w:p w14:paraId="6CEF18C4" w14:textId="273C1EEF" w:rsidR="005923AA" w:rsidRPr="005866F6" w:rsidRDefault="005923AA">
      <w:pPr>
        <w:pStyle w:val="11Bodytext"/>
        <w:numPr>
          <w:ilvl w:val="1"/>
          <w:numId w:val="37"/>
        </w:numPr>
        <w:tabs>
          <w:tab w:val="num" w:pos="0"/>
        </w:tabs>
        <w:spacing w:before="0" w:after="0" w:line="300" w:lineRule="auto"/>
        <w:ind w:left="720" w:hanging="720"/>
        <w:rPr>
          <w:color w:val="auto"/>
        </w:rPr>
      </w:pPr>
      <w:r w:rsidRPr="005866F6">
        <w:t>At the end of the five-year period, depending on the scheme, the property is either sold as a shared ownership product or to be purchased outright as a full market property. If the occupant is not able to do either of these then the property is vacated.</w:t>
      </w:r>
    </w:p>
    <w:p w14:paraId="487B801B" w14:textId="77777777" w:rsidR="005866F6" w:rsidRPr="005866F6" w:rsidRDefault="005866F6" w:rsidP="00172F56">
      <w:pPr>
        <w:pStyle w:val="11Bodytext"/>
        <w:numPr>
          <w:ilvl w:val="0"/>
          <w:numId w:val="0"/>
        </w:numPr>
        <w:spacing w:before="0" w:after="0" w:line="300" w:lineRule="auto"/>
        <w:rPr>
          <w:color w:val="auto"/>
        </w:rPr>
      </w:pPr>
    </w:p>
    <w:p w14:paraId="2B960773" w14:textId="79446FC0" w:rsidR="005923AA" w:rsidRPr="005866F6" w:rsidRDefault="005923AA">
      <w:pPr>
        <w:pStyle w:val="11Bodytext"/>
        <w:numPr>
          <w:ilvl w:val="1"/>
          <w:numId w:val="37"/>
        </w:numPr>
        <w:tabs>
          <w:tab w:val="num" w:pos="0"/>
        </w:tabs>
        <w:spacing w:before="0" w:after="0" w:line="300" w:lineRule="auto"/>
        <w:ind w:left="720" w:hanging="720"/>
        <w:rPr>
          <w:color w:val="auto"/>
        </w:rPr>
      </w:pPr>
      <w:r w:rsidRPr="005866F6">
        <w:t>In order to access this tenure it effectively requires the same income threshold for the initial phase as a market rental property although the cost of accommodation will be that of affordable rent. The lower than market rent will allow the household to save for a deposit for the eventual shared ownership or market property. In considering the affordability of rent-to-buy schemes there is a direct read across to the income required to access affordable home ownership (including shared ownership), it should therefore be treated as part of the affordable home ownership products suggested by the NPPF.</w:t>
      </w:r>
    </w:p>
    <w:p w14:paraId="51800EC3" w14:textId="77777777" w:rsidR="005866F6" w:rsidRPr="0094079E" w:rsidRDefault="005866F6" w:rsidP="00172F56">
      <w:pPr>
        <w:pStyle w:val="11Bodytext"/>
        <w:numPr>
          <w:ilvl w:val="0"/>
          <w:numId w:val="0"/>
        </w:numPr>
        <w:spacing w:before="0" w:after="0" w:line="300" w:lineRule="auto"/>
        <w:rPr>
          <w:color w:val="auto"/>
        </w:rPr>
      </w:pPr>
    </w:p>
    <w:p w14:paraId="2A61E686" w14:textId="7AC3C746" w:rsidR="005866F6" w:rsidRPr="0094079E" w:rsidRDefault="005866F6">
      <w:pPr>
        <w:pStyle w:val="11Bodytext"/>
        <w:numPr>
          <w:ilvl w:val="1"/>
          <w:numId w:val="37"/>
        </w:numPr>
        <w:spacing w:before="0" w:after="0" w:line="300" w:lineRule="auto"/>
        <w:ind w:left="720" w:hanging="720"/>
        <w:rPr>
          <w:color w:val="auto"/>
        </w:rPr>
      </w:pPr>
      <w:r w:rsidRPr="0094079E">
        <w:rPr>
          <w:color w:val="auto"/>
        </w:rPr>
        <w:t xml:space="preserve">Given the issues previously noted about debt and a lack of money for deposits, a Rent to Buy scheme could be considered as potentially working in a local context in Fylde although it is acknowledged that such schemes are generally </w:t>
      </w:r>
      <w:r w:rsidR="00AE20BD" w:rsidRPr="0094079E">
        <w:rPr>
          <w:color w:val="auto"/>
        </w:rPr>
        <w:t>fewer in number than more traditional forms of affordable home ownership such as shared ownership</w:t>
      </w:r>
      <w:r w:rsidR="0094079E" w:rsidRPr="00172F56">
        <w:rPr>
          <w:rStyle w:val="Heading1Char"/>
          <w:b w:val="0"/>
          <w:bCs/>
          <w:color w:val="auto"/>
          <w:sz w:val="20"/>
          <w:szCs w:val="20"/>
        </w:rPr>
        <w:t>. One further</w:t>
      </w:r>
      <w:r w:rsidR="0094079E" w:rsidRPr="00172F56">
        <w:rPr>
          <w:rStyle w:val="cf01"/>
          <w:rFonts w:ascii="Arial" w:hAnsi="Arial" w:cs="Arial"/>
          <w:color w:val="auto"/>
          <w:sz w:val="20"/>
          <w:szCs w:val="20"/>
        </w:rPr>
        <w:t xml:space="preserve"> advantage of Rent to Buy is that affordable rents are charged and customers have to meet local connection criteria - therefore the units are more likely to meet local housing need.</w:t>
      </w:r>
    </w:p>
    <w:p w14:paraId="7B588710" w14:textId="39C2DF7D" w:rsidR="005923AA" w:rsidRDefault="005923AA">
      <w:pPr>
        <w:pStyle w:val="11Bodytext"/>
        <w:numPr>
          <w:ilvl w:val="0"/>
          <w:numId w:val="0"/>
        </w:numPr>
        <w:spacing w:before="0" w:after="0" w:line="300" w:lineRule="auto"/>
        <w:ind w:left="794" w:hanging="794"/>
        <w:rPr>
          <w:color w:val="auto"/>
        </w:rPr>
      </w:pPr>
    </w:p>
    <w:p w14:paraId="0404843F" w14:textId="4E04C4F2" w:rsidR="003367CD" w:rsidRDefault="003367CD">
      <w:pPr>
        <w:pStyle w:val="11Bodytext"/>
        <w:numPr>
          <w:ilvl w:val="0"/>
          <w:numId w:val="0"/>
        </w:numPr>
        <w:spacing w:before="0" w:after="0" w:line="300" w:lineRule="auto"/>
        <w:ind w:left="794" w:hanging="794"/>
        <w:rPr>
          <w:color w:val="auto"/>
        </w:rPr>
      </w:pPr>
    </w:p>
    <w:p w14:paraId="280450B5" w14:textId="77777777" w:rsidR="003367CD" w:rsidRPr="0094079E" w:rsidRDefault="003367CD" w:rsidP="00172F56">
      <w:pPr>
        <w:pStyle w:val="11Bodytext"/>
        <w:numPr>
          <w:ilvl w:val="0"/>
          <w:numId w:val="0"/>
        </w:numPr>
        <w:spacing w:before="0" w:after="0" w:line="300" w:lineRule="auto"/>
        <w:ind w:left="794" w:hanging="794"/>
        <w:rPr>
          <w:color w:val="auto"/>
        </w:rPr>
      </w:pPr>
    </w:p>
    <w:p w14:paraId="7452263A" w14:textId="26479B1A" w:rsidR="00FC3248" w:rsidRPr="007236BD" w:rsidRDefault="00FC3248" w:rsidP="00172F56">
      <w:pPr>
        <w:spacing w:line="300" w:lineRule="auto"/>
        <w:jc w:val="both"/>
        <w:rPr>
          <w:rFonts w:ascii="Arial" w:hAnsi="Arial" w:cs="Arial"/>
          <w:b/>
          <w:lang w:eastAsia="ja-JP"/>
        </w:rPr>
      </w:pPr>
      <w:r>
        <w:rPr>
          <w:rFonts w:ascii="Arial" w:hAnsi="Arial" w:cs="Arial"/>
          <w:b/>
          <w:lang w:eastAsia="ja-JP"/>
        </w:rPr>
        <w:t>Summary</w:t>
      </w:r>
    </w:p>
    <w:p w14:paraId="5E55C6FA" w14:textId="77777777" w:rsidR="00FC3248" w:rsidRPr="005866F6" w:rsidRDefault="00FC3248" w:rsidP="00172F56">
      <w:pPr>
        <w:pStyle w:val="11Bodytext"/>
        <w:numPr>
          <w:ilvl w:val="0"/>
          <w:numId w:val="0"/>
        </w:numPr>
        <w:spacing w:before="0" w:after="0" w:line="300" w:lineRule="auto"/>
        <w:rPr>
          <w:color w:val="auto"/>
        </w:rPr>
      </w:pPr>
    </w:p>
    <w:p w14:paraId="0BE19572" w14:textId="61D5C978" w:rsidR="00700148" w:rsidRPr="00700148" w:rsidRDefault="00700148">
      <w:pPr>
        <w:pStyle w:val="11Bodytext"/>
        <w:numPr>
          <w:ilvl w:val="1"/>
          <w:numId w:val="37"/>
        </w:numPr>
        <w:tabs>
          <w:tab w:val="num" w:pos="0"/>
        </w:tabs>
        <w:spacing w:before="0" w:after="0" w:line="300" w:lineRule="auto"/>
        <w:ind w:left="720" w:hanging="720"/>
        <w:rPr>
          <w:color w:val="auto"/>
        </w:rPr>
      </w:pPr>
      <w:r w:rsidRPr="00700148">
        <w:t>The previous section has estimated the need for affordable housing split into two broad categories (rented affordable housing and affordable home ownership). This section looks at these tenures in more detail, considering specific products within each of those two categories. The main focus is on the pricing of different types of housing.</w:t>
      </w:r>
    </w:p>
    <w:p w14:paraId="619EEB84" w14:textId="77777777" w:rsidR="00700148" w:rsidRPr="00700148" w:rsidRDefault="00700148" w:rsidP="00172F56">
      <w:pPr>
        <w:pStyle w:val="11Bodytext"/>
        <w:numPr>
          <w:ilvl w:val="0"/>
          <w:numId w:val="0"/>
        </w:numPr>
        <w:spacing w:before="0" w:after="0" w:line="300" w:lineRule="auto"/>
        <w:rPr>
          <w:color w:val="auto"/>
        </w:rPr>
      </w:pPr>
    </w:p>
    <w:p w14:paraId="6CDDA9D5" w14:textId="4500738B" w:rsidR="00700148" w:rsidRPr="00700148" w:rsidRDefault="00700148">
      <w:pPr>
        <w:pStyle w:val="11Bodytext"/>
        <w:numPr>
          <w:ilvl w:val="1"/>
          <w:numId w:val="37"/>
        </w:numPr>
        <w:tabs>
          <w:tab w:val="num" w:pos="0"/>
        </w:tabs>
        <w:spacing w:before="0" w:after="0" w:line="300" w:lineRule="auto"/>
        <w:ind w:left="720" w:hanging="720"/>
        <w:rPr>
          <w:color w:val="auto"/>
        </w:rPr>
      </w:pPr>
      <w:r w:rsidRPr="00700148">
        <w:t>Analysis was carried out to look at housing costs for rented products (social and affordable rents). It is notable that current social rents are significantly cheaper than affordable or market rents. Focussing on 2-bedroom homes, a social rent is about 70% the cost of a lower quartile market rent, whereas as affordable rents are at 90% of lower quartile market rents).</w:t>
      </w:r>
    </w:p>
    <w:p w14:paraId="3D5D78EF" w14:textId="77777777" w:rsidR="00700148" w:rsidRPr="00700148" w:rsidRDefault="00700148" w:rsidP="00172F56">
      <w:pPr>
        <w:pStyle w:val="11Bodytext"/>
        <w:numPr>
          <w:ilvl w:val="0"/>
          <w:numId w:val="0"/>
        </w:numPr>
        <w:spacing w:before="0" w:after="0" w:line="300" w:lineRule="auto"/>
        <w:rPr>
          <w:color w:val="auto"/>
        </w:rPr>
      </w:pPr>
    </w:p>
    <w:p w14:paraId="584B4229" w14:textId="3758600B" w:rsidR="00700148" w:rsidRPr="00700148" w:rsidRDefault="00700148">
      <w:pPr>
        <w:pStyle w:val="11Bodytext"/>
        <w:numPr>
          <w:ilvl w:val="1"/>
          <w:numId w:val="37"/>
        </w:numPr>
        <w:tabs>
          <w:tab w:val="num" w:pos="0"/>
        </w:tabs>
        <w:spacing w:before="0" w:after="0" w:line="300" w:lineRule="auto"/>
        <w:ind w:left="720" w:hanging="720"/>
        <w:rPr>
          <w:color w:val="auto"/>
        </w:rPr>
      </w:pPr>
      <w:r w:rsidRPr="00700148">
        <w:t>On the basis of current market and affordable rents, only around 18% of households in need could afford an affordable rent (without claiming benefits or spending more than 30% of their income on housing) and it is considered the Council should prioritise the provision of social rents where possible, such rents will be the cheapest available and will therefore be accessible to a greater number of households. However, it will be important that seeking social rents does not prejudice the overall delivery of rented affordable housing, and affordable rents should be allowed where these can help delivery of on-site provision – it will however be important to ensure that affordable rents are truly affordable in a local context.</w:t>
      </w:r>
    </w:p>
    <w:p w14:paraId="5469563E" w14:textId="77777777" w:rsidR="00700148" w:rsidRPr="00700148" w:rsidRDefault="00700148" w:rsidP="00172F56">
      <w:pPr>
        <w:pStyle w:val="11Bodytext"/>
        <w:numPr>
          <w:ilvl w:val="0"/>
          <w:numId w:val="0"/>
        </w:numPr>
        <w:spacing w:before="0" w:after="0" w:line="300" w:lineRule="auto"/>
        <w:rPr>
          <w:color w:val="auto"/>
        </w:rPr>
      </w:pPr>
    </w:p>
    <w:p w14:paraId="629FC0F6" w14:textId="0613CC43" w:rsidR="00700148" w:rsidRPr="00700148" w:rsidRDefault="00700148">
      <w:pPr>
        <w:pStyle w:val="11Bodytext"/>
        <w:numPr>
          <w:ilvl w:val="1"/>
          <w:numId w:val="37"/>
        </w:numPr>
        <w:tabs>
          <w:tab w:val="num" w:pos="0"/>
        </w:tabs>
        <w:spacing w:before="0" w:after="0" w:line="300" w:lineRule="auto"/>
        <w:ind w:left="720" w:hanging="720"/>
        <w:rPr>
          <w:color w:val="auto"/>
        </w:rPr>
      </w:pPr>
      <w:r w:rsidRPr="00700148">
        <w:t>Analysis has been carried out to look at the affordability of Affordable Home Ownership (AHO). This includes Discounted Market Sales Housing (which will include First Homes) and shared ownership as these are likely to be the two main tenures of AHO moving forward – they are certainly the main forms being encouraged by Government at the current time.</w:t>
      </w:r>
    </w:p>
    <w:p w14:paraId="408FE68E" w14:textId="77777777" w:rsidR="00700148" w:rsidRPr="00700148" w:rsidRDefault="00700148" w:rsidP="00172F56">
      <w:pPr>
        <w:pStyle w:val="11Bodytext"/>
        <w:numPr>
          <w:ilvl w:val="0"/>
          <w:numId w:val="0"/>
        </w:numPr>
        <w:spacing w:before="0" w:after="0" w:line="300" w:lineRule="auto"/>
        <w:rPr>
          <w:color w:val="auto"/>
        </w:rPr>
      </w:pPr>
    </w:p>
    <w:p w14:paraId="7E2B5609" w14:textId="7CD2DC54" w:rsidR="00700148" w:rsidRPr="00700148" w:rsidRDefault="00700148">
      <w:pPr>
        <w:pStyle w:val="11Bodytext"/>
        <w:numPr>
          <w:ilvl w:val="1"/>
          <w:numId w:val="37"/>
        </w:numPr>
        <w:spacing w:before="0" w:after="0" w:line="300" w:lineRule="auto"/>
        <w:ind w:left="720" w:hanging="720"/>
        <w:rPr>
          <w:color w:val="auto"/>
        </w:rPr>
      </w:pPr>
      <w:r>
        <w:t xml:space="preserve">Given current housing costs in the Borough it is suggested to make 2-bedroom homes affordable a discount of up to around 30% would be required; for 3-bedroom homes a discount up to 40% would be needed. The Council could investigate a higher than 30% discount </w:t>
      </w:r>
      <w:r w:rsidR="00931AE7">
        <w:t>for Discounted</w:t>
      </w:r>
      <w:r w:rsidR="0094079E">
        <w:t xml:space="preserve"> Market Housing</w:t>
      </w:r>
      <w:r>
        <w:t xml:space="preserve"> (maybe 40%), however as this might impact viability a higher figure should only be considered if this would not prejudice the provision of other forms of affordable housing (notably rented accommodation).</w:t>
      </w:r>
    </w:p>
    <w:p w14:paraId="1BC6B3EF" w14:textId="77777777" w:rsidR="00700148" w:rsidRPr="00700148" w:rsidRDefault="00700148" w:rsidP="00172F56">
      <w:pPr>
        <w:pStyle w:val="11Bodytext"/>
        <w:numPr>
          <w:ilvl w:val="0"/>
          <w:numId w:val="0"/>
        </w:numPr>
        <w:spacing w:before="0" w:after="0" w:line="300" w:lineRule="auto"/>
        <w:rPr>
          <w:color w:val="auto"/>
        </w:rPr>
      </w:pPr>
    </w:p>
    <w:p w14:paraId="45D11427" w14:textId="29FC9CC3" w:rsidR="00700148" w:rsidRPr="00700148" w:rsidRDefault="00700148">
      <w:pPr>
        <w:pStyle w:val="11Bodytext"/>
        <w:numPr>
          <w:ilvl w:val="1"/>
          <w:numId w:val="37"/>
        </w:numPr>
        <w:spacing w:before="0" w:after="0" w:line="300" w:lineRule="auto"/>
        <w:ind w:left="720" w:hanging="720"/>
        <w:rPr>
          <w:color w:val="auto"/>
        </w:rPr>
      </w:pPr>
      <w:r w:rsidRPr="00700148">
        <w:t>Survey data about households’ financial situation also highlights the potential difficulty for many in accessing even discounted homes; for the group of households identified by the survey as being able to privately rent but not buy a home, some 33% can afford no more than £80,000 (which is about half the lower quartile prices of existing homes). The main reason for low values afforded seems to be driven by levels of debt rather than income being the main barrier. Such households are unlikely to be able to raise a large deposit and may be suited to other forms of affordable home ownership, notably shared ownership</w:t>
      </w:r>
      <w:r w:rsidR="0094079E">
        <w:t xml:space="preserve"> and rent to buy</w:t>
      </w:r>
      <w:r w:rsidRPr="00700148">
        <w:t>.</w:t>
      </w:r>
    </w:p>
    <w:p w14:paraId="65B54A0D" w14:textId="5ADD1E66" w:rsidR="00700148" w:rsidRDefault="00700148">
      <w:pPr>
        <w:pStyle w:val="11Bodytext"/>
        <w:numPr>
          <w:ilvl w:val="0"/>
          <w:numId w:val="0"/>
        </w:numPr>
        <w:spacing w:before="0" w:after="0" w:line="300" w:lineRule="auto"/>
        <w:rPr>
          <w:color w:val="auto"/>
        </w:rPr>
      </w:pPr>
    </w:p>
    <w:p w14:paraId="6FE41016" w14:textId="0F038BDE" w:rsidR="003367CD" w:rsidRDefault="003367CD">
      <w:pPr>
        <w:pStyle w:val="11Bodytext"/>
        <w:numPr>
          <w:ilvl w:val="0"/>
          <w:numId w:val="0"/>
        </w:numPr>
        <w:spacing w:before="0" w:after="0" w:line="300" w:lineRule="auto"/>
        <w:rPr>
          <w:color w:val="auto"/>
        </w:rPr>
      </w:pPr>
    </w:p>
    <w:p w14:paraId="16196CA3" w14:textId="3ABE5DF6" w:rsidR="003367CD" w:rsidRDefault="003367CD">
      <w:pPr>
        <w:pStyle w:val="11Bodytext"/>
        <w:numPr>
          <w:ilvl w:val="0"/>
          <w:numId w:val="0"/>
        </w:numPr>
        <w:spacing w:before="0" w:after="0" w:line="300" w:lineRule="auto"/>
        <w:rPr>
          <w:color w:val="auto"/>
        </w:rPr>
      </w:pPr>
    </w:p>
    <w:p w14:paraId="342780CF" w14:textId="25D815D8" w:rsidR="003367CD" w:rsidRDefault="003367CD">
      <w:pPr>
        <w:pStyle w:val="11Bodytext"/>
        <w:numPr>
          <w:ilvl w:val="0"/>
          <w:numId w:val="0"/>
        </w:numPr>
        <w:spacing w:before="0" w:after="0" w:line="300" w:lineRule="auto"/>
        <w:rPr>
          <w:color w:val="auto"/>
        </w:rPr>
      </w:pPr>
    </w:p>
    <w:p w14:paraId="6DCACFB7" w14:textId="0EC74317" w:rsidR="003367CD" w:rsidRDefault="003367CD">
      <w:pPr>
        <w:pStyle w:val="11Bodytext"/>
        <w:numPr>
          <w:ilvl w:val="0"/>
          <w:numId w:val="0"/>
        </w:numPr>
        <w:spacing w:before="0" w:after="0" w:line="300" w:lineRule="auto"/>
        <w:rPr>
          <w:color w:val="auto"/>
        </w:rPr>
      </w:pPr>
    </w:p>
    <w:p w14:paraId="0D658AC5" w14:textId="77777777" w:rsidR="003367CD" w:rsidRPr="00700148" w:rsidRDefault="003367CD" w:rsidP="00172F56">
      <w:pPr>
        <w:pStyle w:val="11Bodytext"/>
        <w:numPr>
          <w:ilvl w:val="0"/>
          <w:numId w:val="0"/>
        </w:numPr>
        <w:spacing w:before="0" w:after="0" w:line="300" w:lineRule="auto"/>
        <w:rPr>
          <w:color w:val="auto"/>
        </w:rPr>
      </w:pPr>
    </w:p>
    <w:p w14:paraId="6B53D06A" w14:textId="405B6CB0" w:rsidR="00700148" w:rsidRPr="00700148" w:rsidRDefault="00700148">
      <w:pPr>
        <w:pStyle w:val="11Bodytext"/>
        <w:numPr>
          <w:ilvl w:val="1"/>
          <w:numId w:val="37"/>
        </w:numPr>
        <w:spacing w:before="0" w:after="0" w:line="300" w:lineRule="auto"/>
        <w:ind w:left="720" w:hanging="720"/>
        <w:rPr>
          <w:color w:val="auto"/>
        </w:rPr>
      </w:pPr>
      <w:r w:rsidRPr="00700148">
        <w:t>Regarding shared ownership, the analysis suggests that equity shares of less than 50% will be needed to make this tenure affordable (for 2- and 3-bedroom homes). It also looks difficult to make larger (4+-bedroom) homes affordable in a local context. The Council should therefore investigate the viability of providing shared ownership with lower equity shares, but again it is noted that this would potentially mean Affordable Housing Providers are less able to cross-subsidise other forms of affordable housing</w:t>
      </w:r>
      <w:r w:rsidR="0094079E">
        <w:t xml:space="preserve"> (such as social and affordable rents)</w:t>
      </w:r>
      <w:r w:rsidRPr="00700148">
        <w:t>. It is not recommended that the provision of rented products is jeopardised where viability is an issue.</w:t>
      </w:r>
    </w:p>
    <w:p w14:paraId="037E4D67" w14:textId="1F6C250A" w:rsidR="00FC3248" w:rsidRDefault="00FC3248" w:rsidP="00172F56">
      <w:pPr>
        <w:pStyle w:val="11Bodytext"/>
        <w:numPr>
          <w:ilvl w:val="0"/>
          <w:numId w:val="0"/>
        </w:numPr>
        <w:spacing w:before="0" w:after="0" w:line="300" w:lineRule="auto"/>
        <w:ind w:left="794" w:hanging="794"/>
        <w:rPr>
          <w:color w:val="auto"/>
        </w:rPr>
      </w:pPr>
    </w:p>
    <w:p w14:paraId="12D5A217" w14:textId="7A2E0D50" w:rsidR="00FC3248" w:rsidRDefault="00FC3248" w:rsidP="00172F56">
      <w:pPr>
        <w:jc w:val="both"/>
        <w:rPr>
          <w:rFonts w:ascii="Arial" w:eastAsia="MS PGothic" w:hAnsi="Arial" w:cs="Arial"/>
          <w:bCs/>
          <w:sz w:val="20"/>
          <w:szCs w:val="20"/>
          <w:lang w:eastAsia="ja-JP"/>
        </w:rPr>
      </w:pPr>
      <w:r>
        <w:br w:type="page"/>
      </w:r>
    </w:p>
    <w:p w14:paraId="1BBFB40C" w14:textId="55928590" w:rsidR="00FC3248" w:rsidRPr="007236BD" w:rsidRDefault="00FC3248" w:rsidP="00172F56">
      <w:pPr>
        <w:pStyle w:val="ReportHeading1"/>
        <w:pageBreakBefore w:val="0"/>
        <w:widowControl w:val="0"/>
        <w:spacing w:before="0" w:after="0"/>
        <w:jc w:val="both"/>
        <w:rPr>
          <w:rFonts w:ascii="Arial Bold" w:hAnsi="Arial Bold" w:cs="Arial"/>
          <w:color w:val="0093D5"/>
          <w:sz w:val="32"/>
          <w:szCs w:val="32"/>
        </w:rPr>
      </w:pPr>
      <w:bookmarkStart w:id="43" w:name="_Toc112937734"/>
      <w:r>
        <w:rPr>
          <w:rFonts w:ascii="Arial Bold" w:hAnsi="Arial Bold" w:cs="Arial"/>
          <w:color w:val="0093D5"/>
          <w:sz w:val="32"/>
          <w:szCs w:val="32"/>
        </w:rPr>
        <w:t>5</w:t>
      </w:r>
      <w:r w:rsidRPr="007236BD">
        <w:rPr>
          <w:rFonts w:ascii="Arial Bold" w:hAnsi="Arial Bold" w:cs="Arial"/>
          <w:color w:val="0093D5"/>
          <w:sz w:val="32"/>
          <w:szCs w:val="32"/>
        </w:rPr>
        <w:t>.</w:t>
      </w:r>
      <w:r w:rsidRPr="007236BD">
        <w:rPr>
          <w:rFonts w:ascii="Arial Bold" w:hAnsi="Arial Bold" w:cs="Arial"/>
          <w:color w:val="0093D5"/>
          <w:sz w:val="32"/>
          <w:szCs w:val="32"/>
        </w:rPr>
        <w:tab/>
      </w:r>
      <w:r>
        <w:rPr>
          <w:rFonts w:ascii="Arial Bold" w:hAnsi="Arial Bold" w:cs="Arial"/>
          <w:color w:val="0093D5"/>
          <w:sz w:val="32"/>
          <w:szCs w:val="32"/>
        </w:rPr>
        <w:t>Housing History and Future Aspirations</w:t>
      </w:r>
      <w:bookmarkEnd w:id="43"/>
    </w:p>
    <w:tbl>
      <w:tblPr>
        <w:tblW w:w="9639" w:type="dxa"/>
        <w:jc w:val="center"/>
        <w:tblBorders>
          <w:bottom w:val="single" w:sz="12" w:space="0" w:color="0093D5"/>
        </w:tblBorders>
        <w:tblLook w:val="01E0" w:firstRow="1" w:lastRow="1" w:firstColumn="1" w:lastColumn="1" w:noHBand="0" w:noVBand="0"/>
      </w:tblPr>
      <w:tblGrid>
        <w:gridCol w:w="9639"/>
      </w:tblGrid>
      <w:tr w:rsidR="00FC3248" w:rsidRPr="007236BD" w14:paraId="33689DC7" w14:textId="77777777" w:rsidTr="008469E3">
        <w:trPr>
          <w:jc w:val="center"/>
        </w:trPr>
        <w:tc>
          <w:tcPr>
            <w:tcW w:w="9639" w:type="dxa"/>
            <w:shd w:val="clear" w:color="auto" w:fill="auto"/>
            <w:vAlign w:val="center"/>
          </w:tcPr>
          <w:p w14:paraId="246AE1E4" w14:textId="77777777" w:rsidR="00FC3248" w:rsidRPr="007236BD" w:rsidRDefault="00FC3248" w:rsidP="00172F56">
            <w:pPr>
              <w:keepNext/>
              <w:keepLines/>
              <w:jc w:val="both"/>
              <w:rPr>
                <w:rFonts w:ascii="Arial" w:hAnsi="Arial"/>
                <w:sz w:val="2"/>
                <w:szCs w:val="2"/>
              </w:rPr>
            </w:pPr>
          </w:p>
        </w:tc>
      </w:tr>
    </w:tbl>
    <w:p w14:paraId="4F79ACBD" w14:textId="77777777" w:rsidR="00FC3248" w:rsidRPr="007236BD" w:rsidRDefault="00FC3248" w:rsidP="00172F56">
      <w:pPr>
        <w:widowControl w:val="0"/>
        <w:spacing w:line="300" w:lineRule="auto"/>
        <w:jc w:val="both"/>
        <w:rPr>
          <w:rFonts w:ascii="Arial" w:hAnsi="Arial" w:cs="Arial"/>
          <w:sz w:val="20"/>
          <w:szCs w:val="20"/>
        </w:rPr>
      </w:pPr>
    </w:p>
    <w:p w14:paraId="09E4B983" w14:textId="77777777" w:rsidR="00FC3248" w:rsidRPr="007236BD" w:rsidRDefault="00FC3248" w:rsidP="00172F56">
      <w:pPr>
        <w:spacing w:line="300" w:lineRule="auto"/>
        <w:jc w:val="both"/>
        <w:rPr>
          <w:rFonts w:ascii="Arial" w:hAnsi="Arial" w:cs="Arial"/>
          <w:b/>
          <w:lang w:eastAsia="ja-JP"/>
        </w:rPr>
      </w:pPr>
      <w:r w:rsidRPr="007236BD">
        <w:rPr>
          <w:rFonts w:ascii="Arial" w:hAnsi="Arial" w:cs="Arial"/>
          <w:b/>
          <w:lang w:eastAsia="ja-JP"/>
        </w:rPr>
        <w:t>Introduction</w:t>
      </w:r>
    </w:p>
    <w:p w14:paraId="26AD8AD1" w14:textId="77777777" w:rsidR="00FC3248" w:rsidRPr="002143DA" w:rsidRDefault="00FC3248" w:rsidP="00172F56">
      <w:pPr>
        <w:spacing w:line="300" w:lineRule="auto"/>
        <w:jc w:val="both"/>
        <w:rPr>
          <w:rFonts w:ascii="Arial" w:hAnsi="Arial" w:cs="Arial"/>
          <w:sz w:val="20"/>
          <w:szCs w:val="20"/>
          <w:lang w:eastAsia="ja-JP"/>
        </w:rPr>
      </w:pPr>
    </w:p>
    <w:p w14:paraId="660BCB0A" w14:textId="05813317" w:rsidR="0005589C" w:rsidRPr="0005589C" w:rsidRDefault="00FC3248">
      <w:pPr>
        <w:pStyle w:val="11Bodytext"/>
        <w:numPr>
          <w:ilvl w:val="1"/>
          <w:numId w:val="40"/>
        </w:numPr>
        <w:spacing w:before="0" w:after="0" w:line="300" w:lineRule="auto"/>
        <w:ind w:left="720" w:hanging="720"/>
        <w:rPr>
          <w:color w:val="auto"/>
        </w:rPr>
      </w:pPr>
      <w:bookmarkStart w:id="44" w:name="_Hlk106890722"/>
      <w:r w:rsidRPr="009D3B67">
        <w:t xml:space="preserve">This section </w:t>
      </w:r>
      <w:r w:rsidR="0005589C">
        <w:t>moves on from analysis directly related to affordable housing need to look at other sections of the housing needs survey questionnaire. Initially a series of questions were asked about h</w:t>
      </w:r>
      <w:r w:rsidR="0005589C" w:rsidRPr="0005589C">
        <w:t>ousing history (previous moves, including locations and tenure of accommodation)</w:t>
      </w:r>
      <w:r w:rsidR="0005589C">
        <w:t xml:space="preserve"> and households were also asked about future housing intentions – similar questions being asked of existing and newly forming households. The latter questions can be used to provide an indication of the types and sizes of accommodation </w:t>
      </w:r>
      <w:r w:rsidR="00432414">
        <w:t>households</w:t>
      </w:r>
      <w:r w:rsidR="0005589C">
        <w:t xml:space="preserve"> might be seeking in the future</w:t>
      </w:r>
      <w:bookmarkEnd w:id="44"/>
      <w:r w:rsidR="0005589C">
        <w:t>.</w:t>
      </w:r>
    </w:p>
    <w:p w14:paraId="257E4D81" w14:textId="3800DCD0" w:rsidR="0005589C" w:rsidRDefault="0005589C" w:rsidP="00172F56">
      <w:pPr>
        <w:pStyle w:val="11Bodytext"/>
        <w:numPr>
          <w:ilvl w:val="0"/>
          <w:numId w:val="0"/>
        </w:numPr>
        <w:spacing w:before="0" w:after="0" w:line="300" w:lineRule="auto"/>
        <w:ind w:left="794" w:hanging="794"/>
        <w:rPr>
          <w:color w:val="auto"/>
        </w:rPr>
      </w:pPr>
    </w:p>
    <w:p w14:paraId="1A109969" w14:textId="0C63C24C" w:rsidR="0005589C" w:rsidRPr="007236BD" w:rsidRDefault="0005589C" w:rsidP="00172F56">
      <w:pPr>
        <w:spacing w:line="300" w:lineRule="auto"/>
        <w:jc w:val="both"/>
        <w:rPr>
          <w:rFonts w:ascii="Arial" w:hAnsi="Arial" w:cs="Arial"/>
          <w:b/>
          <w:lang w:eastAsia="ja-JP"/>
        </w:rPr>
      </w:pPr>
      <w:r>
        <w:rPr>
          <w:rFonts w:ascii="Arial" w:hAnsi="Arial" w:cs="Arial"/>
          <w:b/>
          <w:lang w:eastAsia="ja-JP"/>
        </w:rPr>
        <w:t>Housing History</w:t>
      </w:r>
    </w:p>
    <w:p w14:paraId="09DA1329" w14:textId="77777777" w:rsidR="0005589C" w:rsidRPr="00C7268E" w:rsidRDefault="0005589C" w:rsidP="00172F56">
      <w:pPr>
        <w:spacing w:line="300" w:lineRule="auto"/>
        <w:jc w:val="both"/>
        <w:rPr>
          <w:rFonts w:ascii="Arial" w:hAnsi="Arial" w:cs="Arial"/>
          <w:sz w:val="20"/>
          <w:szCs w:val="20"/>
          <w:lang w:eastAsia="ja-JP"/>
        </w:rPr>
      </w:pPr>
    </w:p>
    <w:p w14:paraId="52467582" w14:textId="45372C91" w:rsidR="00C7268E" w:rsidRPr="00457BEA" w:rsidRDefault="00C7268E">
      <w:pPr>
        <w:pStyle w:val="11Bodytext"/>
        <w:numPr>
          <w:ilvl w:val="1"/>
          <w:numId w:val="40"/>
        </w:numPr>
        <w:spacing w:before="0" w:after="0" w:line="300" w:lineRule="auto"/>
        <w:ind w:left="720" w:hanging="720"/>
        <w:rPr>
          <w:color w:val="auto"/>
        </w:rPr>
      </w:pPr>
      <w:r w:rsidRPr="00C7268E">
        <w:t>At the time of the survey an estimated 18% of households (7,000) had been resident at their current address for less than two years and about 38% for less than 5-years.</w:t>
      </w:r>
      <w:r w:rsidRPr="00C7268E">
        <w:rPr>
          <w:color w:val="auto"/>
        </w:rPr>
        <w:t xml:space="preserve"> </w:t>
      </w:r>
      <w:r w:rsidRPr="00C7268E">
        <w:t xml:space="preserve">The table below shows length of residence by tenure. Of the households moving in the past two years, </w:t>
      </w:r>
      <w:r w:rsidR="00457BEA">
        <w:t>30</w:t>
      </w:r>
      <w:r w:rsidRPr="00C7268E">
        <w:t xml:space="preserve">% are currently private renters, </w:t>
      </w:r>
      <w:r w:rsidR="00457BEA">
        <w:t>58</w:t>
      </w:r>
      <w:r w:rsidRPr="00C7268E">
        <w:t>% owner-occupiers and 1</w:t>
      </w:r>
      <w:r w:rsidR="00457BEA">
        <w:t>2</w:t>
      </w:r>
      <w:r w:rsidRPr="00C7268E">
        <w:t xml:space="preserve">% live in the social rented sector. An estimated </w:t>
      </w:r>
      <w:r w:rsidR="00457BEA">
        <w:t>2</w:t>
      </w:r>
      <w:r w:rsidRPr="00C7268E">
        <w:t xml:space="preserve">7% of all private renters had moved home in the past two years, compared to </w:t>
      </w:r>
      <w:r w:rsidR="00457BEA">
        <w:t>26</w:t>
      </w:r>
      <w:r w:rsidRPr="00C7268E">
        <w:t xml:space="preserve">% of all social renters and </w:t>
      </w:r>
      <w:r w:rsidR="00457BEA">
        <w:t>14</w:t>
      </w:r>
      <w:r w:rsidRPr="00C7268E">
        <w:t>% of all owner-occupiers. The least mobile group are outright owners, only 1</w:t>
      </w:r>
      <w:r w:rsidR="00457BEA">
        <w:t>2</w:t>
      </w:r>
      <w:r w:rsidRPr="00C7268E">
        <w:t>% of whom moved in the previous two years.</w:t>
      </w:r>
    </w:p>
    <w:p w14:paraId="70B59EE6" w14:textId="77777777" w:rsidR="00457BEA" w:rsidRPr="00457BEA" w:rsidRDefault="00457BEA" w:rsidP="00172F56">
      <w:pPr>
        <w:pStyle w:val="11Bodytext"/>
        <w:numPr>
          <w:ilvl w:val="0"/>
          <w:numId w:val="0"/>
        </w:numPr>
        <w:spacing w:before="0" w:after="0" w:line="300" w:lineRule="auto"/>
        <w:rPr>
          <w:color w:val="auto"/>
        </w:rPr>
      </w:pPr>
    </w:p>
    <w:p w14:paraId="299B0D4F" w14:textId="427EBAC8" w:rsidR="00C7268E" w:rsidRPr="00457BEA" w:rsidRDefault="00C7268E">
      <w:pPr>
        <w:pStyle w:val="11Bodytext"/>
        <w:numPr>
          <w:ilvl w:val="1"/>
          <w:numId w:val="40"/>
        </w:numPr>
        <w:spacing w:before="0" w:after="0" w:line="300" w:lineRule="auto"/>
        <w:ind w:left="720" w:hanging="720"/>
        <w:rPr>
          <w:color w:val="auto"/>
        </w:rPr>
      </w:pPr>
      <w:r w:rsidRPr="00457BEA">
        <w:t>At the other end of the spectrum, approaching two-thirds (6</w:t>
      </w:r>
      <w:r w:rsidR="00457BEA" w:rsidRPr="00457BEA">
        <w:t>2</w:t>
      </w:r>
      <w:r w:rsidRPr="00457BEA">
        <w:t xml:space="preserve">%) of all households have lived in their home for more than five years. In the case of outright owners, </w:t>
      </w:r>
      <w:r w:rsidR="00457BEA" w:rsidRPr="00457BEA">
        <w:t>74</w:t>
      </w:r>
      <w:r w:rsidRPr="00457BEA">
        <w:t xml:space="preserve">% have lived in their home for more than five years – this compares with only </w:t>
      </w:r>
      <w:r w:rsidR="00457BEA" w:rsidRPr="00457BEA">
        <w:t>41</w:t>
      </w:r>
      <w:r w:rsidRPr="00457BEA">
        <w:t>% of private tenants. The high proportion of owner-occupiers remaining in their home for more than five years is likely to be connected to the high proportions of retired households in this tenure group; these households are less likely to move than younger households.</w:t>
      </w:r>
    </w:p>
    <w:p w14:paraId="3C5A560F" w14:textId="77777777" w:rsidR="00C7268E" w:rsidRPr="00C7268E" w:rsidRDefault="00C7268E" w:rsidP="00172F56">
      <w:pPr>
        <w:pStyle w:val="Reporttext0"/>
        <w:keepLines w:val="0"/>
        <w:widowControl w:val="0"/>
        <w:numPr>
          <w:ilvl w:val="0"/>
          <w:numId w:val="0"/>
        </w:numPr>
        <w:spacing w:line="300" w:lineRule="auto"/>
        <w:jc w:val="both"/>
        <w:rPr>
          <w:rFonts w:ascii="Arial" w:hAnsi="Arial" w:cs="Arial"/>
          <w:sz w:val="20"/>
          <w:highlight w:val="yellow"/>
        </w:rPr>
      </w:pPr>
    </w:p>
    <w:tbl>
      <w:tblPr>
        <w:tblStyle w:val="TableTheme"/>
        <w:tblW w:w="8199" w:type="dxa"/>
        <w:jc w:val="center"/>
        <w:tblLayout w:type="fixed"/>
        <w:tblLook w:val="0000" w:firstRow="0" w:lastRow="0" w:firstColumn="0" w:lastColumn="0" w:noHBand="0" w:noVBand="0"/>
      </w:tblPr>
      <w:tblGrid>
        <w:gridCol w:w="3270"/>
        <w:gridCol w:w="1223"/>
        <w:gridCol w:w="1224"/>
        <w:gridCol w:w="1224"/>
        <w:gridCol w:w="1258"/>
      </w:tblGrid>
      <w:tr w:rsidR="00C7268E" w:rsidRPr="00F17D92" w14:paraId="16C14B8E" w14:textId="77777777" w:rsidTr="00C7268E">
        <w:trPr>
          <w:jc w:val="center"/>
        </w:trPr>
        <w:tc>
          <w:tcPr>
            <w:tcW w:w="8199" w:type="dxa"/>
            <w:gridSpan w:val="5"/>
          </w:tcPr>
          <w:p w14:paraId="3A31777A" w14:textId="138ECAA6" w:rsidR="00C7268E" w:rsidRPr="00C7268E" w:rsidRDefault="00C7268E" w:rsidP="0014104A">
            <w:pPr>
              <w:pStyle w:val="Caption1"/>
              <w:widowControl w:val="0"/>
              <w:spacing w:before="60" w:after="60" w:line="300" w:lineRule="auto"/>
              <w:rPr>
                <w:rFonts w:ascii="Arial" w:hAnsi="Arial"/>
                <w:sz w:val="20"/>
                <w:szCs w:val="20"/>
              </w:rPr>
            </w:pPr>
            <w:r w:rsidRPr="00C7268E">
              <w:rPr>
                <w:rFonts w:ascii="Arial" w:hAnsi="Arial"/>
                <w:sz w:val="20"/>
                <w:szCs w:val="20"/>
              </w:rPr>
              <w:t xml:space="preserve">Figure </w:t>
            </w:r>
            <w:r w:rsidR="00AD29A6">
              <w:rPr>
                <w:rFonts w:ascii="Arial" w:hAnsi="Arial"/>
                <w:sz w:val="20"/>
                <w:szCs w:val="20"/>
              </w:rPr>
              <w:t>5.1:</w:t>
            </w:r>
            <w:r w:rsidRPr="00C7268E">
              <w:rPr>
                <w:rFonts w:ascii="Arial" w:hAnsi="Arial"/>
                <w:sz w:val="20"/>
                <w:szCs w:val="20"/>
              </w:rPr>
              <w:t xml:space="preserve"> Length of residence of household by tenure</w:t>
            </w:r>
          </w:p>
        </w:tc>
      </w:tr>
      <w:tr w:rsidR="00C7268E" w:rsidRPr="00F17D92" w14:paraId="7543177A" w14:textId="77777777" w:rsidTr="00172F56">
        <w:trPr>
          <w:jc w:val="center"/>
        </w:trPr>
        <w:tc>
          <w:tcPr>
            <w:tcW w:w="3270" w:type="dxa"/>
            <w:vMerge w:val="restart"/>
          </w:tcPr>
          <w:p w14:paraId="107C496D" w14:textId="77777777" w:rsidR="00C7268E" w:rsidRPr="00C7268E" w:rsidRDefault="00C7268E" w:rsidP="0014104A">
            <w:pPr>
              <w:keepNext/>
              <w:widowControl w:val="0"/>
              <w:spacing w:line="300" w:lineRule="auto"/>
              <w:rPr>
                <w:rFonts w:ascii="Arial" w:hAnsi="Arial" w:cs="Arial"/>
                <w:sz w:val="20"/>
                <w:szCs w:val="20"/>
              </w:rPr>
            </w:pPr>
            <w:r w:rsidRPr="00C7268E">
              <w:rPr>
                <w:rFonts w:ascii="Arial" w:hAnsi="Arial" w:cs="Arial"/>
                <w:sz w:val="20"/>
                <w:szCs w:val="20"/>
              </w:rPr>
              <w:t>Tenure</w:t>
            </w:r>
          </w:p>
        </w:tc>
        <w:tc>
          <w:tcPr>
            <w:tcW w:w="3671" w:type="dxa"/>
            <w:gridSpan w:val="3"/>
          </w:tcPr>
          <w:p w14:paraId="0B198EFA" w14:textId="77777777" w:rsidR="00C7268E" w:rsidRPr="00C7268E" w:rsidRDefault="00C7268E" w:rsidP="0014104A">
            <w:pPr>
              <w:keepNext/>
              <w:widowControl w:val="0"/>
              <w:spacing w:line="300" w:lineRule="auto"/>
              <w:jc w:val="center"/>
              <w:rPr>
                <w:rFonts w:ascii="Arial" w:hAnsi="Arial" w:cs="Arial"/>
                <w:sz w:val="20"/>
                <w:szCs w:val="20"/>
              </w:rPr>
            </w:pPr>
            <w:r w:rsidRPr="00C7268E">
              <w:rPr>
                <w:rFonts w:ascii="Arial" w:hAnsi="Arial" w:cs="Arial"/>
                <w:sz w:val="20"/>
                <w:szCs w:val="20"/>
              </w:rPr>
              <w:t>Length of residence</w:t>
            </w:r>
          </w:p>
        </w:tc>
        <w:tc>
          <w:tcPr>
            <w:tcW w:w="1258" w:type="dxa"/>
            <w:vMerge w:val="restart"/>
          </w:tcPr>
          <w:p w14:paraId="6E8EBF05" w14:textId="77777777" w:rsidR="00C7268E" w:rsidRPr="00C7268E" w:rsidRDefault="00C7268E" w:rsidP="0014104A">
            <w:pPr>
              <w:keepNext/>
              <w:widowControl w:val="0"/>
              <w:spacing w:line="300" w:lineRule="auto"/>
              <w:jc w:val="center"/>
              <w:rPr>
                <w:rFonts w:ascii="Arial" w:hAnsi="Arial" w:cs="Arial"/>
                <w:sz w:val="20"/>
                <w:szCs w:val="20"/>
              </w:rPr>
            </w:pPr>
            <w:r w:rsidRPr="00C7268E">
              <w:rPr>
                <w:rFonts w:ascii="Arial" w:hAnsi="Arial" w:cs="Arial"/>
                <w:sz w:val="20"/>
                <w:szCs w:val="20"/>
              </w:rPr>
              <w:t>Total</w:t>
            </w:r>
          </w:p>
        </w:tc>
      </w:tr>
      <w:tr w:rsidR="00C7268E" w:rsidRPr="003B2354" w14:paraId="1DFA063A" w14:textId="77777777" w:rsidTr="00172F56">
        <w:trPr>
          <w:jc w:val="center"/>
        </w:trPr>
        <w:tc>
          <w:tcPr>
            <w:tcW w:w="3270" w:type="dxa"/>
            <w:vMerge/>
          </w:tcPr>
          <w:p w14:paraId="29E89C7B" w14:textId="77777777" w:rsidR="00C7268E" w:rsidRPr="00C7268E" w:rsidRDefault="00C7268E" w:rsidP="0014104A">
            <w:pPr>
              <w:keepNext/>
              <w:widowControl w:val="0"/>
              <w:spacing w:line="300" w:lineRule="auto"/>
              <w:rPr>
                <w:rFonts w:ascii="Arial" w:hAnsi="Arial" w:cs="Arial"/>
                <w:sz w:val="20"/>
                <w:szCs w:val="20"/>
              </w:rPr>
            </w:pPr>
          </w:p>
        </w:tc>
        <w:tc>
          <w:tcPr>
            <w:tcW w:w="1223" w:type="dxa"/>
          </w:tcPr>
          <w:p w14:paraId="5BC7E995" w14:textId="77777777" w:rsidR="00C7268E" w:rsidRPr="00C7268E" w:rsidRDefault="00C7268E" w:rsidP="0014104A">
            <w:pPr>
              <w:keepNext/>
              <w:widowControl w:val="0"/>
              <w:spacing w:line="300" w:lineRule="auto"/>
              <w:jc w:val="center"/>
              <w:rPr>
                <w:rFonts w:ascii="Arial" w:hAnsi="Arial" w:cs="Arial"/>
                <w:sz w:val="20"/>
                <w:szCs w:val="20"/>
              </w:rPr>
            </w:pPr>
            <w:r w:rsidRPr="00C7268E">
              <w:rPr>
                <w:rFonts w:ascii="Arial" w:hAnsi="Arial" w:cs="Arial"/>
                <w:sz w:val="20"/>
                <w:szCs w:val="20"/>
              </w:rPr>
              <w:t>Less than 2 years</w:t>
            </w:r>
          </w:p>
        </w:tc>
        <w:tc>
          <w:tcPr>
            <w:tcW w:w="1224" w:type="dxa"/>
          </w:tcPr>
          <w:p w14:paraId="1F58DD3C" w14:textId="77777777" w:rsidR="00C7268E" w:rsidRPr="00C7268E" w:rsidRDefault="00C7268E" w:rsidP="0014104A">
            <w:pPr>
              <w:keepNext/>
              <w:widowControl w:val="0"/>
              <w:spacing w:line="300" w:lineRule="auto"/>
              <w:jc w:val="center"/>
              <w:rPr>
                <w:rFonts w:ascii="Arial" w:hAnsi="Arial" w:cs="Arial"/>
                <w:sz w:val="20"/>
                <w:szCs w:val="20"/>
              </w:rPr>
            </w:pPr>
            <w:r w:rsidRPr="00C7268E">
              <w:rPr>
                <w:rFonts w:ascii="Arial" w:hAnsi="Arial" w:cs="Arial"/>
                <w:sz w:val="20"/>
                <w:szCs w:val="20"/>
              </w:rPr>
              <w:t>2 to 5 years</w:t>
            </w:r>
          </w:p>
        </w:tc>
        <w:tc>
          <w:tcPr>
            <w:tcW w:w="1224" w:type="dxa"/>
          </w:tcPr>
          <w:p w14:paraId="2F2C140D" w14:textId="77777777" w:rsidR="00C7268E" w:rsidRPr="00C7268E" w:rsidRDefault="00C7268E" w:rsidP="0014104A">
            <w:pPr>
              <w:keepNext/>
              <w:widowControl w:val="0"/>
              <w:spacing w:line="300" w:lineRule="auto"/>
              <w:jc w:val="center"/>
              <w:rPr>
                <w:rFonts w:ascii="Arial" w:hAnsi="Arial" w:cs="Arial"/>
                <w:sz w:val="20"/>
                <w:szCs w:val="20"/>
              </w:rPr>
            </w:pPr>
            <w:r w:rsidRPr="00C7268E">
              <w:rPr>
                <w:rFonts w:ascii="Arial" w:hAnsi="Arial" w:cs="Arial"/>
                <w:sz w:val="20"/>
                <w:szCs w:val="20"/>
              </w:rPr>
              <w:t>Over 5 years</w:t>
            </w:r>
          </w:p>
        </w:tc>
        <w:tc>
          <w:tcPr>
            <w:tcW w:w="1258" w:type="dxa"/>
            <w:vMerge/>
          </w:tcPr>
          <w:p w14:paraId="4909F49D" w14:textId="77777777" w:rsidR="00C7268E" w:rsidRPr="00C7268E" w:rsidRDefault="00C7268E" w:rsidP="0014104A">
            <w:pPr>
              <w:keepNext/>
              <w:widowControl w:val="0"/>
              <w:spacing w:line="300" w:lineRule="auto"/>
              <w:jc w:val="center"/>
              <w:rPr>
                <w:rFonts w:ascii="Arial" w:hAnsi="Arial" w:cs="Arial"/>
                <w:sz w:val="20"/>
                <w:szCs w:val="20"/>
              </w:rPr>
            </w:pPr>
          </w:p>
        </w:tc>
      </w:tr>
      <w:tr w:rsidR="00C7268E" w:rsidRPr="003B2354" w14:paraId="6D0BE4C5" w14:textId="77777777" w:rsidTr="00172F56">
        <w:trPr>
          <w:jc w:val="center"/>
        </w:trPr>
        <w:tc>
          <w:tcPr>
            <w:tcW w:w="3270" w:type="dxa"/>
          </w:tcPr>
          <w:p w14:paraId="1BCD94B9" w14:textId="77777777" w:rsidR="00C7268E" w:rsidRPr="00C7268E" w:rsidRDefault="00C7268E" w:rsidP="0014104A">
            <w:pPr>
              <w:keepNext/>
              <w:widowControl w:val="0"/>
              <w:spacing w:line="300" w:lineRule="auto"/>
              <w:rPr>
                <w:rFonts w:ascii="Arial" w:hAnsi="Arial" w:cs="Arial"/>
                <w:sz w:val="20"/>
                <w:szCs w:val="20"/>
              </w:rPr>
            </w:pPr>
            <w:r w:rsidRPr="00C7268E">
              <w:rPr>
                <w:rFonts w:ascii="Arial" w:hAnsi="Arial" w:cs="Arial"/>
                <w:sz w:val="20"/>
                <w:szCs w:val="20"/>
              </w:rPr>
              <w:t>Owner-occupied (no mortgage)</w:t>
            </w:r>
          </w:p>
        </w:tc>
        <w:tc>
          <w:tcPr>
            <w:tcW w:w="1223" w:type="dxa"/>
          </w:tcPr>
          <w:p w14:paraId="38CF32C8"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2,031</w:t>
            </w:r>
          </w:p>
        </w:tc>
        <w:tc>
          <w:tcPr>
            <w:tcW w:w="1224" w:type="dxa"/>
          </w:tcPr>
          <w:p w14:paraId="7FDBF79F"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2,491</w:t>
            </w:r>
          </w:p>
        </w:tc>
        <w:tc>
          <w:tcPr>
            <w:tcW w:w="1224" w:type="dxa"/>
          </w:tcPr>
          <w:p w14:paraId="34B78E37"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13,083</w:t>
            </w:r>
          </w:p>
        </w:tc>
        <w:tc>
          <w:tcPr>
            <w:tcW w:w="1258" w:type="dxa"/>
          </w:tcPr>
          <w:p w14:paraId="00D7ACC6"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17,604</w:t>
            </w:r>
          </w:p>
        </w:tc>
      </w:tr>
      <w:tr w:rsidR="00C7268E" w:rsidRPr="003B2354" w14:paraId="71187F1A" w14:textId="77777777" w:rsidTr="00172F56">
        <w:trPr>
          <w:jc w:val="center"/>
        </w:trPr>
        <w:tc>
          <w:tcPr>
            <w:tcW w:w="3270" w:type="dxa"/>
          </w:tcPr>
          <w:p w14:paraId="7C544649" w14:textId="77777777" w:rsidR="00C7268E" w:rsidRPr="00C7268E" w:rsidRDefault="00C7268E" w:rsidP="0014104A">
            <w:pPr>
              <w:keepNext/>
              <w:widowControl w:val="0"/>
              <w:spacing w:line="300" w:lineRule="auto"/>
              <w:rPr>
                <w:rFonts w:ascii="Arial" w:hAnsi="Arial" w:cs="Arial"/>
                <w:sz w:val="20"/>
                <w:szCs w:val="20"/>
              </w:rPr>
            </w:pPr>
            <w:r w:rsidRPr="00C7268E">
              <w:rPr>
                <w:rFonts w:ascii="Arial" w:hAnsi="Arial" w:cs="Arial"/>
                <w:sz w:val="20"/>
                <w:szCs w:val="20"/>
              </w:rPr>
              <w:t>Owner-occupied (with mortgage)</w:t>
            </w:r>
          </w:p>
        </w:tc>
        <w:tc>
          <w:tcPr>
            <w:tcW w:w="1223" w:type="dxa"/>
          </w:tcPr>
          <w:p w14:paraId="4819597A"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1,993</w:t>
            </w:r>
          </w:p>
        </w:tc>
        <w:tc>
          <w:tcPr>
            <w:tcW w:w="1224" w:type="dxa"/>
          </w:tcPr>
          <w:p w14:paraId="0F8A7A03"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2,192</w:t>
            </w:r>
          </w:p>
        </w:tc>
        <w:tc>
          <w:tcPr>
            <w:tcW w:w="1224" w:type="dxa"/>
          </w:tcPr>
          <w:p w14:paraId="4E776CA7"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6,201</w:t>
            </w:r>
          </w:p>
        </w:tc>
        <w:tc>
          <w:tcPr>
            <w:tcW w:w="1258" w:type="dxa"/>
          </w:tcPr>
          <w:p w14:paraId="569018E9"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10,385</w:t>
            </w:r>
          </w:p>
        </w:tc>
      </w:tr>
      <w:tr w:rsidR="00C7268E" w:rsidRPr="003B2354" w14:paraId="733F0D21" w14:textId="77777777" w:rsidTr="00172F56">
        <w:trPr>
          <w:jc w:val="center"/>
        </w:trPr>
        <w:tc>
          <w:tcPr>
            <w:tcW w:w="3270" w:type="dxa"/>
          </w:tcPr>
          <w:p w14:paraId="53D10E31" w14:textId="77777777" w:rsidR="00C7268E" w:rsidRPr="00C7268E" w:rsidRDefault="00C7268E" w:rsidP="0014104A">
            <w:pPr>
              <w:keepNext/>
              <w:widowControl w:val="0"/>
              <w:spacing w:line="300" w:lineRule="auto"/>
              <w:rPr>
                <w:rFonts w:ascii="Arial" w:hAnsi="Arial" w:cs="Arial"/>
                <w:sz w:val="20"/>
                <w:szCs w:val="20"/>
              </w:rPr>
            </w:pPr>
            <w:r w:rsidRPr="00C7268E">
              <w:rPr>
                <w:rFonts w:ascii="Arial" w:hAnsi="Arial" w:cs="Arial"/>
                <w:sz w:val="20"/>
                <w:szCs w:val="20"/>
              </w:rPr>
              <w:t>Social rented</w:t>
            </w:r>
          </w:p>
        </w:tc>
        <w:tc>
          <w:tcPr>
            <w:tcW w:w="1223" w:type="dxa"/>
          </w:tcPr>
          <w:p w14:paraId="161A507C"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855</w:t>
            </w:r>
          </w:p>
        </w:tc>
        <w:tc>
          <w:tcPr>
            <w:tcW w:w="1224" w:type="dxa"/>
          </w:tcPr>
          <w:p w14:paraId="0A8E60FE"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816</w:t>
            </w:r>
          </w:p>
        </w:tc>
        <w:tc>
          <w:tcPr>
            <w:tcW w:w="1224" w:type="dxa"/>
          </w:tcPr>
          <w:p w14:paraId="132BAFBE"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1,594</w:t>
            </w:r>
          </w:p>
        </w:tc>
        <w:tc>
          <w:tcPr>
            <w:tcW w:w="1258" w:type="dxa"/>
          </w:tcPr>
          <w:p w14:paraId="0E01B9BC"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3,264</w:t>
            </w:r>
          </w:p>
        </w:tc>
      </w:tr>
      <w:tr w:rsidR="00C7268E" w:rsidRPr="003B2354" w14:paraId="36793FC6" w14:textId="77777777" w:rsidTr="00172F56">
        <w:trPr>
          <w:jc w:val="center"/>
        </w:trPr>
        <w:tc>
          <w:tcPr>
            <w:tcW w:w="3270" w:type="dxa"/>
          </w:tcPr>
          <w:p w14:paraId="54E78ECB" w14:textId="77777777" w:rsidR="00C7268E" w:rsidRPr="00C7268E" w:rsidRDefault="00C7268E" w:rsidP="0014104A">
            <w:pPr>
              <w:keepNext/>
              <w:widowControl w:val="0"/>
              <w:spacing w:line="300" w:lineRule="auto"/>
              <w:rPr>
                <w:rFonts w:ascii="Arial" w:hAnsi="Arial" w:cs="Arial"/>
                <w:snapToGrid w:val="0"/>
                <w:sz w:val="20"/>
                <w:szCs w:val="20"/>
              </w:rPr>
            </w:pPr>
            <w:r w:rsidRPr="00C7268E">
              <w:rPr>
                <w:rFonts w:ascii="Arial" w:hAnsi="Arial" w:cs="Arial"/>
                <w:snapToGrid w:val="0"/>
                <w:sz w:val="20"/>
                <w:szCs w:val="20"/>
              </w:rPr>
              <w:t>Private rented</w:t>
            </w:r>
          </w:p>
        </w:tc>
        <w:tc>
          <w:tcPr>
            <w:tcW w:w="1223" w:type="dxa"/>
          </w:tcPr>
          <w:p w14:paraId="525DD97D"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2,115</w:t>
            </w:r>
          </w:p>
        </w:tc>
        <w:tc>
          <w:tcPr>
            <w:tcW w:w="1224" w:type="dxa"/>
          </w:tcPr>
          <w:p w14:paraId="756D5EC8"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2,419</w:t>
            </w:r>
          </w:p>
        </w:tc>
        <w:tc>
          <w:tcPr>
            <w:tcW w:w="1224" w:type="dxa"/>
          </w:tcPr>
          <w:p w14:paraId="7FDA1EB5"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3,212</w:t>
            </w:r>
          </w:p>
        </w:tc>
        <w:tc>
          <w:tcPr>
            <w:tcW w:w="1258" w:type="dxa"/>
          </w:tcPr>
          <w:p w14:paraId="6DD8EFED"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7,746</w:t>
            </w:r>
          </w:p>
        </w:tc>
      </w:tr>
      <w:tr w:rsidR="00C7268E" w:rsidRPr="003B2354" w14:paraId="1C8EB12D" w14:textId="77777777" w:rsidTr="00172F56">
        <w:trPr>
          <w:jc w:val="center"/>
        </w:trPr>
        <w:tc>
          <w:tcPr>
            <w:tcW w:w="3270" w:type="dxa"/>
          </w:tcPr>
          <w:p w14:paraId="64905F53" w14:textId="77777777" w:rsidR="00C7268E" w:rsidRPr="00C7268E" w:rsidRDefault="00C7268E" w:rsidP="0014104A">
            <w:pPr>
              <w:keepNext/>
              <w:widowControl w:val="0"/>
              <w:spacing w:line="300" w:lineRule="auto"/>
              <w:rPr>
                <w:rFonts w:ascii="Arial" w:hAnsi="Arial" w:cs="Arial"/>
                <w:sz w:val="20"/>
                <w:szCs w:val="20"/>
              </w:rPr>
            </w:pPr>
            <w:r w:rsidRPr="00C7268E">
              <w:rPr>
                <w:rFonts w:ascii="Arial" w:hAnsi="Arial" w:cs="Arial"/>
                <w:sz w:val="20"/>
                <w:szCs w:val="20"/>
              </w:rPr>
              <w:t>Total</w:t>
            </w:r>
          </w:p>
        </w:tc>
        <w:tc>
          <w:tcPr>
            <w:tcW w:w="1223" w:type="dxa"/>
          </w:tcPr>
          <w:p w14:paraId="11A5EF89"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6,994</w:t>
            </w:r>
          </w:p>
        </w:tc>
        <w:tc>
          <w:tcPr>
            <w:tcW w:w="1224" w:type="dxa"/>
          </w:tcPr>
          <w:p w14:paraId="25E32254"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7,918</w:t>
            </w:r>
          </w:p>
        </w:tc>
        <w:tc>
          <w:tcPr>
            <w:tcW w:w="1224" w:type="dxa"/>
          </w:tcPr>
          <w:p w14:paraId="15A8B5E7"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24,089</w:t>
            </w:r>
          </w:p>
        </w:tc>
        <w:tc>
          <w:tcPr>
            <w:tcW w:w="1258" w:type="dxa"/>
          </w:tcPr>
          <w:p w14:paraId="04571A0A"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39,000</w:t>
            </w:r>
          </w:p>
        </w:tc>
      </w:tr>
      <w:tr w:rsidR="00C7268E" w:rsidRPr="003B2354" w14:paraId="5B80C0D9" w14:textId="77777777" w:rsidTr="00172F56">
        <w:trPr>
          <w:jc w:val="center"/>
        </w:trPr>
        <w:tc>
          <w:tcPr>
            <w:tcW w:w="3270" w:type="dxa"/>
          </w:tcPr>
          <w:p w14:paraId="292FC006" w14:textId="77777777" w:rsidR="00C7268E" w:rsidRPr="00C7268E" w:rsidRDefault="00C7268E" w:rsidP="0014104A">
            <w:pPr>
              <w:keepNext/>
              <w:widowControl w:val="0"/>
              <w:spacing w:line="300" w:lineRule="auto"/>
              <w:rPr>
                <w:rFonts w:ascii="Arial" w:hAnsi="Arial" w:cs="Arial"/>
                <w:sz w:val="20"/>
                <w:szCs w:val="20"/>
              </w:rPr>
            </w:pPr>
            <w:r w:rsidRPr="00C7268E">
              <w:rPr>
                <w:rFonts w:ascii="Arial" w:hAnsi="Arial" w:cs="Arial"/>
                <w:sz w:val="20"/>
                <w:szCs w:val="20"/>
              </w:rPr>
              <w:t>Owner-occupied (no mortgage)</w:t>
            </w:r>
          </w:p>
        </w:tc>
        <w:tc>
          <w:tcPr>
            <w:tcW w:w="1223" w:type="dxa"/>
          </w:tcPr>
          <w:p w14:paraId="27E67442"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11.5%</w:t>
            </w:r>
          </w:p>
        </w:tc>
        <w:tc>
          <w:tcPr>
            <w:tcW w:w="1224" w:type="dxa"/>
          </w:tcPr>
          <w:p w14:paraId="4F06C5CB"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14.1%</w:t>
            </w:r>
          </w:p>
        </w:tc>
        <w:tc>
          <w:tcPr>
            <w:tcW w:w="1224" w:type="dxa"/>
          </w:tcPr>
          <w:p w14:paraId="51DED0F7"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74.3%</w:t>
            </w:r>
          </w:p>
        </w:tc>
        <w:tc>
          <w:tcPr>
            <w:tcW w:w="1258" w:type="dxa"/>
          </w:tcPr>
          <w:p w14:paraId="6C0373DC"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100.0%</w:t>
            </w:r>
          </w:p>
        </w:tc>
      </w:tr>
      <w:tr w:rsidR="00C7268E" w:rsidRPr="003B2354" w14:paraId="28921C25" w14:textId="77777777" w:rsidTr="00172F56">
        <w:trPr>
          <w:jc w:val="center"/>
        </w:trPr>
        <w:tc>
          <w:tcPr>
            <w:tcW w:w="3270" w:type="dxa"/>
          </w:tcPr>
          <w:p w14:paraId="75731D78" w14:textId="77777777" w:rsidR="00C7268E" w:rsidRPr="00C7268E" w:rsidRDefault="00C7268E" w:rsidP="0014104A">
            <w:pPr>
              <w:keepNext/>
              <w:widowControl w:val="0"/>
              <w:spacing w:line="300" w:lineRule="auto"/>
              <w:rPr>
                <w:rFonts w:ascii="Arial" w:hAnsi="Arial" w:cs="Arial"/>
                <w:sz w:val="20"/>
                <w:szCs w:val="20"/>
              </w:rPr>
            </w:pPr>
            <w:r w:rsidRPr="00C7268E">
              <w:rPr>
                <w:rFonts w:ascii="Arial" w:hAnsi="Arial" w:cs="Arial"/>
                <w:sz w:val="20"/>
                <w:szCs w:val="20"/>
              </w:rPr>
              <w:t>Owner-occupied (with mortgage)</w:t>
            </w:r>
          </w:p>
        </w:tc>
        <w:tc>
          <w:tcPr>
            <w:tcW w:w="1223" w:type="dxa"/>
          </w:tcPr>
          <w:p w14:paraId="5C3E8039"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19.2%</w:t>
            </w:r>
          </w:p>
        </w:tc>
        <w:tc>
          <w:tcPr>
            <w:tcW w:w="1224" w:type="dxa"/>
          </w:tcPr>
          <w:p w14:paraId="64C9FFD1"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21.1%</w:t>
            </w:r>
          </w:p>
        </w:tc>
        <w:tc>
          <w:tcPr>
            <w:tcW w:w="1224" w:type="dxa"/>
          </w:tcPr>
          <w:p w14:paraId="3467F175"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59.7%</w:t>
            </w:r>
          </w:p>
        </w:tc>
        <w:tc>
          <w:tcPr>
            <w:tcW w:w="1258" w:type="dxa"/>
          </w:tcPr>
          <w:p w14:paraId="12A6EB00"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100.0%</w:t>
            </w:r>
          </w:p>
        </w:tc>
      </w:tr>
      <w:tr w:rsidR="00C7268E" w:rsidRPr="003B2354" w14:paraId="27F0CA16" w14:textId="77777777" w:rsidTr="00172F56">
        <w:trPr>
          <w:jc w:val="center"/>
        </w:trPr>
        <w:tc>
          <w:tcPr>
            <w:tcW w:w="3270" w:type="dxa"/>
          </w:tcPr>
          <w:p w14:paraId="084E7350" w14:textId="77777777" w:rsidR="00C7268E" w:rsidRPr="00C7268E" w:rsidRDefault="00C7268E" w:rsidP="0014104A">
            <w:pPr>
              <w:keepNext/>
              <w:widowControl w:val="0"/>
              <w:spacing w:line="300" w:lineRule="auto"/>
              <w:rPr>
                <w:rFonts w:ascii="Arial" w:hAnsi="Arial" w:cs="Arial"/>
                <w:sz w:val="20"/>
                <w:szCs w:val="20"/>
              </w:rPr>
            </w:pPr>
            <w:r w:rsidRPr="00C7268E">
              <w:rPr>
                <w:rFonts w:ascii="Arial" w:hAnsi="Arial" w:cs="Arial"/>
                <w:sz w:val="20"/>
                <w:szCs w:val="20"/>
              </w:rPr>
              <w:t>Social rented</w:t>
            </w:r>
          </w:p>
        </w:tc>
        <w:tc>
          <w:tcPr>
            <w:tcW w:w="1223" w:type="dxa"/>
          </w:tcPr>
          <w:p w14:paraId="44AA7C8F"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26.2%</w:t>
            </w:r>
          </w:p>
        </w:tc>
        <w:tc>
          <w:tcPr>
            <w:tcW w:w="1224" w:type="dxa"/>
          </w:tcPr>
          <w:p w14:paraId="5B795223"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25.0%</w:t>
            </w:r>
          </w:p>
        </w:tc>
        <w:tc>
          <w:tcPr>
            <w:tcW w:w="1224" w:type="dxa"/>
          </w:tcPr>
          <w:p w14:paraId="585100E6"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48.8%</w:t>
            </w:r>
          </w:p>
        </w:tc>
        <w:tc>
          <w:tcPr>
            <w:tcW w:w="1258" w:type="dxa"/>
          </w:tcPr>
          <w:p w14:paraId="369C5EE2"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100.0%</w:t>
            </w:r>
          </w:p>
        </w:tc>
      </w:tr>
      <w:tr w:rsidR="00C7268E" w:rsidRPr="003B2354" w14:paraId="38669BDA" w14:textId="77777777" w:rsidTr="00172F56">
        <w:trPr>
          <w:jc w:val="center"/>
        </w:trPr>
        <w:tc>
          <w:tcPr>
            <w:tcW w:w="3270" w:type="dxa"/>
          </w:tcPr>
          <w:p w14:paraId="5B857A7E" w14:textId="77777777" w:rsidR="00C7268E" w:rsidRPr="00C7268E" w:rsidRDefault="00C7268E" w:rsidP="0014104A">
            <w:pPr>
              <w:keepNext/>
              <w:widowControl w:val="0"/>
              <w:spacing w:line="300" w:lineRule="auto"/>
              <w:rPr>
                <w:rFonts w:ascii="Arial" w:hAnsi="Arial" w:cs="Arial"/>
                <w:snapToGrid w:val="0"/>
                <w:sz w:val="20"/>
                <w:szCs w:val="20"/>
              </w:rPr>
            </w:pPr>
            <w:r w:rsidRPr="00C7268E">
              <w:rPr>
                <w:rFonts w:ascii="Arial" w:hAnsi="Arial" w:cs="Arial"/>
                <w:snapToGrid w:val="0"/>
                <w:sz w:val="20"/>
                <w:szCs w:val="20"/>
              </w:rPr>
              <w:t>Private rented</w:t>
            </w:r>
          </w:p>
        </w:tc>
        <w:tc>
          <w:tcPr>
            <w:tcW w:w="1223" w:type="dxa"/>
          </w:tcPr>
          <w:p w14:paraId="2AB91F13"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27.3%</w:t>
            </w:r>
          </w:p>
        </w:tc>
        <w:tc>
          <w:tcPr>
            <w:tcW w:w="1224" w:type="dxa"/>
          </w:tcPr>
          <w:p w14:paraId="1AE9D394"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31.2%</w:t>
            </w:r>
          </w:p>
        </w:tc>
        <w:tc>
          <w:tcPr>
            <w:tcW w:w="1224" w:type="dxa"/>
          </w:tcPr>
          <w:p w14:paraId="176686AC"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41.5%</w:t>
            </w:r>
          </w:p>
        </w:tc>
        <w:tc>
          <w:tcPr>
            <w:tcW w:w="1258" w:type="dxa"/>
          </w:tcPr>
          <w:p w14:paraId="534926E9"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100.0%</w:t>
            </w:r>
          </w:p>
        </w:tc>
      </w:tr>
      <w:tr w:rsidR="00C7268E" w:rsidRPr="003B2354" w14:paraId="0869E9AA" w14:textId="77777777" w:rsidTr="00172F56">
        <w:trPr>
          <w:jc w:val="center"/>
        </w:trPr>
        <w:tc>
          <w:tcPr>
            <w:tcW w:w="3270" w:type="dxa"/>
          </w:tcPr>
          <w:p w14:paraId="5375C08D" w14:textId="77777777" w:rsidR="00C7268E" w:rsidRPr="00C7268E" w:rsidRDefault="00C7268E" w:rsidP="0014104A">
            <w:pPr>
              <w:keepNext/>
              <w:widowControl w:val="0"/>
              <w:spacing w:line="300" w:lineRule="auto"/>
              <w:rPr>
                <w:rFonts w:ascii="Arial" w:hAnsi="Arial" w:cs="Arial"/>
                <w:sz w:val="20"/>
                <w:szCs w:val="20"/>
              </w:rPr>
            </w:pPr>
            <w:r w:rsidRPr="00C7268E">
              <w:rPr>
                <w:rFonts w:ascii="Arial" w:hAnsi="Arial" w:cs="Arial"/>
                <w:sz w:val="20"/>
                <w:szCs w:val="20"/>
              </w:rPr>
              <w:t>Total</w:t>
            </w:r>
          </w:p>
        </w:tc>
        <w:tc>
          <w:tcPr>
            <w:tcW w:w="1223" w:type="dxa"/>
          </w:tcPr>
          <w:p w14:paraId="6768D090"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17.9%</w:t>
            </w:r>
          </w:p>
        </w:tc>
        <w:tc>
          <w:tcPr>
            <w:tcW w:w="1224" w:type="dxa"/>
          </w:tcPr>
          <w:p w14:paraId="3B16215E"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20.3%</w:t>
            </w:r>
          </w:p>
        </w:tc>
        <w:tc>
          <w:tcPr>
            <w:tcW w:w="1224" w:type="dxa"/>
          </w:tcPr>
          <w:p w14:paraId="5B0AF30E"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61.8%</w:t>
            </w:r>
          </w:p>
        </w:tc>
        <w:tc>
          <w:tcPr>
            <w:tcW w:w="1258" w:type="dxa"/>
          </w:tcPr>
          <w:p w14:paraId="4E1B4D1B" w14:textId="77777777" w:rsidR="00C7268E" w:rsidRPr="00C7268E" w:rsidRDefault="00C7268E" w:rsidP="0014104A">
            <w:pPr>
              <w:keepNext/>
              <w:spacing w:line="300" w:lineRule="auto"/>
              <w:jc w:val="center"/>
              <w:rPr>
                <w:rFonts w:ascii="Arial" w:hAnsi="Arial" w:cs="Arial"/>
                <w:sz w:val="20"/>
                <w:szCs w:val="20"/>
              </w:rPr>
            </w:pPr>
            <w:r w:rsidRPr="00C7268E">
              <w:rPr>
                <w:rFonts w:ascii="Arial" w:hAnsi="Arial" w:cs="Arial"/>
                <w:color w:val="000000"/>
                <w:sz w:val="20"/>
                <w:szCs w:val="20"/>
              </w:rPr>
              <w:t>100.0%</w:t>
            </w:r>
          </w:p>
        </w:tc>
      </w:tr>
    </w:tbl>
    <w:p w14:paraId="6235E4F7" w14:textId="3523F224" w:rsidR="00C7268E" w:rsidRPr="00CB6B8E"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70A4466D" w14:textId="0CDC9007" w:rsidR="00C7268E" w:rsidRDefault="00C7268E" w:rsidP="00172F56">
      <w:pPr>
        <w:pStyle w:val="Reporttext0"/>
        <w:keepLines w:val="0"/>
        <w:widowControl w:val="0"/>
        <w:numPr>
          <w:ilvl w:val="0"/>
          <w:numId w:val="0"/>
        </w:numPr>
        <w:spacing w:line="300" w:lineRule="auto"/>
        <w:jc w:val="both"/>
        <w:rPr>
          <w:rFonts w:ascii="Arial" w:hAnsi="Arial" w:cs="Arial"/>
          <w:sz w:val="20"/>
          <w:highlight w:val="yellow"/>
        </w:rPr>
      </w:pPr>
    </w:p>
    <w:p w14:paraId="048E1F28" w14:textId="77777777" w:rsidR="00620FE9" w:rsidRPr="004C4E5C" w:rsidRDefault="00620FE9" w:rsidP="00172F56">
      <w:pPr>
        <w:pStyle w:val="Reporttext0"/>
        <w:keepLines w:val="0"/>
        <w:widowControl w:val="0"/>
        <w:numPr>
          <w:ilvl w:val="0"/>
          <w:numId w:val="0"/>
        </w:numPr>
        <w:spacing w:line="300" w:lineRule="auto"/>
        <w:jc w:val="both"/>
        <w:rPr>
          <w:rFonts w:ascii="Arial" w:hAnsi="Arial" w:cs="Arial"/>
          <w:sz w:val="20"/>
          <w:highlight w:val="yellow"/>
        </w:rPr>
      </w:pPr>
    </w:p>
    <w:p w14:paraId="10C1D8A4" w14:textId="5E02D76A" w:rsidR="00457BEA" w:rsidRPr="004C4E5C" w:rsidRDefault="00457BEA">
      <w:pPr>
        <w:pStyle w:val="11Bodytext"/>
        <w:numPr>
          <w:ilvl w:val="1"/>
          <w:numId w:val="40"/>
        </w:numPr>
        <w:spacing w:before="0" w:after="0" w:line="300" w:lineRule="auto"/>
        <w:ind w:left="720" w:hanging="720"/>
        <w:rPr>
          <w:color w:val="auto"/>
        </w:rPr>
      </w:pPr>
      <w:r w:rsidRPr="004C4E5C">
        <w:t>In terms of tenure mobility</w:t>
      </w:r>
      <w:r w:rsidR="00275C89">
        <w:t>,</w:t>
      </w:r>
      <w:r w:rsidRPr="004C4E5C">
        <w:t xml:space="preserve"> we see that the most common types of moves were within tenures with around 6,300 household moves being made within the owner-occupied sector and 3,000 within the private rented sector over the past five years. There was also a fair degree of movement within the social rented sector. Overall, movement within sectors was more common than movement between them. </w:t>
      </w:r>
    </w:p>
    <w:p w14:paraId="3E51432A" w14:textId="77777777" w:rsidR="004C4E5C" w:rsidRPr="004C4E5C" w:rsidRDefault="004C4E5C" w:rsidP="00172F56">
      <w:pPr>
        <w:pStyle w:val="11Bodytext"/>
        <w:numPr>
          <w:ilvl w:val="0"/>
          <w:numId w:val="0"/>
        </w:numPr>
        <w:spacing w:before="0" w:after="0" w:line="300" w:lineRule="auto"/>
        <w:rPr>
          <w:color w:val="auto"/>
        </w:rPr>
      </w:pPr>
    </w:p>
    <w:p w14:paraId="0DC79241" w14:textId="4CAC6BC7" w:rsidR="00457BEA" w:rsidRPr="004C4E5C" w:rsidRDefault="00457BEA">
      <w:pPr>
        <w:pStyle w:val="11Bodytext"/>
        <w:numPr>
          <w:ilvl w:val="1"/>
          <w:numId w:val="40"/>
        </w:numPr>
        <w:spacing w:before="0" w:after="0" w:line="300" w:lineRule="auto"/>
        <w:ind w:left="720" w:hanging="720"/>
        <w:rPr>
          <w:color w:val="auto"/>
        </w:rPr>
      </w:pPr>
      <w:r w:rsidRPr="004C4E5C">
        <w:t xml:space="preserve">Newly forming households accounted for an appreciable proportion of moves (13% in total). New households mainly moved to the owner-occupied (with mortgage) sector, with the sector accommodating </w:t>
      </w:r>
      <w:r w:rsidR="004C4E5C" w:rsidRPr="004C4E5C">
        <w:t>44</w:t>
      </w:r>
      <w:r w:rsidRPr="004C4E5C">
        <w:t xml:space="preserve">% of newly-forming households over the past </w:t>
      </w:r>
      <w:r w:rsidR="004C4E5C" w:rsidRPr="004C4E5C">
        <w:t>five</w:t>
      </w:r>
      <w:r w:rsidRPr="004C4E5C">
        <w:t xml:space="preserve"> years</w:t>
      </w:r>
      <w:r w:rsidR="004C4E5C" w:rsidRPr="004C4E5C">
        <w:t xml:space="preserve"> – some 30% of newly forming </w:t>
      </w:r>
      <w:r w:rsidR="00432414" w:rsidRPr="004C4E5C">
        <w:t>households</w:t>
      </w:r>
      <w:r w:rsidR="004C4E5C" w:rsidRPr="004C4E5C">
        <w:t xml:space="preserve"> moved into the private rented sector.</w:t>
      </w:r>
    </w:p>
    <w:p w14:paraId="5136E529" w14:textId="77777777" w:rsidR="004C4E5C" w:rsidRPr="004C4E5C" w:rsidRDefault="004C4E5C" w:rsidP="00172F56">
      <w:pPr>
        <w:pStyle w:val="11Bodytext"/>
        <w:numPr>
          <w:ilvl w:val="0"/>
          <w:numId w:val="0"/>
        </w:numPr>
        <w:spacing w:before="0" w:after="0" w:line="300" w:lineRule="auto"/>
        <w:rPr>
          <w:color w:val="auto"/>
        </w:rPr>
      </w:pPr>
    </w:p>
    <w:p w14:paraId="3C427372" w14:textId="376EAA09" w:rsidR="00457BEA" w:rsidRPr="004C4E5C" w:rsidRDefault="00457BEA">
      <w:pPr>
        <w:pStyle w:val="11Bodytext"/>
        <w:numPr>
          <w:ilvl w:val="1"/>
          <w:numId w:val="40"/>
        </w:numPr>
        <w:spacing w:before="0" w:after="0" w:line="300" w:lineRule="auto"/>
        <w:ind w:left="720" w:hanging="720"/>
        <w:rPr>
          <w:color w:val="auto"/>
        </w:rPr>
      </w:pPr>
      <w:r w:rsidRPr="004C4E5C">
        <w:t xml:space="preserve">Around </w:t>
      </w:r>
      <w:r w:rsidR="004C4E5C" w:rsidRPr="004C4E5C">
        <w:t>44</w:t>
      </w:r>
      <w:r w:rsidRPr="004C4E5C">
        <w:t xml:space="preserve">% of all moves involved the private rented sector – households moving into it, out of it or within it – showing how important the sector is in providing mobility in the housing market. The private rented sector shows the highest turnover of any tenure. Overall it is estimated that around </w:t>
      </w:r>
      <w:r w:rsidR="004C4E5C" w:rsidRPr="004C4E5C">
        <w:t>20</w:t>
      </w:r>
      <w:r w:rsidRPr="004C4E5C">
        <w:t xml:space="preserve">% of all households in the </w:t>
      </w:r>
      <w:r w:rsidR="004C4E5C" w:rsidRPr="004C4E5C">
        <w:t>Borough</w:t>
      </w:r>
      <w:r w:rsidRPr="004C4E5C">
        <w:t xml:space="preserve"> currently live in the private rented sector.</w:t>
      </w:r>
    </w:p>
    <w:p w14:paraId="5C53C038" w14:textId="77777777" w:rsidR="00457BEA" w:rsidRPr="004C4E5C" w:rsidRDefault="00457BEA" w:rsidP="00172F56">
      <w:pPr>
        <w:widowControl w:val="0"/>
        <w:spacing w:line="300" w:lineRule="auto"/>
        <w:jc w:val="both"/>
        <w:rPr>
          <w:rFonts w:ascii="Arial" w:hAnsi="Arial" w:cs="Arial"/>
          <w:sz w:val="20"/>
          <w:szCs w:val="20"/>
          <w:highlight w:val="yellow"/>
        </w:rPr>
      </w:pPr>
    </w:p>
    <w:tbl>
      <w:tblPr>
        <w:tblStyle w:val="TableTheme"/>
        <w:tblW w:w="8199" w:type="dxa"/>
        <w:jc w:val="center"/>
        <w:tblLayout w:type="fixed"/>
        <w:tblLook w:val="0000" w:firstRow="0" w:lastRow="0" w:firstColumn="0" w:lastColumn="0" w:noHBand="0" w:noVBand="0"/>
      </w:tblPr>
      <w:tblGrid>
        <w:gridCol w:w="3241"/>
        <w:gridCol w:w="990"/>
        <w:gridCol w:w="990"/>
        <w:gridCol w:w="990"/>
        <w:gridCol w:w="990"/>
        <w:gridCol w:w="998"/>
      </w:tblGrid>
      <w:tr w:rsidR="00457BEA" w:rsidRPr="004C4E5C" w14:paraId="0B41FC76" w14:textId="77777777" w:rsidTr="00457BEA">
        <w:trPr>
          <w:jc w:val="center"/>
        </w:trPr>
        <w:tc>
          <w:tcPr>
            <w:tcW w:w="8199" w:type="dxa"/>
            <w:gridSpan w:val="6"/>
          </w:tcPr>
          <w:p w14:paraId="5EA8C2B2" w14:textId="04FBDA82" w:rsidR="00457BEA" w:rsidRPr="004C4E5C" w:rsidRDefault="00457BEA" w:rsidP="0014104A">
            <w:pPr>
              <w:pStyle w:val="Caption1"/>
              <w:widowControl w:val="0"/>
              <w:spacing w:before="0" w:after="0" w:line="300" w:lineRule="auto"/>
              <w:rPr>
                <w:rFonts w:ascii="Arial" w:hAnsi="Arial"/>
                <w:sz w:val="20"/>
                <w:szCs w:val="20"/>
              </w:rPr>
            </w:pPr>
            <w:r w:rsidRPr="004C4E5C">
              <w:rPr>
                <w:rFonts w:ascii="Arial" w:hAnsi="Arial"/>
                <w:b w:val="0"/>
                <w:bCs w:val="0"/>
                <w:sz w:val="20"/>
                <w:szCs w:val="20"/>
              </w:rPr>
              <w:br w:type="page"/>
            </w:r>
            <w:r w:rsidRPr="004C4E5C">
              <w:rPr>
                <w:rFonts w:ascii="Arial" w:hAnsi="Arial"/>
                <w:sz w:val="20"/>
                <w:szCs w:val="20"/>
              </w:rPr>
              <w:t xml:space="preserve">Figure </w:t>
            </w:r>
            <w:r w:rsidR="00AD29A6">
              <w:rPr>
                <w:rFonts w:ascii="Arial" w:hAnsi="Arial"/>
                <w:sz w:val="20"/>
                <w:szCs w:val="20"/>
              </w:rPr>
              <w:t>5.2:</w:t>
            </w:r>
            <w:r w:rsidRPr="004C4E5C">
              <w:rPr>
                <w:rFonts w:ascii="Arial" w:hAnsi="Arial"/>
                <w:sz w:val="20"/>
                <w:szCs w:val="20"/>
              </w:rPr>
              <w:t xml:space="preserve"> Previous tenure by current tenure (households moving in past five years)</w:t>
            </w:r>
          </w:p>
        </w:tc>
      </w:tr>
      <w:tr w:rsidR="00457BEA" w:rsidRPr="003D2556" w14:paraId="622010F5" w14:textId="77777777" w:rsidTr="00457BEA">
        <w:trPr>
          <w:jc w:val="center"/>
        </w:trPr>
        <w:tc>
          <w:tcPr>
            <w:tcW w:w="3241" w:type="dxa"/>
            <w:vMerge w:val="restart"/>
          </w:tcPr>
          <w:p w14:paraId="7D7EED84" w14:textId="1F1A5351" w:rsidR="00457BEA" w:rsidRPr="00457BEA" w:rsidRDefault="00457BEA" w:rsidP="0014104A">
            <w:pPr>
              <w:keepNext/>
              <w:widowControl w:val="0"/>
              <w:spacing w:line="300" w:lineRule="auto"/>
              <w:rPr>
                <w:rFonts w:ascii="Arial" w:hAnsi="Arial" w:cs="Arial"/>
                <w:sz w:val="20"/>
                <w:szCs w:val="20"/>
              </w:rPr>
            </w:pPr>
            <w:r w:rsidRPr="6B378DE1">
              <w:rPr>
                <w:rFonts w:ascii="Arial" w:hAnsi="Arial" w:cs="Arial"/>
                <w:sz w:val="20"/>
                <w:szCs w:val="20"/>
              </w:rPr>
              <w:t>Current t</w:t>
            </w:r>
            <w:r w:rsidRPr="00457BEA">
              <w:rPr>
                <w:rFonts w:ascii="Arial" w:hAnsi="Arial" w:cs="Arial"/>
                <w:sz w:val="20"/>
                <w:szCs w:val="20"/>
              </w:rPr>
              <w:t>enure</w:t>
            </w:r>
          </w:p>
        </w:tc>
        <w:tc>
          <w:tcPr>
            <w:tcW w:w="3960" w:type="dxa"/>
            <w:gridSpan w:val="4"/>
          </w:tcPr>
          <w:p w14:paraId="096AD911" w14:textId="77777777" w:rsidR="00457BEA" w:rsidRPr="00457BEA" w:rsidRDefault="00457BEA" w:rsidP="0014104A">
            <w:pPr>
              <w:keepNext/>
              <w:widowControl w:val="0"/>
              <w:spacing w:line="300" w:lineRule="auto"/>
              <w:jc w:val="center"/>
              <w:rPr>
                <w:rFonts w:ascii="Arial" w:hAnsi="Arial" w:cs="Arial"/>
                <w:sz w:val="20"/>
                <w:szCs w:val="20"/>
              </w:rPr>
            </w:pPr>
            <w:r w:rsidRPr="00457BEA">
              <w:rPr>
                <w:rFonts w:ascii="Arial" w:hAnsi="Arial" w:cs="Arial"/>
                <w:sz w:val="20"/>
                <w:szCs w:val="20"/>
              </w:rPr>
              <w:t>Previous tenure</w:t>
            </w:r>
          </w:p>
        </w:tc>
        <w:tc>
          <w:tcPr>
            <w:tcW w:w="998" w:type="dxa"/>
            <w:vMerge w:val="restart"/>
          </w:tcPr>
          <w:p w14:paraId="63161B3E" w14:textId="77777777" w:rsidR="00457BEA" w:rsidRPr="00457BEA" w:rsidRDefault="00457BEA" w:rsidP="0014104A">
            <w:pPr>
              <w:keepNext/>
              <w:widowControl w:val="0"/>
              <w:spacing w:line="300" w:lineRule="auto"/>
              <w:jc w:val="center"/>
              <w:rPr>
                <w:rFonts w:ascii="Arial" w:hAnsi="Arial" w:cs="Arial"/>
                <w:sz w:val="20"/>
                <w:szCs w:val="20"/>
              </w:rPr>
            </w:pPr>
            <w:r w:rsidRPr="00457BEA">
              <w:rPr>
                <w:rFonts w:ascii="Arial" w:hAnsi="Arial" w:cs="Arial"/>
                <w:sz w:val="20"/>
                <w:szCs w:val="20"/>
              </w:rPr>
              <w:t>Total</w:t>
            </w:r>
          </w:p>
        </w:tc>
      </w:tr>
      <w:tr w:rsidR="00457BEA" w:rsidRPr="003D2556" w14:paraId="36E593C6" w14:textId="77777777" w:rsidTr="00457BEA">
        <w:trPr>
          <w:jc w:val="center"/>
        </w:trPr>
        <w:tc>
          <w:tcPr>
            <w:tcW w:w="3241" w:type="dxa"/>
            <w:vMerge/>
          </w:tcPr>
          <w:p w14:paraId="03377561" w14:textId="77777777" w:rsidR="00457BEA" w:rsidRPr="00457BEA" w:rsidRDefault="00457BEA" w:rsidP="0014104A">
            <w:pPr>
              <w:keepNext/>
              <w:widowControl w:val="0"/>
              <w:spacing w:line="300" w:lineRule="auto"/>
              <w:rPr>
                <w:rFonts w:ascii="Arial" w:hAnsi="Arial" w:cs="Arial"/>
                <w:sz w:val="20"/>
                <w:szCs w:val="20"/>
              </w:rPr>
            </w:pPr>
          </w:p>
        </w:tc>
        <w:tc>
          <w:tcPr>
            <w:tcW w:w="990" w:type="dxa"/>
          </w:tcPr>
          <w:p w14:paraId="019EACB6" w14:textId="77777777" w:rsidR="00457BEA" w:rsidRPr="00457BEA" w:rsidRDefault="00457BEA" w:rsidP="0014104A">
            <w:pPr>
              <w:keepNext/>
              <w:widowControl w:val="0"/>
              <w:spacing w:line="300" w:lineRule="auto"/>
              <w:jc w:val="center"/>
              <w:rPr>
                <w:rFonts w:ascii="Arial" w:hAnsi="Arial" w:cs="Arial"/>
                <w:sz w:val="20"/>
                <w:szCs w:val="20"/>
              </w:rPr>
            </w:pPr>
            <w:r w:rsidRPr="00457BEA">
              <w:rPr>
                <w:rFonts w:ascii="Arial" w:hAnsi="Arial" w:cs="Arial"/>
                <w:sz w:val="20"/>
                <w:szCs w:val="20"/>
              </w:rPr>
              <w:t>Owner-</w:t>
            </w:r>
            <w:r w:rsidRPr="00457BEA">
              <w:rPr>
                <w:rFonts w:ascii="Arial" w:hAnsi="Arial" w:cs="Arial"/>
                <w:spacing w:val="-4"/>
                <w:sz w:val="20"/>
                <w:szCs w:val="20"/>
              </w:rPr>
              <w:t>occupied</w:t>
            </w:r>
          </w:p>
        </w:tc>
        <w:tc>
          <w:tcPr>
            <w:tcW w:w="990" w:type="dxa"/>
          </w:tcPr>
          <w:p w14:paraId="3F546483" w14:textId="77777777" w:rsidR="00457BEA" w:rsidRPr="00457BEA" w:rsidRDefault="00457BEA" w:rsidP="0014104A">
            <w:pPr>
              <w:keepNext/>
              <w:widowControl w:val="0"/>
              <w:spacing w:line="300" w:lineRule="auto"/>
              <w:jc w:val="center"/>
              <w:rPr>
                <w:rFonts w:ascii="Arial" w:hAnsi="Arial" w:cs="Arial"/>
                <w:sz w:val="20"/>
                <w:szCs w:val="20"/>
              </w:rPr>
            </w:pPr>
            <w:r w:rsidRPr="00457BEA">
              <w:rPr>
                <w:rFonts w:ascii="Arial" w:hAnsi="Arial" w:cs="Arial"/>
                <w:sz w:val="20"/>
                <w:szCs w:val="20"/>
              </w:rPr>
              <w:t>Social rented</w:t>
            </w:r>
          </w:p>
        </w:tc>
        <w:tc>
          <w:tcPr>
            <w:tcW w:w="990" w:type="dxa"/>
          </w:tcPr>
          <w:p w14:paraId="23A0CE60" w14:textId="77777777" w:rsidR="00457BEA" w:rsidRPr="00457BEA" w:rsidRDefault="00457BEA" w:rsidP="0014104A">
            <w:pPr>
              <w:keepNext/>
              <w:widowControl w:val="0"/>
              <w:spacing w:line="300" w:lineRule="auto"/>
              <w:jc w:val="center"/>
              <w:rPr>
                <w:rFonts w:ascii="Arial" w:hAnsi="Arial" w:cs="Arial"/>
                <w:sz w:val="20"/>
                <w:szCs w:val="20"/>
              </w:rPr>
            </w:pPr>
            <w:r w:rsidRPr="00457BEA">
              <w:rPr>
                <w:rFonts w:ascii="Arial" w:hAnsi="Arial" w:cs="Arial"/>
                <w:sz w:val="20"/>
                <w:szCs w:val="20"/>
              </w:rPr>
              <w:t>Private rented</w:t>
            </w:r>
          </w:p>
        </w:tc>
        <w:tc>
          <w:tcPr>
            <w:tcW w:w="990" w:type="dxa"/>
          </w:tcPr>
          <w:p w14:paraId="6B1A08F9" w14:textId="7C1D3A38" w:rsidR="00457BEA" w:rsidRPr="00457BEA" w:rsidRDefault="00457BEA" w:rsidP="0014104A">
            <w:pPr>
              <w:keepNext/>
              <w:widowControl w:val="0"/>
              <w:spacing w:line="300" w:lineRule="auto"/>
              <w:jc w:val="center"/>
              <w:rPr>
                <w:rFonts w:ascii="Arial" w:hAnsi="Arial" w:cs="Arial"/>
                <w:sz w:val="20"/>
                <w:szCs w:val="20"/>
              </w:rPr>
            </w:pPr>
            <w:r w:rsidRPr="00457BEA">
              <w:rPr>
                <w:rFonts w:ascii="Arial" w:hAnsi="Arial" w:cs="Arial"/>
                <w:sz w:val="20"/>
                <w:szCs w:val="20"/>
              </w:rPr>
              <w:t xml:space="preserve">Newly formed </w:t>
            </w:r>
            <w:r w:rsidRPr="00457BEA">
              <w:rPr>
                <w:rFonts w:ascii="Arial" w:hAnsi="Arial" w:cs="Arial"/>
                <w:spacing w:val="-18"/>
                <w:sz w:val="20"/>
                <w:szCs w:val="20"/>
              </w:rPr>
              <w:t>household</w:t>
            </w:r>
          </w:p>
        </w:tc>
        <w:tc>
          <w:tcPr>
            <w:tcW w:w="998" w:type="dxa"/>
            <w:vMerge/>
          </w:tcPr>
          <w:p w14:paraId="60D718F7" w14:textId="77777777" w:rsidR="00457BEA" w:rsidRPr="00457BEA" w:rsidRDefault="00457BEA" w:rsidP="0014104A">
            <w:pPr>
              <w:keepNext/>
              <w:widowControl w:val="0"/>
              <w:spacing w:line="300" w:lineRule="auto"/>
              <w:jc w:val="center"/>
              <w:rPr>
                <w:rFonts w:ascii="Arial" w:hAnsi="Arial" w:cs="Arial"/>
                <w:sz w:val="20"/>
                <w:szCs w:val="20"/>
              </w:rPr>
            </w:pPr>
          </w:p>
        </w:tc>
      </w:tr>
      <w:tr w:rsidR="00457BEA" w:rsidRPr="003D2556" w14:paraId="55754A3A" w14:textId="77777777" w:rsidTr="00457BEA">
        <w:trPr>
          <w:jc w:val="center"/>
        </w:trPr>
        <w:tc>
          <w:tcPr>
            <w:tcW w:w="3241" w:type="dxa"/>
          </w:tcPr>
          <w:p w14:paraId="2062D6D1" w14:textId="77777777" w:rsidR="00457BEA" w:rsidRPr="00457BEA" w:rsidRDefault="00457BEA" w:rsidP="0014104A">
            <w:pPr>
              <w:keepNext/>
              <w:widowControl w:val="0"/>
              <w:spacing w:line="300" w:lineRule="auto"/>
              <w:rPr>
                <w:rFonts w:ascii="Arial" w:hAnsi="Arial" w:cs="Arial"/>
                <w:sz w:val="20"/>
                <w:szCs w:val="20"/>
              </w:rPr>
            </w:pPr>
            <w:r w:rsidRPr="00457BEA">
              <w:rPr>
                <w:rFonts w:ascii="Arial" w:hAnsi="Arial" w:cs="Arial"/>
                <w:sz w:val="20"/>
                <w:szCs w:val="20"/>
              </w:rPr>
              <w:t>Owner-occupied (no mortgage)</w:t>
            </w:r>
          </w:p>
        </w:tc>
        <w:tc>
          <w:tcPr>
            <w:tcW w:w="990" w:type="dxa"/>
          </w:tcPr>
          <w:p w14:paraId="0AD7D922" w14:textId="77777777" w:rsidR="00457BEA" w:rsidRPr="00457BEA" w:rsidRDefault="00457BEA" w:rsidP="0014104A">
            <w:pPr>
              <w:keepNext/>
              <w:spacing w:line="300" w:lineRule="auto"/>
              <w:jc w:val="center"/>
              <w:rPr>
                <w:rFonts w:ascii="Arial" w:hAnsi="Arial" w:cs="Arial"/>
                <w:b/>
                <w:bCs/>
                <w:color w:val="000000"/>
                <w:sz w:val="20"/>
                <w:szCs w:val="20"/>
              </w:rPr>
            </w:pPr>
            <w:r w:rsidRPr="00457BEA">
              <w:rPr>
                <w:rFonts w:ascii="Arial" w:hAnsi="Arial" w:cs="Arial"/>
                <w:b/>
                <w:bCs/>
                <w:color w:val="000000"/>
                <w:sz w:val="20"/>
                <w:szCs w:val="20"/>
              </w:rPr>
              <w:t>3,996</w:t>
            </w:r>
          </w:p>
        </w:tc>
        <w:tc>
          <w:tcPr>
            <w:tcW w:w="990" w:type="dxa"/>
          </w:tcPr>
          <w:p w14:paraId="15B1B297"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37</w:t>
            </w:r>
          </w:p>
        </w:tc>
        <w:tc>
          <w:tcPr>
            <w:tcW w:w="990" w:type="dxa"/>
          </w:tcPr>
          <w:p w14:paraId="5D1CF809"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370</w:t>
            </w:r>
          </w:p>
        </w:tc>
        <w:tc>
          <w:tcPr>
            <w:tcW w:w="990" w:type="dxa"/>
          </w:tcPr>
          <w:p w14:paraId="3B645F6A"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119</w:t>
            </w:r>
          </w:p>
        </w:tc>
        <w:tc>
          <w:tcPr>
            <w:tcW w:w="998" w:type="dxa"/>
          </w:tcPr>
          <w:p w14:paraId="14AD3FCD"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4,522</w:t>
            </w:r>
          </w:p>
        </w:tc>
      </w:tr>
      <w:tr w:rsidR="00457BEA" w:rsidRPr="003D2556" w14:paraId="7B91162E" w14:textId="77777777" w:rsidTr="00457BEA">
        <w:trPr>
          <w:jc w:val="center"/>
        </w:trPr>
        <w:tc>
          <w:tcPr>
            <w:tcW w:w="3241" w:type="dxa"/>
          </w:tcPr>
          <w:p w14:paraId="0FAD7A1A" w14:textId="77777777" w:rsidR="00457BEA" w:rsidRPr="00457BEA" w:rsidRDefault="00457BEA" w:rsidP="0014104A">
            <w:pPr>
              <w:keepNext/>
              <w:widowControl w:val="0"/>
              <w:spacing w:line="300" w:lineRule="auto"/>
              <w:rPr>
                <w:rFonts w:ascii="Arial" w:hAnsi="Arial" w:cs="Arial"/>
                <w:sz w:val="20"/>
                <w:szCs w:val="20"/>
              </w:rPr>
            </w:pPr>
            <w:r w:rsidRPr="00457BEA">
              <w:rPr>
                <w:rFonts w:ascii="Arial" w:hAnsi="Arial" w:cs="Arial"/>
                <w:sz w:val="20"/>
                <w:szCs w:val="20"/>
              </w:rPr>
              <w:t>Owner-occupied (with mortgage)</w:t>
            </w:r>
          </w:p>
        </w:tc>
        <w:tc>
          <w:tcPr>
            <w:tcW w:w="990" w:type="dxa"/>
          </w:tcPr>
          <w:p w14:paraId="0D31E18F" w14:textId="77777777" w:rsidR="00457BEA" w:rsidRPr="00457BEA" w:rsidRDefault="00457BEA" w:rsidP="0014104A">
            <w:pPr>
              <w:keepNext/>
              <w:spacing w:line="300" w:lineRule="auto"/>
              <w:jc w:val="center"/>
              <w:rPr>
                <w:rFonts w:ascii="Arial" w:hAnsi="Arial" w:cs="Arial"/>
                <w:b/>
                <w:bCs/>
                <w:color w:val="000000"/>
                <w:sz w:val="20"/>
                <w:szCs w:val="20"/>
              </w:rPr>
            </w:pPr>
            <w:r w:rsidRPr="00457BEA">
              <w:rPr>
                <w:rFonts w:ascii="Arial" w:hAnsi="Arial" w:cs="Arial"/>
                <w:b/>
                <w:bCs/>
                <w:color w:val="000000"/>
                <w:sz w:val="20"/>
                <w:szCs w:val="20"/>
              </w:rPr>
              <w:t>2,296</w:t>
            </w:r>
          </w:p>
        </w:tc>
        <w:tc>
          <w:tcPr>
            <w:tcW w:w="990" w:type="dxa"/>
          </w:tcPr>
          <w:p w14:paraId="4DA6E192"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7</w:t>
            </w:r>
          </w:p>
        </w:tc>
        <w:tc>
          <w:tcPr>
            <w:tcW w:w="990" w:type="dxa"/>
          </w:tcPr>
          <w:p w14:paraId="162887D7"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1,044</w:t>
            </w:r>
          </w:p>
        </w:tc>
        <w:tc>
          <w:tcPr>
            <w:tcW w:w="990" w:type="dxa"/>
          </w:tcPr>
          <w:p w14:paraId="2BF008DE"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838</w:t>
            </w:r>
          </w:p>
        </w:tc>
        <w:tc>
          <w:tcPr>
            <w:tcW w:w="998" w:type="dxa"/>
          </w:tcPr>
          <w:p w14:paraId="3290E43F"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4,185</w:t>
            </w:r>
          </w:p>
        </w:tc>
      </w:tr>
      <w:tr w:rsidR="00457BEA" w:rsidRPr="003D2556" w14:paraId="05F0B7D7" w14:textId="77777777" w:rsidTr="00457BEA">
        <w:trPr>
          <w:jc w:val="center"/>
        </w:trPr>
        <w:tc>
          <w:tcPr>
            <w:tcW w:w="3241" w:type="dxa"/>
          </w:tcPr>
          <w:p w14:paraId="080CE5FD" w14:textId="77777777" w:rsidR="00457BEA" w:rsidRPr="00457BEA" w:rsidRDefault="00457BEA" w:rsidP="0014104A">
            <w:pPr>
              <w:keepNext/>
              <w:widowControl w:val="0"/>
              <w:spacing w:line="300" w:lineRule="auto"/>
              <w:rPr>
                <w:rFonts w:ascii="Arial" w:hAnsi="Arial" w:cs="Arial"/>
                <w:sz w:val="20"/>
                <w:szCs w:val="20"/>
              </w:rPr>
            </w:pPr>
            <w:r w:rsidRPr="00457BEA">
              <w:rPr>
                <w:rFonts w:ascii="Arial" w:hAnsi="Arial" w:cs="Arial"/>
                <w:sz w:val="20"/>
                <w:szCs w:val="20"/>
              </w:rPr>
              <w:t>Social rented</w:t>
            </w:r>
          </w:p>
        </w:tc>
        <w:tc>
          <w:tcPr>
            <w:tcW w:w="990" w:type="dxa"/>
          </w:tcPr>
          <w:p w14:paraId="71DFD760"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202</w:t>
            </w:r>
          </w:p>
        </w:tc>
        <w:tc>
          <w:tcPr>
            <w:tcW w:w="990" w:type="dxa"/>
          </w:tcPr>
          <w:p w14:paraId="33566E1E" w14:textId="77777777" w:rsidR="00457BEA" w:rsidRPr="00457BEA" w:rsidRDefault="00457BEA" w:rsidP="0014104A">
            <w:pPr>
              <w:keepNext/>
              <w:spacing w:line="300" w:lineRule="auto"/>
              <w:jc w:val="center"/>
              <w:rPr>
                <w:rFonts w:ascii="Arial" w:hAnsi="Arial" w:cs="Arial"/>
                <w:b/>
                <w:bCs/>
                <w:color w:val="000000"/>
                <w:sz w:val="20"/>
                <w:szCs w:val="20"/>
              </w:rPr>
            </w:pPr>
            <w:r w:rsidRPr="00457BEA">
              <w:rPr>
                <w:rFonts w:ascii="Arial" w:hAnsi="Arial" w:cs="Arial"/>
                <w:b/>
                <w:bCs/>
                <w:color w:val="000000"/>
                <w:sz w:val="20"/>
                <w:szCs w:val="20"/>
              </w:rPr>
              <w:t>407</w:t>
            </w:r>
          </w:p>
        </w:tc>
        <w:tc>
          <w:tcPr>
            <w:tcW w:w="990" w:type="dxa"/>
          </w:tcPr>
          <w:p w14:paraId="15CB52A3"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686</w:t>
            </w:r>
          </w:p>
        </w:tc>
        <w:tc>
          <w:tcPr>
            <w:tcW w:w="990" w:type="dxa"/>
          </w:tcPr>
          <w:p w14:paraId="342DF39C"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376</w:t>
            </w:r>
          </w:p>
        </w:tc>
        <w:tc>
          <w:tcPr>
            <w:tcW w:w="998" w:type="dxa"/>
          </w:tcPr>
          <w:p w14:paraId="61E76A95"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1,671</w:t>
            </w:r>
          </w:p>
        </w:tc>
      </w:tr>
      <w:tr w:rsidR="00457BEA" w:rsidRPr="003D2556" w14:paraId="29638CA1" w14:textId="77777777" w:rsidTr="00457BEA">
        <w:trPr>
          <w:jc w:val="center"/>
        </w:trPr>
        <w:tc>
          <w:tcPr>
            <w:tcW w:w="3241" w:type="dxa"/>
          </w:tcPr>
          <w:p w14:paraId="7EC9612F" w14:textId="77777777" w:rsidR="00457BEA" w:rsidRPr="00457BEA" w:rsidRDefault="00457BEA" w:rsidP="0014104A">
            <w:pPr>
              <w:keepNext/>
              <w:widowControl w:val="0"/>
              <w:spacing w:line="300" w:lineRule="auto"/>
              <w:rPr>
                <w:rFonts w:ascii="Arial" w:hAnsi="Arial" w:cs="Arial"/>
                <w:snapToGrid w:val="0"/>
                <w:sz w:val="20"/>
                <w:szCs w:val="20"/>
              </w:rPr>
            </w:pPr>
            <w:r w:rsidRPr="00457BEA">
              <w:rPr>
                <w:rFonts w:ascii="Arial" w:hAnsi="Arial" w:cs="Arial"/>
                <w:snapToGrid w:val="0"/>
                <w:sz w:val="20"/>
                <w:szCs w:val="20"/>
              </w:rPr>
              <w:t>Private rented</w:t>
            </w:r>
          </w:p>
        </w:tc>
        <w:tc>
          <w:tcPr>
            <w:tcW w:w="990" w:type="dxa"/>
          </w:tcPr>
          <w:p w14:paraId="0EA23D1E"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812</w:t>
            </w:r>
          </w:p>
        </w:tc>
        <w:tc>
          <w:tcPr>
            <w:tcW w:w="990" w:type="dxa"/>
          </w:tcPr>
          <w:p w14:paraId="010F50E3"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173</w:t>
            </w:r>
          </w:p>
        </w:tc>
        <w:tc>
          <w:tcPr>
            <w:tcW w:w="990" w:type="dxa"/>
          </w:tcPr>
          <w:p w14:paraId="439ED5A7" w14:textId="77777777" w:rsidR="00457BEA" w:rsidRPr="00457BEA" w:rsidRDefault="00457BEA" w:rsidP="0014104A">
            <w:pPr>
              <w:keepNext/>
              <w:spacing w:line="300" w:lineRule="auto"/>
              <w:jc w:val="center"/>
              <w:rPr>
                <w:rFonts w:ascii="Arial" w:hAnsi="Arial" w:cs="Arial"/>
                <w:b/>
                <w:bCs/>
                <w:color w:val="000000"/>
                <w:sz w:val="20"/>
                <w:szCs w:val="20"/>
              </w:rPr>
            </w:pPr>
            <w:r w:rsidRPr="00457BEA">
              <w:rPr>
                <w:rFonts w:ascii="Arial" w:hAnsi="Arial" w:cs="Arial"/>
                <w:b/>
                <w:bCs/>
                <w:color w:val="000000"/>
                <w:sz w:val="20"/>
                <w:szCs w:val="20"/>
              </w:rPr>
              <w:t>2,968</w:t>
            </w:r>
          </w:p>
        </w:tc>
        <w:tc>
          <w:tcPr>
            <w:tcW w:w="990" w:type="dxa"/>
          </w:tcPr>
          <w:p w14:paraId="3F77428F"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580</w:t>
            </w:r>
          </w:p>
        </w:tc>
        <w:tc>
          <w:tcPr>
            <w:tcW w:w="998" w:type="dxa"/>
          </w:tcPr>
          <w:p w14:paraId="5D41338D"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4,534</w:t>
            </w:r>
          </w:p>
        </w:tc>
      </w:tr>
      <w:tr w:rsidR="00457BEA" w:rsidRPr="003D2556" w14:paraId="7120B59C" w14:textId="77777777" w:rsidTr="00457BEA">
        <w:trPr>
          <w:jc w:val="center"/>
        </w:trPr>
        <w:tc>
          <w:tcPr>
            <w:tcW w:w="3241" w:type="dxa"/>
          </w:tcPr>
          <w:p w14:paraId="6B16BF3F" w14:textId="77777777" w:rsidR="00457BEA" w:rsidRPr="00457BEA" w:rsidRDefault="00457BEA" w:rsidP="0014104A">
            <w:pPr>
              <w:keepNext/>
              <w:widowControl w:val="0"/>
              <w:spacing w:line="300" w:lineRule="auto"/>
              <w:rPr>
                <w:rFonts w:ascii="Arial" w:hAnsi="Arial" w:cs="Arial"/>
                <w:sz w:val="20"/>
                <w:szCs w:val="20"/>
              </w:rPr>
            </w:pPr>
            <w:r w:rsidRPr="00457BEA">
              <w:rPr>
                <w:rFonts w:ascii="Arial" w:hAnsi="Arial" w:cs="Arial"/>
                <w:sz w:val="20"/>
                <w:szCs w:val="20"/>
              </w:rPr>
              <w:t>Total</w:t>
            </w:r>
          </w:p>
        </w:tc>
        <w:tc>
          <w:tcPr>
            <w:tcW w:w="990" w:type="dxa"/>
          </w:tcPr>
          <w:p w14:paraId="62B3CE05"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7,306</w:t>
            </w:r>
          </w:p>
        </w:tc>
        <w:tc>
          <w:tcPr>
            <w:tcW w:w="990" w:type="dxa"/>
          </w:tcPr>
          <w:p w14:paraId="26F372A8"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625</w:t>
            </w:r>
          </w:p>
        </w:tc>
        <w:tc>
          <w:tcPr>
            <w:tcW w:w="990" w:type="dxa"/>
          </w:tcPr>
          <w:p w14:paraId="64824C87"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5,068</w:t>
            </w:r>
          </w:p>
        </w:tc>
        <w:tc>
          <w:tcPr>
            <w:tcW w:w="990" w:type="dxa"/>
          </w:tcPr>
          <w:p w14:paraId="75BECB67"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1,912</w:t>
            </w:r>
          </w:p>
        </w:tc>
        <w:tc>
          <w:tcPr>
            <w:tcW w:w="998" w:type="dxa"/>
          </w:tcPr>
          <w:p w14:paraId="338E31FE" w14:textId="77777777" w:rsidR="00457BEA" w:rsidRPr="00457BEA" w:rsidRDefault="00457BEA" w:rsidP="0014104A">
            <w:pPr>
              <w:keepNext/>
              <w:spacing w:line="300" w:lineRule="auto"/>
              <w:jc w:val="center"/>
              <w:rPr>
                <w:rFonts w:ascii="Arial" w:hAnsi="Arial" w:cs="Arial"/>
                <w:color w:val="000000"/>
                <w:sz w:val="20"/>
                <w:szCs w:val="20"/>
              </w:rPr>
            </w:pPr>
            <w:r w:rsidRPr="00457BEA">
              <w:rPr>
                <w:rFonts w:ascii="Arial" w:hAnsi="Arial" w:cs="Arial"/>
                <w:color w:val="000000"/>
                <w:sz w:val="20"/>
                <w:szCs w:val="20"/>
              </w:rPr>
              <w:t>14,911</w:t>
            </w:r>
          </w:p>
        </w:tc>
      </w:tr>
      <w:tr w:rsidR="00457BEA" w:rsidRPr="003D2556" w14:paraId="21342923" w14:textId="77777777" w:rsidTr="00457BEA">
        <w:trPr>
          <w:jc w:val="center"/>
        </w:trPr>
        <w:tc>
          <w:tcPr>
            <w:tcW w:w="3241" w:type="dxa"/>
          </w:tcPr>
          <w:p w14:paraId="0EE427CC" w14:textId="77777777" w:rsidR="00457BEA" w:rsidRPr="00457BEA" w:rsidRDefault="00457BEA" w:rsidP="0014104A">
            <w:pPr>
              <w:keepNext/>
              <w:widowControl w:val="0"/>
              <w:spacing w:line="300" w:lineRule="auto"/>
              <w:rPr>
                <w:rFonts w:ascii="Arial" w:hAnsi="Arial" w:cs="Arial"/>
                <w:sz w:val="20"/>
                <w:szCs w:val="20"/>
              </w:rPr>
            </w:pPr>
            <w:r w:rsidRPr="00457BEA">
              <w:rPr>
                <w:rFonts w:ascii="Arial" w:hAnsi="Arial" w:cs="Arial"/>
                <w:sz w:val="20"/>
                <w:szCs w:val="20"/>
              </w:rPr>
              <w:t>Owner-occupied (no mortgage)</w:t>
            </w:r>
          </w:p>
        </w:tc>
        <w:tc>
          <w:tcPr>
            <w:tcW w:w="990" w:type="dxa"/>
          </w:tcPr>
          <w:p w14:paraId="61D775FA" w14:textId="77777777" w:rsidR="00457BEA" w:rsidRPr="00457BEA" w:rsidRDefault="00457BEA" w:rsidP="0014104A">
            <w:pPr>
              <w:keepNext/>
              <w:spacing w:line="300" w:lineRule="auto"/>
              <w:jc w:val="center"/>
              <w:rPr>
                <w:rFonts w:ascii="Arial" w:hAnsi="Arial" w:cs="Arial"/>
                <w:b/>
                <w:bCs/>
                <w:sz w:val="20"/>
                <w:szCs w:val="20"/>
              </w:rPr>
            </w:pPr>
            <w:r w:rsidRPr="00457BEA">
              <w:rPr>
                <w:rFonts w:ascii="Arial" w:hAnsi="Arial" w:cs="Arial"/>
                <w:b/>
                <w:bCs/>
                <w:color w:val="000000"/>
                <w:sz w:val="20"/>
                <w:szCs w:val="20"/>
              </w:rPr>
              <w:t>88.4%</w:t>
            </w:r>
          </w:p>
        </w:tc>
        <w:tc>
          <w:tcPr>
            <w:tcW w:w="990" w:type="dxa"/>
          </w:tcPr>
          <w:p w14:paraId="21D5F2DB"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0.8%</w:t>
            </w:r>
          </w:p>
        </w:tc>
        <w:tc>
          <w:tcPr>
            <w:tcW w:w="990" w:type="dxa"/>
          </w:tcPr>
          <w:p w14:paraId="27D278C7"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8.2%</w:t>
            </w:r>
          </w:p>
        </w:tc>
        <w:tc>
          <w:tcPr>
            <w:tcW w:w="990" w:type="dxa"/>
          </w:tcPr>
          <w:p w14:paraId="50702D21"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2.6%</w:t>
            </w:r>
          </w:p>
        </w:tc>
        <w:tc>
          <w:tcPr>
            <w:tcW w:w="998" w:type="dxa"/>
          </w:tcPr>
          <w:p w14:paraId="7A8025B9"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100.0%</w:t>
            </w:r>
          </w:p>
        </w:tc>
      </w:tr>
      <w:tr w:rsidR="00457BEA" w:rsidRPr="003D2556" w14:paraId="2BED13A3" w14:textId="77777777" w:rsidTr="00457BEA">
        <w:trPr>
          <w:jc w:val="center"/>
        </w:trPr>
        <w:tc>
          <w:tcPr>
            <w:tcW w:w="3241" w:type="dxa"/>
          </w:tcPr>
          <w:p w14:paraId="691AF22A" w14:textId="77777777" w:rsidR="00457BEA" w:rsidRPr="00457BEA" w:rsidRDefault="00457BEA" w:rsidP="0014104A">
            <w:pPr>
              <w:keepNext/>
              <w:widowControl w:val="0"/>
              <w:spacing w:line="300" w:lineRule="auto"/>
              <w:rPr>
                <w:rFonts w:ascii="Arial" w:hAnsi="Arial" w:cs="Arial"/>
                <w:sz w:val="20"/>
                <w:szCs w:val="20"/>
              </w:rPr>
            </w:pPr>
            <w:r w:rsidRPr="00457BEA">
              <w:rPr>
                <w:rFonts w:ascii="Arial" w:hAnsi="Arial" w:cs="Arial"/>
                <w:sz w:val="20"/>
                <w:szCs w:val="20"/>
              </w:rPr>
              <w:t>Owner-occupied (with mortgage)</w:t>
            </w:r>
          </w:p>
        </w:tc>
        <w:tc>
          <w:tcPr>
            <w:tcW w:w="990" w:type="dxa"/>
          </w:tcPr>
          <w:p w14:paraId="49C915EA" w14:textId="77777777" w:rsidR="00457BEA" w:rsidRPr="00457BEA" w:rsidRDefault="00457BEA" w:rsidP="0014104A">
            <w:pPr>
              <w:keepNext/>
              <w:spacing w:line="300" w:lineRule="auto"/>
              <w:jc w:val="center"/>
              <w:rPr>
                <w:rFonts w:ascii="Arial" w:hAnsi="Arial" w:cs="Arial"/>
                <w:b/>
                <w:bCs/>
                <w:sz w:val="20"/>
                <w:szCs w:val="20"/>
              </w:rPr>
            </w:pPr>
            <w:r w:rsidRPr="00457BEA">
              <w:rPr>
                <w:rFonts w:ascii="Arial" w:hAnsi="Arial" w:cs="Arial"/>
                <w:b/>
                <w:bCs/>
                <w:color w:val="000000"/>
                <w:sz w:val="20"/>
                <w:szCs w:val="20"/>
              </w:rPr>
              <w:t>54.9%</w:t>
            </w:r>
          </w:p>
        </w:tc>
        <w:tc>
          <w:tcPr>
            <w:tcW w:w="990" w:type="dxa"/>
          </w:tcPr>
          <w:p w14:paraId="425A97FC"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0.2%</w:t>
            </w:r>
          </w:p>
        </w:tc>
        <w:tc>
          <w:tcPr>
            <w:tcW w:w="990" w:type="dxa"/>
          </w:tcPr>
          <w:p w14:paraId="2885808E"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24.9%</w:t>
            </w:r>
          </w:p>
        </w:tc>
        <w:tc>
          <w:tcPr>
            <w:tcW w:w="990" w:type="dxa"/>
          </w:tcPr>
          <w:p w14:paraId="24A1918B"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20.0%</w:t>
            </w:r>
          </w:p>
        </w:tc>
        <w:tc>
          <w:tcPr>
            <w:tcW w:w="998" w:type="dxa"/>
          </w:tcPr>
          <w:p w14:paraId="65593FAF"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100.0%</w:t>
            </w:r>
          </w:p>
        </w:tc>
      </w:tr>
      <w:tr w:rsidR="00457BEA" w:rsidRPr="003D2556" w14:paraId="1D4C8A1D" w14:textId="77777777" w:rsidTr="00457BEA">
        <w:trPr>
          <w:jc w:val="center"/>
        </w:trPr>
        <w:tc>
          <w:tcPr>
            <w:tcW w:w="3241" w:type="dxa"/>
          </w:tcPr>
          <w:p w14:paraId="41171FBE" w14:textId="77777777" w:rsidR="00457BEA" w:rsidRPr="00457BEA" w:rsidRDefault="00457BEA" w:rsidP="0014104A">
            <w:pPr>
              <w:keepNext/>
              <w:widowControl w:val="0"/>
              <w:spacing w:line="300" w:lineRule="auto"/>
              <w:rPr>
                <w:rFonts w:ascii="Arial" w:hAnsi="Arial" w:cs="Arial"/>
                <w:sz w:val="20"/>
                <w:szCs w:val="20"/>
              </w:rPr>
            </w:pPr>
            <w:r w:rsidRPr="00457BEA">
              <w:rPr>
                <w:rFonts w:ascii="Arial" w:hAnsi="Arial" w:cs="Arial"/>
                <w:sz w:val="20"/>
                <w:szCs w:val="20"/>
              </w:rPr>
              <w:t>Social rented</w:t>
            </w:r>
          </w:p>
        </w:tc>
        <w:tc>
          <w:tcPr>
            <w:tcW w:w="990" w:type="dxa"/>
          </w:tcPr>
          <w:p w14:paraId="2F299976"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12.1%</w:t>
            </w:r>
          </w:p>
        </w:tc>
        <w:tc>
          <w:tcPr>
            <w:tcW w:w="990" w:type="dxa"/>
          </w:tcPr>
          <w:p w14:paraId="69F10ABF" w14:textId="77777777" w:rsidR="00457BEA" w:rsidRPr="00457BEA" w:rsidRDefault="00457BEA" w:rsidP="0014104A">
            <w:pPr>
              <w:keepNext/>
              <w:spacing w:line="300" w:lineRule="auto"/>
              <w:jc w:val="center"/>
              <w:rPr>
                <w:rFonts w:ascii="Arial" w:hAnsi="Arial" w:cs="Arial"/>
                <w:b/>
                <w:bCs/>
                <w:sz w:val="20"/>
                <w:szCs w:val="20"/>
              </w:rPr>
            </w:pPr>
            <w:r w:rsidRPr="00457BEA">
              <w:rPr>
                <w:rFonts w:ascii="Arial" w:hAnsi="Arial" w:cs="Arial"/>
                <w:b/>
                <w:bCs/>
                <w:color w:val="000000"/>
                <w:sz w:val="20"/>
                <w:szCs w:val="20"/>
              </w:rPr>
              <w:t>24.4%</w:t>
            </w:r>
          </w:p>
        </w:tc>
        <w:tc>
          <w:tcPr>
            <w:tcW w:w="990" w:type="dxa"/>
          </w:tcPr>
          <w:p w14:paraId="5F363B25"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41.1%</w:t>
            </w:r>
          </w:p>
        </w:tc>
        <w:tc>
          <w:tcPr>
            <w:tcW w:w="990" w:type="dxa"/>
          </w:tcPr>
          <w:p w14:paraId="3E87DAA6"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22.5%</w:t>
            </w:r>
          </w:p>
        </w:tc>
        <w:tc>
          <w:tcPr>
            <w:tcW w:w="998" w:type="dxa"/>
          </w:tcPr>
          <w:p w14:paraId="7CDBF4D5"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100.0%</w:t>
            </w:r>
          </w:p>
        </w:tc>
      </w:tr>
      <w:tr w:rsidR="00457BEA" w:rsidRPr="003D2556" w14:paraId="094ADAA6" w14:textId="77777777" w:rsidTr="00457BEA">
        <w:trPr>
          <w:jc w:val="center"/>
        </w:trPr>
        <w:tc>
          <w:tcPr>
            <w:tcW w:w="3241" w:type="dxa"/>
          </w:tcPr>
          <w:p w14:paraId="1C5B4265" w14:textId="77777777" w:rsidR="00457BEA" w:rsidRPr="00457BEA" w:rsidRDefault="00457BEA" w:rsidP="0014104A">
            <w:pPr>
              <w:keepNext/>
              <w:widowControl w:val="0"/>
              <w:spacing w:line="300" w:lineRule="auto"/>
              <w:rPr>
                <w:rFonts w:ascii="Arial" w:hAnsi="Arial" w:cs="Arial"/>
                <w:snapToGrid w:val="0"/>
                <w:sz w:val="20"/>
                <w:szCs w:val="20"/>
              </w:rPr>
            </w:pPr>
            <w:r w:rsidRPr="00457BEA">
              <w:rPr>
                <w:rFonts w:ascii="Arial" w:hAnsi="Arial" w:cs="Arial"/>
                <w:snapToGrid w:val="0"/>
                <w:sz w:val="20"/>
                <w:szCs w:val="20"/>
              </w:rPr>
              <w:t>Private rented</w:t>
            </w:r>
          </w:p>
        </w:tc>
        <w:tc>
          <w:tcPr>
            <w:tcW w:w="990" w:type="dxa"/>
          </w:tcPr>
          <w:p w14:paraId="740ED795"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17.9%</w:t>
            </w:r>
          </w:p>
        </w:tc>
        <w:tc>
          <w:tcPr>
            <w:tcW w:w="990" w:type="dxa"/>
          </w:tcPr>
          <w:p w14:paraId="7871667D"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3.8%</w:t>
            </w:r>
          </w:p>
        </w:tc>
        <w:tc>
          <w:tcPr>
            <w:tcW w:w="990" w:type="dxa"/>
          </w:tcPr>
          <w:p w14:paraId="3175B0E3" w14:textId="77777777" w:rsidR="00457BEA" w:rsidRPr="00457BEA" w:rsidRDefault="00457BEA" w:rsidP="0014104A">
            <w:pPr>
              <w:keepNext/>
              <w:spacing w:line="300" w:lineRule="auto"/>
              <w:jc w:val="center"/>
              <w:rPr>
                <w:rFonts w:ascii="Arial" w:hAnsi="Arial" w:cs="Arial"/>
                <w:b/>
                <w:bCs/>
                <w:sz w:val="20"/>
                <w:szCs w:val="20"/>
              </w:rPr>
            </w:pPr>
            <w:r w:rsidRPr="00457BEA">
              <w:rPr>
                <w:rFonts w:ascii="Arial" w:hAnsi="Arial" w:cs="Arial"/>
                <w:b/>
                <w:bCs/>
                <w:color w:val="000000"/>
                <w:sz w:val="20"/>
                <w:szCs w:val="20"/>
              </w:rPr>
              <w:t>65.5%</w:t>
            </w:r>
          </w:p>
        </w:tc>
        <w:tc>
          <w:tcPr>
            <w:tcW w:w="990" w:type="dxa"/>
          </w:tcPr>
          <w:p w14:paraId="0B0FC877"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12.8%</w:t>
            </w:r>
          </w:p>
        </w:tc>
        <w:tc>
          <w:tcPr>
            <w:tcW w:w="998" w:type="dxa"/>
          </w:tcPr>
          <w:p w14:paraId="778A2218"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100.0%</w:t>
            </w:r>
          </w:p>
        </w:tc>
      </w:tr>
      <w:tr w:rsidR="00457BEA" w:rsidRPr="003D2556" w14:paraId="7B4DB3C7" w14:textId="77777777" w:rsidTr="00457BEA">
        <w:trPr>
          <w:jc w:val="center"/>
        </w:trPr>
        <w:tc>
          <w:tcPr>
            <w:tcW w:w="3241" w:type="dxa"/>
          </w:tcPr>
          <w:p w14:paraId="17B2C363" w14:textId="77777777" w:rsidR="00457BEA" w:rsidRPr="00457BEA" w:rsidRDefault="00457BEA" w:rsidP="0014104A">
            <w:pPr>
              <w:keepNext/>
              <w:widowControl w:val="0"/>
              <w:spacing w:line="300" w:lineRule="auto"/>
              <w:rPr>
                <w:rFonts w:ascii="Arial" w:hAnsi="Arial" w:cs="Arial"/>
                <w:sz w:val="20"/>
                <w:szCs w:val="20"/>
              </w:rPr>
            </w:pPr>
            <w:r w:rsidRPr="00457BEA">
              <w:rPr>
                <w:rFonts w:ascii="Arial" w:hAnsi="Arial" w:cs="Arial"/>
                <w:sz w:val="20"/>
                <w:szCs w:val="20"/>
              </w:rPr>
              <w:t>Total</w:t>
            </w:r>
          </w:p>
        </w:tc>
        <w:tc>
          <w:tcPr>
            <w:tcW w:w="990" w:type="dxa"/>
          </w:tcPr>
          <w:p w14:paraId="3FFE5F78"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49.0%</w:t>
            </w:r>
          </w:p>
        </w:tc>
        <w:tc>
          <w:tcPr>
            <w:tcW w:w="990" w:type="dxa"/>
          </w:tcPr>
          <w:p w14:paraId="1CA14268"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4.2%</w:t>
            </w:r>
          </w:p>
        </w:tc>
        <w:tc>
          <w:tcPr>
            <w:tcW w:w="990" w:type="dxa"/>
          </w:tcPr>
          <w:p w14:paraId="717D5204"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34.0%</w:t>
            </w:r>
          </w:p>
        </w:tc>
        <w:tc>
          <w:tcPr>
            <w:tcW w:w="990" w:type="dxa"/>
          </w:tcPr>
          <w:p w14:paraId="6FC0532B"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12.8%</w:t>
            </w:r>
          </w:p>
        </w:tc>
        <w:tc>
          <w:tcPr>
            <w:tcW w:w="998" w:type="dxa"/>
          </w:tcPr>
          <w:p w14:paraId="4043923B" w14:textId="77777777" w:rsidR="00457BEA" w:rsidRPr="00457BEA" w:rsidRDefault="00457BEA" w:rsidP="0014104A">
            <w:pPr>
              <w:keepNext/>
              <w:spacing w:line="300" w:lineRule="auto"/>
              <w:jc w:val="center"/>
              <w:rPr>
                <w:rFonts w:ascii="Arial" w:hAnsi="Arial" w:cs="Arial"/>
                <w:sz w:val="20"/>
                <w:szCs w:val="20"/>
              </w:rPr>
            </w:pPr>
            <w:r w:rsidRPr="00457BEA">
              <w:rPr>
                <w:rFonts w:ascii="Arial" w:hAnsi="Arial" w:cs="Arial"/>
                <w:color w:val="000000"/>
                <w:sz w:val="20"/>
                <w:szCs w:val="20"/>
              </w:rPr>
              <w:t>100.0%</w:t>
            </w:r>
          </w:p>
        </w:tc>
      </w:tr>
    </w:tbl>
    <w:p w14:paraId="6EF6CB08" w14:textId="72FC5E2D" w:rsidR="00457BEA" w:rsidRPr="003A6336"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1423F620" w14:textId="43FF62D6" w:rsidR="0005589C" w:rsidRDefault="0005589C" w:rsidP="00172F56">
      <w:pPr>
        <w:pStyle w:val="11Bodytext"/>
        <w:numPr>
          <w:ilvl w:val="0"/>
          <w:numId w:val="0"/>
        </w:numPr>
        <w:spacing w:before="0" w:after="0" w:line="300" w:lineRule="auto"/>
        <w:ind w:left="794" w:hanging="794"/>
        <w:rPr>
          <w:color w:val="auto"/>
        </w:rPr>
      </w:pPr>
    </w:p>
    <w:p w14:paraId="49FDA1AE" w14:textId="4FFB0B03" w:rsidR="00AC371C" w:rsidRPr="004C4E5C" w:rsidRDefault="00AC371C">
      <w:pPr>
        <w:pStyle w:val="11Bodytext"/>
        <w:numPr>
          <w:ilvl w:val="1"/>
          <w:numId w:val="40"/>
        </w:numPr>
        <w:spacing w:before="0" w:after="0" w:line="300" w:lineRule="auto"/>
        <w:ind w:left="720" w:hanging="720"/>
        <w:rPr>
          <w:color w:val="auto"/>
        </w:rPr>
      </w:pPr>
      <w:r>
        <w:t>The table below shows the locations from which households moved (down to sub-areas) – this shows a total of 55% moving within Fylde along with around 7% from Blackpool. Households moved from a range of areas, including 14% from outside of the North</w:t>
      </w:r>
      <w:r w:rsidR="00275C89">
        <w:t>-</w:t>
      </w:r>
      <w:r>
        <w:t>West Region.</w:t>
      </w:r>
      <w:r w:rsidR="00F86DE4">
        <w:t xml:space="preserve"> This finding is consistent with the views expressed by estate agents that incomers arrive from many destinations in addition to the neighbouring borough of Blackpool.</w:t>
      </w:r>
    </w:p>
    <w:p w14:paraId="7A7563DE" w14:textId="0485297F" w:rsidR="004C4E5C" w:rsidRDefault="004C4E5C" w:rsidP="00172F56">
      <w:pPr>
        <w:pStyle w:val="11Bodytext"/>
        <w:numPr>
          <w:ilvl w:val="0"/>
          <w:numId w:val="0"/>
        </w:numPr>
        <w:spacing w:before="0" w:after="0" w:line="300" w:lineRule="auto"/>
        <w:ind w:left="794" w:hanging="794"/>
        <w:rPr>
          <w:color w:val="auto"/>
        </w:rPr>
      </w:pPr>
    </w:p>
    <w:tbl>
      <w:tblPr>
        <w:tblStyle w:val="TableTheme"/>
        <w:tblW w:w="8199" w:type="dxa"/>
        <w:jc w:val="center"/>
        <w:tblLook w:val="04A0" w:firstRow="1" w:lastRow="0" w:firstColumn="1" w:lastColumn="0" w:noHBand="0" w:noVBand="1"/>
      </w:tblPr>
      <w:tblGrid>
        <w:gridCol w:w="3373"/>
        <w:gridCol w:w="2328"/>
        <w:gridCol w:w="2498"/>
      </w:tblGrid>
      <w:tr w:rsidR="00AC371C" w:rsidRPr="00AC371C" w14:paraId="774BD189" w14:textId="77777777" w:rsidTr="008469E3">
        <w:trPr>
          <w:trHeight w:val="288"/>
          <w:jc w:val="center"/>
        </w:trPr>
        <w:tc>
          <w:tcPr>
            <w:tcW w:w="8199" w:type="dxa"/>
            <w:gridSpan w:val="3"/>
            <w:noWrap/>
          </w:tcPr>
          <w:p w14:paraId="58BD755A" w14:textId="2F012E54" w:rsidR="00AC371C" w:rsidRPr="00AC371C" w:rsidRDefault="00AC371C" w:rsidP="0014104A">
            <w:pPr>
              <w:keepNext/>
              <w:spacing w:before="60" w:after="60" w:line="300" w:lineRule="auto"/>
              <w:jc w:val="center"/>
              <w:rPr>
                <w:rFonts w:ascii="Arial" w:hAnsi="Arial" w:cs="Arial"/>
                <w:b/>
                <w:bCs/>
                <w:color w:val="000000"/>
                <w:sz w:val="20"/>
                <w:szCs w:val="20"/>
              </w:rPr>
            </w:pPr>
            <w:r w:rsidRPr="00AC371C">
              <w:rPr>
                <w:rFonts w:ascii="Arial" w:hAnsi="Arial" w:cs="Arial"/>
                <w:b/>
                <w:bCs/>
                <w:color w:val="000000"/>
                <w:sz w:val="20"/>
                <w:szCs w:val="20"/>
              </w:rPr>
              <w:t>Figure 5.</w:t>
            </w:r>
            <w:r w:rsidR="00AD29A6">
              <w:rPr>
                <w:rFonts w:ascii="Arial" w:hAnsi="Arial" w:cs="Arial"/>
                <w:b/>
                <w:bCs/>
                <w:color w:val="000000"/>
                <w:sz w:val="20"/>
                <w:szCs w:val="20"/>
              </w:rPr>
              <w:t>3</w:t>
            </w:r>
            <w:r w:rsidRPr="00AC371C">
              <w:rPr>
                <w:rFonts w:ascii="Arial" w:hAnsi="Arial" w:cs="Arial"/>
                <w:b/>
                <w:bCs/>
                <w:color w:val="000000"/>
                <w:sz w:val="20"/>
                <w:szCs w:val="20"/>
              </w:rPr>
              <w:t>: Previous location of households moving in past 5-years</w:t>
            </w:r>
          </w:p>
        </w:tc>
      </w:tr>
      <w:tr w:rsidR="004C4E5C" w:rsidRPr="00AC371C" w14:paraId="369E733D" w14:textId="77777777" w:rsidTr="00AC371C">
        <w:trPr>
          <w:trHeight w:val="288"/>
          <w:jc w:val="center"/>
        </w:trPr>
        <w:tc>
          <w:tcPr>
            <w:tcW w:w="3373" w:type="dxa"/>
            <w:noWrap/>
          </w:tcPr>
          <w:p w14:paraId="084FC6B1" w14:textId="6D116651" w:rsidR="004C4E5C" w:rsidRPr="00AC371C" w:rsidRDefault="004C4E5C" w:rsidP="0014104A">
            <w:pPr>
              <w:keepNext/>
              <w:spacing w:before="60" w:after="60" w:line="300" w:lineRule="auto"/>
              <w:rPr>
                <w:rFonts w:ascii="Arial" w:hAnsi="Arial" w:cs="Arial"/>
                <w:sz w:val="20"/>
                <w:szCs w:val="20"/>
              </w:rPr>
            </w:pPr>
          </w:p>
        </w:tc>
        <w:tc>
          <w:tcPr>
            <w:tcW w:w="2328" w:type="dxa"/>
            <w:noWrap/>
          </w:tcPr>
          <w:p w14:paraId="77861B69" w14:textId="7790BAA7" w:rsidR="004C4E5C" w:rsidRPr="00AC371C" w:rsidRDefault="00AC371C" w:rsidP="0014104A">
            <w:pPr>
              <w:keepNext/>
              <w:spacing w:before="60" w:after="60" w:line="300" w:lineRule="auto"/>
              <w:jc w:val="center"/>
              <w:rPr>
                <w:rFonts w:ascii="Arial" w:hAnsi="Arial" w:cs="Arial"/>
                <w:color w:val="000000"/>
                <w:sz w:val="20"/>
                <w:szCs w:val="20"/>
              </w:rPr>
            </w:pPr>
            <w:r w:rsidRPr="00AC371C">
              <w:rPr>
                <w:rFonts w:ascii="Arial" w:hAnsi="Arial" w:cs="Arial"/>
                <w:color w:val="000000"/>
                <w:sz w:val="20"/>
                <w:szCs w:val="20"/>
              </w:rPr>
              <w:t>Households</w:t>
            </w:r>
          </w:p>
        </w:tc>
        <w:tc>
          <w:tcPr>
            <w:tcW w:w="2498" w:type="dxa"/>
            <w:noWrap/>
          </w:tcPr>
          <w:p w14:paraId="6ED6844D" w14:textId="0BE39C36" w:rsidR="004C4E5C" w:rsidRPr="00AC371C" w:rsidRDefault="00AC371C" w:rsidP="0014104A">
            <w:pPr>
              <w:keepNext/>
              <w:spacing w:before="60" w:after="60" w:line="300" w:lineRule="auto"/>
              <w:jc w:val="center"/>
              <w:rPr>
                <w:rFonts w:ascii="Arial" w:hAnsi="Arial" w:cs="Arial"/>
                <w:color w:val="000000"/>
                <w:sz w:val="20"/>
                <w:szCs w:val="20"/>
              </w:rPr>
            </w:pPr>
            <w:r w:rsidRPr="00AC371C">
              <w:rPr>
                <w:rFonts w:ascii="Arial" w:hAnsi="Arial" w:cs="Arial"/>
                <w:color w:val="000000"/>
                <w:sz w:val="20"/>
                <w:szCs w:val="20"/>
              </w:rPr>
              <w:t>% of households</w:t>
            </w:r>
          </w:p>
        </w:tc>
      </w:tr>
      <w:tr w:rsidR="004C4E5C" w:rsidRPr="00AC371C" w14:paraId="4C2EE8C4" w14:textId="77777777" w:rsidTr="00AC371C">
        <w:trPr>
          <w:trHeight w:val="288"/>
          <w:jc w:val="center"/>
        </w:trPr>
        <w:tc>
          <w:tcPr>
            <w:tcW w:w="3373" w:type="dxa"/>
            <w:noWrap/>
            <w:hideMark/>
          </w:tcPr>
          <w:p w14:paraId="77B7A8F9" w14:textId="77777777" w:rsidR="004C4E5C" w:rsidRPr="00AC371C" w:rsidRDefault="004C4E5C" w:rsidP="0014104A">
            <w:pPr>
              <w:keepNext/>
              <w:spacing w:line="300" w:lineRule="auto"/>
              <w:rPr>
                <w:rFonts w:ascii="Arial" w:hAnsi="Arial" w:cs="Arial"/>
                <w:color w:val="000000"/>
                <w:sz w:val="20"/>
                <w:szCs w:val="20"/>
              </w:rPr>
            </w:pPr>
            <w:r w:rsidRPr="00AC371C">
              <w:rPr>
                <w:rFonts w:ascii="Arial" w:hAnsi="Arial" w:cs="Arial"/>
                <w:color w:val="000000"/>
                <w:sz w:val="20"/>
                <w:szCs w:val="20"/>
              </w:rPr>
              <w:t>St. Annes</w:t>
            </w:r>
          </w:p>
        </w:tc>
        <w:tc>
          <w:tcPr>
            <w:tcW w:w="2328" w:type="dxa"/>
            <w:noWrap/>
            <w:hideMark/>
          </w:tcPr>
          <w:p w14:paraId="5BDA530A" w14:textId="77777777" w:rsidR="004C4E5C" w:rsidRPr="00AC371C" w:rsidRDefault="004C4E5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3,410</w:t>
            </w:r>
          </w:p>
        </w:tc>
        <w:tc>
          <w:tcPr>
            <w:tcW w:w="2498" w:type="dxa"/>
            <w:noWrap/>
            <w:hideMark/>
          </w:tcPr>
          <w:p w14:paraId="61B086C4" w14:textId="77777777" w:rsidR="004C4E5C" w:rsidRPr="00AC371C" w:rsidRDefault="004C4E5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22.9%</w:t>
            </w:r>
          </w:p>
        </w:tc>
      </w:tr>
      <w:tr w:rsidR="004C4E5C" w:rsidRPr="00AC371C" w14:paraId="38E7B52A" w14:textId="77777777" w:rsidTr="00AC371C">
        <w:trPr>
          <w:trHeight w:val="288"/>
          <w:jc w:val="center"/>
        </w:trPr>
        <w:tc>
          <w:tcPr>
            <w:tcW w:w="3373" w:type="dxa"/>
            <w:noWrap/>
            <w:hideMark/>
          </w:tcPr>
          <w:p w14:paraId="3EA47FB2" w14:textId="77777777" w:rsidR="004C4E5C" w:rsidRPr="00AC371C" w:rsidRDefault="004C4E5C" w:rsidP="0014104A">
            <w:pPr>
              <w:keepNext/>
              <w:spacing w:line="300" w:lineRule="auto"/>
              <w:rPr>
                <w:rFonts w:ascii="Arial" w:hAnsi="Arial" w:cs="Arial"/>
                <w:color w:val="000000"/>
                <w:sz w:val="20"/>
                <w:szCs w:val="20"/>
              </w:rPr>
            </w:pPr>
            <w:r w:rsidRPr="00AC371C">
              <w:rPr>
                <w:rFonts w:ascii="Arial" w:hAnsi="Arial" w:cs="Arial"/>
                <w:color w:val="000000"/>
                <w:sz w:val="20"/>
                <w:szCs w:val="20"/>
              </w:rPr>
              <w:t>Lytham</w:t>
            </w:r>
          </w:p>
        </w:tc>
        <w:tc>
          <w:tcPr>
            <w:tcW w:w="2328" w:type="dxa"/>
            <w:noWrap/>
            <w:hideMark/>
          </w:tcPr>
          <w:p w14:paraId="47C396FF" w14:textId="77777777" w:rsidR="004C4E5C" w:rsidRPr="00AC371C" w:rsidRDefault="004C4E5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1,857</w:t>
            </w:r>
          </w:p>
        </w:tc>
        <w:tc>
          <w:tcPr>
            <w:tcW w:w="2498" w:type="dxa"/>
            <w:noWrap/>
            <w:hideMark/>
          </w:tcPr>
          <w:p w14:paraId="35848B7B" w14:textId="77777777" w:rsidR="004C4E5C" w:rsidRPr="00AC371C" w:rsidRDefault="004C4E5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12.5%</w:t>
            </w:r>
          </w:p>
        </w:tc>
      </w:tr>
      <w:tr w:rsidR="004C4E5C" w:rsidRPr="00AC371C" w14:paraId="42A6FFB1" w14:textId="77777777" w:rsidTr="00AC371C">
        <w:trPr>
          <w:trHeight w:val="288"/>
          <w:jc w:val="center"/>
        </w:trPr>
        <w:tc>
          <w:tcPr>
            <w:tcW w:w="3373" w:type="dxa"/>
            <w:noWrap/>
            <w:hideMark/>
          </w:tcPr>
          <w:p w14:paraId="2C1DF10A" w14:textId="77777777" w:rsidR="004C4E5C" w:rsidRPr="00AC371C" w:rsidRDefault="004C4E5C" w:rsidP="0014104A">
            <w:pPr>
              <w:keepNext/>
              <w:spacing w:line="300" w:lineRule="auto"/>
              <w:rPr>
                <w:rFonts w:ascii="Arial" w:hAnsi="Arial" w:cs="Arial"/>
                <w:color w:val="000000"/>
                <w:sz w:val="20"/>
                <w:szCs w:val="20"/>
              </w:rPr>
            </w:pPr>
            <w:r w:rsidRPr="00AC371C">
              <w:rPr>
                <w:rFonts w:ascii="Arial" w:hAnsi="Arial" w:cs="Arial"/>
                <w:color w:val="000000"/>
                <w:sz w:val="20"/>
                <w:szCs w:val="20"/>
              </w:rPr>
              <w:t>Warton</w:t>
            </w:r>
          </w:p>
        </w:tc>
        <w:tc>
          <w:tcPr>
            <w:tcW w:w="2328" w:type="dxa"/>
            <w:noWrap/>
            <w:hideMark/>
          </w:tcPr>
          <w:p w14:paraId="13B4CBE0" w14:textId="77777777" w:rsidR="004C4E5C" w:rsidRPr="00AC371C" w:rsidRDefault="004C4E5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236</w:t>
            </w:r>
          </w:p>
        </w:tc>
        <w:tc>
          <w:tcPr>
            <w:tcW w:w="2498" w:type="dxa"/>
            <w:noWrap/>
            <w:hideMark/>
          </w:tcPr>
          <w:p w14:paraId="19FE0F8B" w14:textId="77777777" w:rsidR="004C4E5C" w:rsidRPr="00AC371C" w:rsidRDefault="004C4E5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1.6%</w:t>
            </w:r>
          </w:p>
        </w:tc>
      </w:tr>
      <w:tr w:rsidR="00AC371C" w:rsidRPr="00AC371C" w14:paraId="0ED6633C" w14:textId="77777777" w:rsidTr="00AC371C">
        <w:trPr>
          <w:trHeight w:val="288"/>
          <w:jc w:val="center"/>
        </w:trPr>
        <w:tc>
          <w:tcPr>
            <w:tcW w:w="3373" w:type="dxa"/>
            <w:noWrap/>
          </w:tcPr>
          <w:p w14:paraId="1BAC0BFC" w14:textId="2C2883E7"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sz w:val="20"/>
                <w:szCs w:val="20"/>
              </w:rPr>
              <w:t>Fylde BP Periphery</w:t>
            </w:r>
          </w:p>
        </w:tc>
        <w:tc>
          <w:tcPr>
            <w:tcW w:w="2328" w:type="dxa"/>
            <w:noWrap/>
          </w:tcPr>
          <w:p w14:paraId="32547E7E" w14:textId="295900D2"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380</w:t>
            </w:r>
          </w:p>
        </w:tc>
        <w:tc>
          <w:tcPr>
            <w:tcW w:w="2498" w:type="dxa"/>
            <w:noWrap/>
          </w:tcPr>
          <w:p w14:paraId="6E85673C" w14:textId="56815234"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2.5%</w:t>
            </w:r>
          </w:p>
        </w:tc>
      </w:tr>
      <w:tr w:rsidR="00AC371C" w:rsidRPr="00AC371C" w14:paraId="09B52D88" w14:textId="77777777" w:rsidTr="00AC371C">
        <w:trPr>
          <w:trHeight w:val="288"/>
          <w:jc w:val="center"/>
        </w:trPr>
        <w:tc>
          <w:tcPr>
            <w:tcW w:w="3373" w:type="dxa"/>
            <w:noWrap/>
          </w:tcPr>
          <w:p w14:paraId="12B90E4D" w14:textId="54556A85"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color w:val="000000"/>
                <w:sz w:val="20"/>
                <w:szCs w:val="20"/>
              </w:rPr>
              <w:t>Kirkham</w:t>
            </w:r>
          </w:p>
        </w:tc>
        <w:tc>
          <w:tcPr>
            <w:tcW w:w="2328" w:type="dxa"/>
            <w:noWrap/>
          </w:tcPr>
          <w:p w14:paraId="60665492" w14:textId="6BE44F9F"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771</w:t>
            </w:r>
          </w:p>
        </w:tc>
        <w:tc>
          <w:tcPr>
            <w:tcW w:w="2498" w:type="dxa"/>
            <w:noWrap/>
          </w:tcPr>
          <w:p w14:paraId="50C75282" w14:textId="30CF88C3"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5.2%</w:t>
            </w:r>
          </w:p>
        </w:tc>
      </w:tr>
      <w:tr w:rsidR="00AC371C" w:rsidRPr="00AC371C" w14:paraId="29D6E0C4" w14:textId="77777777" w:rsidTr="00AC371C">
        <w:trPr>
          <w:trHeight w:val="288"/>
          <w:jc w:val="center"/>
        </w:trPr>
        <w:tc>
          <w:tcPr>
            <w:tcW w:w="3373" w:type="dxa"/>
            <w:noWrap/>
            <w:hideMark/>
          </w:tcPr>
          <w:p w14:paraId="51A9A0C7" w14:textId="77777777"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color w:val="000000"/>
                <w:sz w:val="20"/>
                <w:szCs w:val="20"/>
              </w:rPr>
              <w:t>Wesham</w:t>
            </w:r>
          </w:p>
        </w:tc>
        <w:tc>
          <w:tcPr>
            <w:tcW w:w="2328" w:type="dxa"/>
            <w:noWrap/>
            <w:hideMark/>
          </w:tcPr>
          <w:p w14:paraId="7389E408"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373</w:t>
            </w:r>
          </w:p>
        </w:tc>
        <w:tc>
          <w:tcPr>
            <w:tcW w:w="2498" w:type="dxa"/>
            <w:noWrap/>
            <w:hideMark/>
          </w:tcPr>
          <w:p w14:paraId="0BFDFCC6"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2.5%</w:t>
            </w:r>
          </w:p>
        </w:tc>
      </w:tr>
      <w:tr w:rsidR="00AC371C" w:rsidRPr="00AC371C" w14:paraId="7549E034" w14:textId="77777777" w:rsidTr="00AC371C">
        <w:trPr>
          <w:trHeight w:val="288"/>
          <w:jc w:val="center"/>
        </w:trPr>
        <w:tc>
          <w:tcPr>
            <w:tcW w:w="3373" w:type="dxa"/>
            <w:noWrap/>
            <w:hideMark/>
          </w:tcPr>
          <w:p w14:paraId="337998D2" w14:textId="77777777"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color w:val="000000"/>
                <w:sz w:val="20"/>
                <w:szCs w:val="20"/>
              </w:rPr>
              <w:t>Freckleton</w:t>
            </w:r>
          </w:p>
        </w:tc>
        <w:tc>
          <w:tcPr>
            <w:tcW w:w="2328" w:type="dxa"/>
            <w:noWrap/>
            <w:hideMark/>
          </w:tcPr>
          <w:p w14:paraId="5AE86D0E"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612</w:t>
            </w:r>
          </w:p>
        </w:tc>
        <w:tc>
          <w:tcPr>
            <w:tcW w:w="2498" w:type="dxa"/>
            <w:noWrap/>
            <w:hideMark/>
          </w:tcPr>
          <w:p w14:paraId="21AC97D7"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4.1%</w:t>
            </w:r>
          </w:p>
        </w:tc>
      </w:tr>
      <w:tr w:rsidR="00AC371C" w:rsidRPr="00AC371C" w14:paraId="0075198B" w14:textId="77777777" w:rsidTr="00AC371C">
        <w:trPr>
          <w:trHeight w:val="288"/>
          <w:jc w:val="center"/>
        </w:trPr>
        <w:tc>
          <w:tcPr>
            <w:tcW w:w="3373" w:type="dxa"/>
            <w:noWrap/>
            <w:hideMark/>
          </w:tcPr>
          <w:p w14:paraId="2E2B2793" w14:textId="77777777"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color w:val="000000"/>
                <w:sz w:val="20"/>
                <w:szCs w:val="20"/>
              </w:rPr>
              <w:t>Rural West</w:t>
            </w:r>
          </w:p>
        </w:tc>
        <w:tc>
          <w:tcPr>
            <w:tcW w:w="2328" w:type="dxa"/>
            <w:noWrap/>
            <w:hideMark/>
          </w:tcPr>
          <w:p w14:paraId="4899EF78"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106</w:t>
            </w:r>
          </w:p>
        </w:tc>
        <w:tc>
          <w:tcPr>
            <w:tcW w:w="2498" w:type="dxa"/>
            <w:noWrap/>
            <w:hideMark/>
          </w:tcPr>
          <w:p w14:paraId="5484A9DB"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0.7%</w:t>
            </w:r>
          </w:p>
        </w:tc>
      </w:tr>
      <w:tr w:rsidR="00AC371C" w:rsidRPr="00AC371C" w14:paraId="139F9B1A" w14:textId="77777777" w:rsidTr="00AC371C">
        <w:trPr>
          <w:trHeight w:val="288"/>
          <w:jc w:val="center"/>
        </w:trPr>
        <w:tc>
          <w:tcPr>
            <w:tcW w:w="3373" w:type="dxa"/>
            <w:noWrap/>
            <w:hideMark/>
          </w:tcPr>
          <w:p w14:paraId="27619AF3" w14:textId="77777777"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color w:val="000000"/>
                <w:sz w:val="20"/>
                <w:szCs w:val="20"/>
              </w:rPr>
              <w:t>Rural North</w:t>
            </w:r>
          </w:p>
        </w:tc>
        <w:tc>
          <w:tcPr>
            <w:tcW w:w="2328" w:type="dxa"/>
            <w:noWrap/>
            <w:hideMark/>
          </w:tcPr>
          <w:p w14:paraId="6682319F"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219</w:t>
            </w:r>
          </w:p>
        </w:tc>
        <w:tc>
          <w:tcPr>
            <w:tcW w:w="2498" w:type="dxa"/>
            <w:noWrap/>
            <w:hideMark/>
          </w:tcPr>
          <w:p w14:paraId="2BB681D5"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1.5%</w:t>
            </w:r>
          </w:p>
        </w:tc>
      </w:tr>
      <w:tr w:rsidR="00AC371C" w:rsidRPr="00AC371C" w14:paraId="0D421A1B" w14:textId="77777777" w:rsidTr="00AC371C">
        <w:trPr>
          <w:trHeight w:val="288"/>
          <w:jc w:val="center"/>
        </w:trPr>
        <w:tc>
          <w:tcPr>
            <w:tcW w:w="3373" w:type="dxa"/>
            <w:noWrap/>
            <w:hideMark/>
          </w:tcPr>
          <w:p w14:paraId="6D0DFC4D" w14:textId="77777777"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color w:val="000000"/>
                <w:sz w:val="20"/>
                <w:szCs w:val="20"/>
              </w:rPr>
              <w:t>Rural East</w:t>
            </w:r>
          </w:p>
        </w:tc>
        <w:tc>
          <w:tcPr>
            <w:tcW w:w="2328" w:type="dxa"/>
            <w:noWrap/>
            <w:hideMark/>
          </w:tcPr>
          <w:p w14:paraId="4C94F73B"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165</w:t>
            </w:r>
          </w:p>
        </w:tc>
        <w:tc>
          <w:tcPr>
            <w:tcW w:w="2498" w:type="dxa"/>
            <w:noWrap/>
            <w:hideMark/>
          </w:tcPr>
          <w:p w14:paraId="09DD6396"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1.1%</w:t>
            </w:r>
          </w:p>
        </w:tc>
      </w:tr>
      <w:tr w:rsidR="00AC371C" w:rsidRPr="00AC371C" w14:paraId="2A1A48AA" w14:textId="77777777" w:rsidTr="00AC371C">
        <w:trPr>
          <w:trHeight w:val="288"/>
          <w:jc w:val="center"/>
        </w:trPr>
        <w:tc>
          <w:tcPr>
            <w:tcW w:w="3373" w:type="dxa"/>
            <w:noWrap/>
            <w:hideMark/>
          </w:tcPr>
          <w:p w14:paraId="3BF04285" w14:textId="77777777"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color w:val="000000"/>
                <w:sz w:val="20"/>
                <w:szCs w:val="20"/>
              </w:rPr>
              <w:t>Blackpool</w:t>
            </w:r>
          </w:p>
        </w:tc>
        <w:tc>
          <w:tcPr>
            <w:tcW w:w="2328" w:type="dxa"/>
            <w:noWrap/>
            <w:hideMark/>
          </w:tcPr>
          <w:p w14:paraId="0B34B173"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1,014</w:t>
            </w:r>
          </w:p>
        </w:tc>
        <w:tc>
          <w:tcPr>
            <w:tcW w:w="2498" w:type="dxa"/>
            <w:noWrap/>
            <w:hideMark/>
          </w:tcPr>
          <w:p w14:paraId="7F88470A"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6.8%</w:t>
            </w:r>
          </w:p>
        </w:tc>
      </w:tr>
      <w:tr w:rsidR="00AC371C" w:rsidRPr="00AC371C" w14:paraId="3007BC1D" w14:textId="77777777" w:rsidTr="00AC371C">
        <w:trPr>
          <w:trHeight w:val="288"/>
          <w:jc w:val="center"/>
        </w:trPr>
        <w:tc>
          <w:tcPr>
            <w:tcW w:w="3373" w:type="dxa"/>
            <w:noWrap/>
            <w:hideMark/>
          </w:tcPr>
          <w:p w14:paraId="4D626950" w14:textId="77777777"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color w:val="000000"/>
                <w:sz w:val="20"/>
                <w:szCs w:val="20"/>
              </w:rPr>
              <w:t>Wyre</w:t>
            </w:r>
          </w:p>
        </w:tc>
        <w:tc>
          <w:tcPr>
            <w:tcW w:w="2328" w:type="dxa"/>
            <w:noWrap/>
            <w:hideMark/>
          </w:tcPr>
          <w:p w14:paraId="536F0DCF"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674</w:t>
            </w:r>
          </w:p>
        </w:tc>
        <w:tc>
          <w:tcPr>
            <w:tcW w:w="2498" w:type="dxa"/>
            <w:noWrap/>
            <w:hideMark/>
          </w:tcPr>
          <w:p w14:paraId="66719FAE"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4.5%</w:t>
            </w:r>
          </w:p>
        </w:tc>
      </w:tr>
      <w:tr w:rsidR="00AC371C" w:rsidRPr="00AC371C" w14:paraId="59B7B6B8" w14:textId="77777777" w:rsidTr="00AC371C">
        <w:trPr>
          <w:trHeight w:val="288"/>
          <w:jc w:val="center"/>
        </w:trPr>
        <w:tc>
          <w:tcPr>
            <w:tcW w:w="3373" w:type="dxa"/>
            <w:noWrap/>
            <w:hideMark/>
          </w:tcPr>
          <w:p w14:paraId="33C87F93" w14:textId="77777777"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color w:val="000000"/>
                <w:sz w:val="20"/>
                <w:szCs w:val="20"/>
              </w:rPr>
              <w:t>Preston</w:t>
            </w:r>
          </w:p>
        </w:tc>
        <w:tc>
          <w:tcPr>
            <w:tcW w:w="2328" w:type="dxa"/>
            <w:noWrap/>
            <w:hideMark/>
          </w:tcPr>
          <w:p w14:paraId="2DD2F87B"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681</w:t>
            </w:r>
          </w:p>
        </w:tc>
        <w:tc>
          <w:tcPr>
            <w:tcW w:w="2498" w:type="dxa"/>
            <w:noWrap/>
            <w:hideMark/>
          </w:tcPr>
          <w:p w14:paraId="11934481"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4.6%</w:t>
            </w:r>
          </w:p>
        </w:tc>
      </w:tr>
      <w:tr w:rsidR="00AC371C" w:rsidRPr="00AC371C" w14:paraId="3962B9CB" w14:textId="77777777" w:rsidTr="00AC371C">
        <w:trPr>
          <w:trHeight w:val="288"/>
          <w:jc w:val="center"/>
        </w:trPr>
        <w:tc>
          <w:tcPr>
            <w:tcW w:w="3373" w:type="dxa"/>
            <w:noWrap/>
            <w:hideMark/>
          </w:tcPr>
          <w:p w14:paraId="77E990F9" w14:textId="77777777"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color w:val="000000"/>
                <w:sz w:val="20"/>
                <w:szCs w:val="20"/>
              </w:rPr>
              <w:t>Else Lancashire</w:t>
            </w:r>
          </w:p>
        </w:tc>
        <w:tc>
          <w:tcPr>
            <w:tcW w:w="2328" w:type="dxa"/>
            <w:noWrap/>
            <w:hideMark/>
          </w:tcPr>
          <w:p w14:paraId="566BA262"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1,145</w:t>
            </w:r>
          </w:p>
        </w:tc>
        <w:tc>
          <w:tcPr>
            <w:tcW w:w="2498" w:type="dxa"/>
            <w:noWrap/>
            <w:hideMark/>
          </w:tcPr>
          <w:p w14:paraId="7A41623D"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7.7%</w:t>
            </w:r>
          </w:p>
        </w:tc>
      </w:tr>
      <w:tr w:rsidR="00AC371C" w:rsidRPr="00AC371C" w14:paraId="58EE7285" w14:textId="77777777" w:rsidTr="00AC371C">
        <w:trPr>
          <w:trHeight w:val="288"/>
          <w:jc w:val="center"/>
        </w:trPr>
        <w:tc>
          <w:tcPr>
            <w:tcW w:w="3373" w:type="dxa"/>
            <w:noWrap/>
            <w:hideMark/>
          </w:tcPr>
          <w:p w14:paraId="1B7E6F80" w14:textId="77777777"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color w:val="000000"/>
                <w:sz w:val="20"/>
                <w:szCs w:val="20"/>
              </w:rPr>
              <w:t>Else North West</w:t>
            </w:r>
          </w:p>
        </w:tc>
        <w:tc>
          <w:tcPr>
            <w:tcW w:w="2328" w:type="dxa"/>
            <w:noWrap/>
            <w:hideMark/>
          </w:tcPr>
          <w:p w14:paraId="5C88314E"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1,144</w:t>
            </w:r>
          </w:p>
        </w:tc>
        <w:tc>
          <w:tcPr>
            <w:tcW w:w="2498" w:type="dxa"/>
            <w:noWrap/>
            <w:hideMark/>
          </w:tcPr>
          <w:p w14:paraId="6FD852D4"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7.7%</w:t>
            </w:r>
          </w:p>
        </w:tc>
      </w:tr>
      <w:tr w:rsidR="00AC371C" w:rsidRPr="00AC371C" w14:paraId="0F148D18" w14:textId="77777777" w:rsidTr="00AC371C">
        <w:trPr>
          <w:trHeight w:val="288"/>
          <w:jc w:val="center"/>
        </w:trPr>
        <w:tc>
          <w:tcPr>
            <w:tcW w:w="3373" w:type="dxa"/>
            <w:noWrap/>
            <w:hideMark/>
          </w:tcPr>
          <w:p w14:paraId="4EAC3A8C" w14:textId="77777777"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color w:val="000000"/>
                <w:sz w:val="20"/>
                <w:szCs w:val="20"/>
              </w:rPr>
              <w:t>Elsewhere</w:t>
            </w:r>
          </w:p>
        </w:tc>
        <w:tc>
          <w:tcPr>
            <w:tcW w:w="2328" w:type="dxa"/>
            <w:noWrap/>
            <w:hideMark/>
          </w:tcPr>
          <w:p w14:paraId="404EEBB8"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2,125</w:t>
            </w:r>
          </w:p>
        </w:tc>
        <w:tc>
          <w:tcPr>
            <w:tcW w:w="2498" w:type="dxa"/>
            <w:noWrap/>
            <w:hideMark/>
          </w:tcPr>
          <w:p w14:paraId="2EB5CA09"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14.3%</w:t>
            </w:r>
          </w:p>
        </w:tc>
      </w:tr>
      <w:tr w:rsidR="00AC371C" w:rsidRPr="00AC371C" w14:paraId="44664A13" w14:textId="77777777" w:rsidTr="00AC371C">
        <w:trPr>
          <w:trHeight w:val="288"/>
          <w:jc w:val="center"/>
        </w:trPr>
        <w:tc>
          <w:tcPr>
            <w:tcW w:w="3373" w:type="dxa"/>
            <w:noWrap/>
            <w:hideMark/>
          </w:tcPr>
          <w:p w14:paraId="227592AF" w14:textId="77777777" w:rsidR="00AC371C" w:rsidRPr="00AC371C" w:rsidRDefault="00AC371C" w:rsidP="0014104A">
            <w:pPr>
              <w:keepNext/>
              <w:spacing w:line="300" w:lineRule="auto"/>
              <w:rPr>
                <w:rFonts w:ascii="Arial" w:hAnsi="Arial" w:cs="Arial"/>
                <w:color w:val="000000"/>
                <w:sz w:val="20"/>
                <w:szCs w:val="20"/>
              </w:rPr>
            </w:pPr>
            <w:r w:rsidRPr="00AC371C">
              <w:rPr>
                <w:rFonts w:ascii="Arial" w:hAnsi="Arial" w:cs="Arial"/>
                <w:color w:val="000000"/>
                <w:sz w:val="20"/>
                <w:szCs w:val="20"/>
              </w:rPr>
              <w:t>TOTAL</w:t>
            </w:r>
          </w:p>
        </w:tc>
        <w:tc>
          <w:tcPr>
            <w:tcW w:w="2328" w:type="dxa"/>
            <w:noWrap/>
            <w:hideMark/>
          </w:tcPr>
          <w:p w14:paraId="1389098F"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14,911</w:t>
            </w:r>
          </w:p>
        </w:tc>
        <w:tc>
          <w:tcPr>
            <w:tcW w:w="2498" w:type="dxa"/>
            <w:noWrap/>
            <w:hideMark/>
          </w:tcPr>
          <w:p w14:paraId="0B407F74" w14:textId="77777777" w:rsidR="00AC371C" w:rsidRPr="00AC371C" w:rsidRDefault="00AC371C" w:rsidP="0014104A">
            <w:pPr>
              <w:keepNext/>
              <w:spacing w:line="300" w:lineRule="auto"/>
              <w:jc w:val="center"/>
              <w:rPr>
                <w:rFonts w:ascii="Arial" w:hAnsi="Arial" w:cs="Arial"/>
                <w:color w:val="000000"/>
                <w:sz w:val="20"/>
                <w:szCs w:val="20"/>
              </w:rPr>
            </w:pPr>
            <w:r w:rsidRPr="00AC371C">
              <w:rPr>
                <w:rFonts w:ascii="Arial" w:hAnsi="Arial" w:cs="Arial"/>
                <w:color w:val="000000"/>
                <w:sz w:val="20"/>
                <w:szCs w:val="20"/>
              </w:rPr>
              <w:t>100.0%</w:t>
            </w:r>
          </w:p>
        </w:tc>
      </w:tr>
    </w:tbl>
    <w:p w14:paraId="0395ABB5" w14:textId="180E496D" w:rsidR="004C4E5C" w:rsidRDefault="00AB789F" w:rsidP="00172F56">
      <w:pPr>
        <w:pStyle w:val="11Bodytext"/>
        <w:numPr>
          <w:ilvl w:val="0"/>
          <w:numId w:val="0"/>
        </w:numPr>
        <w:spacing w:before="0" w:after="0" w:line="300" w:lineRule="auto"/>
        <w:ind w:left="794" w:hanging="794"/>
        <w:jc w:val="center"/>
        <w:rPr>
          <w:color w:val="auto"/>
        </w:rPr>
      </w:pPr>
      <w:r>
        <w:rPr>
          <w:color w:val="auto"/>
        </w:rPr>
        <w:t>Source: Household survey</w:t>
      </w:r>
    </w:p>
    <w:p w14:paraId="7C630870" w14:textId="5C604844" w:rsidR="00AC371C" w:rsidRPr="001D7E18" w:rsidRDefault="00AC371C" w:rsidP="0033047F">
      <w:pPr>
        <w:pStyle w:val="11Bodytext"/>
        <w:numPr>
          <w:ilvl w:val="0"/>
          <w:numId w:val="0"/>
        </w:numPr>
        <w:spacing w:before="0" w:after="0" w:line="300" w:lineRule="auto"/>
        <w:ind w:left="794" w:hanging="794"/>
        <w:rPr>
          <w:color w:val="auto"/>
        </w:rPr>
      </w:pPr>
    </w:p>
    <w:p w14:paraId="0F4BB535" w14:textId="447D2FBB" w:rsidR="008F17F5" w:rsidRPr="001D7E18" w:rsidRDefault="000342B9">
      <w:pPr>
        <w:pStyle w:val="11Bodytext"/>
        <w:numPr>
          <w:ilvl w:val="1"/>
          <w:numId w:val="40"/>
        </w:numPr>
        <w:spacing w:before="0" w:after="0" w:line="300" w:lineRule="auto"/>
        <w:ind w:left="720" w:hanging="720"/>
        <w:rPr>
          <w:color w:val="auto"/>
        </w:rPr>
      </w:pPr>
      <w:r w:rsidRPr="001D7E18">
        <w:t>T</w:t>
      </w:r>
      <w:r w:rsidR="008F17F5" w:rsidRPr="001D7E18">
        <w:t xml:space="preserve">he table below shows the locations within </w:t>
      </w:r>
      <w:r w:rsidRPr="001D7E18">
        <w:t>Fylde</w:t>
      </w:r>
      <w:r w:rsidR="008F17F5" w:rsidRPr="001D7E18">
        <w:t xml:space="preserve"> of recently moving households. The data shows that there </w:t>
      </w:r>
      <w:r w:rsidRPr="001D7E18">
        <w:t>are some differences</w:t>
      </w:r>
      <w:r w:rsidR="008F17F5" w:rsidRPr="001D7E18">
        <w:t xml:space="preserve"> between sub-areas in terms of the likelihood that a household has moved within the past </w:t>
      </w:r>
      <w:r w:rsidRPr="001D7E18">
        <w:t>five</w:t>
      </w:r>
      <w:r w:rsidR="008F17F5" w:rsidRPr="001D7E18">
        <w:t xml:space="preserve"> years (households in </w:t>
      </w:r>
      <w:r w:rsidR="001D7E18" w:rsidRPr="001D7E18">
        <w:t>rural areas</w:t>
      </w:r>
      <w:r w:rsidR="008F17F5" w:rsidRPr="001D7E18">
        <w:t xml:space="preserve"> being slightly </w:t>
      </w:r>
      <w:r w:rsidR="001D7E18" w:rsidRPr="001D7E18">
        <w:t>less</w:t>
      </w:r>
      <w:r w:rsidR="008F17F5" w:rsidRPr="001D7E18">
        <w:t xml:space="preserve"> likely to have moved). </w:t>
      </w:r>
      <w:r w:rsidR="001D7E18" w:rsidRPr="001D7E18">
        <w:t xml:space="preserve">Additionally, the </w:t>
      </w:r>
      <w:r w:rsidR="00432414" w:rsidRPr="001D7E18">
        <w:t>Fylde</w:t>
      </w:r>
      <w:r w:rsidR="001D7E18" w:rsidRPr="001D7E18">
        <w:t>-Blackpool Periphery area stands out has having a high proportion of movers and a high proportion moving from areas outside of the Borough. Additionally,</w:t>
      </w:r>
      <w:r w:rsidR="008F17F5" w:rsidRPr="001D7E18">
        <w:t xml:space="preserve"> the data </w:t>
      </w:r>
      <w:r w:rsidR="001D7E18" w:rsidRPr="001D7E18">
        <w:t>also</w:t>
      </w:r>
      <w:r w:rsidR="008F17F5" w:rsidRPr="001D7E18">
        <w:t xml:space="preserve"> show</w:t>
      </w:r>
      <w:r w:rsidR="001D7E18" w:rsidRPr="001D7E18">
        <w:t>s</w:t>
      </w:r>
      <w:r w:rsidR="008F17F5" w:rsidRPr="001D7E18">
        <w:t xml:space="preserve"> that households in rural areas are more likely to have moved from outside the </w:t>
      </w:r>
      <w:r w:rsidR="001D7E18" w:rsidRPr="001D7E18">
        <w:t>Borough</w:t>
      </w:r>
      <w:r w:rsidR="008F17F5" w:rsidRPr="001D7E18">
        <w:t xml:space="preserve"> than </w:t>
      </w:r>
      <w:r w:rsidR="001D7E18" w:rsidRPr="001D7E18">
        <w:t>across the Council area generally.</w:t>
      </w:r>
      <w:r w:rsidR="008F17F5" w:rsidRPr="001D7E18">
        <w:t xml:space="preserve"> This suggests that housing demand in rural areas is disproportionately generated by in-migrants rather than through the needs of the local population.</w:t>
      </w:r>
    </w:p>
    <w:p w14:paraId="66737084" w14:textId="77777777" w:rsidR="008F17F5" w:rsidRPr="001D7E18" w:rsidRDefault="008F17F5" w:rsidP="00172F56">
      <w:pPr>
        <w:spacing w:line="300" w:lineRule="auto"/>
        <w:jc w:val="both"/>
        <w:rPr>
          <w:rFonts w:ascii="Arial" w:hAnsi="Arial" w:cs="Arial"/>
          <w:sz w:val="20"/>
          <w:szCs w:val="20"/>
        </w:rPr>
      </w:pPr>
    </w:p>
    <w:tbl>
      <w:tblPr>
        <w:tblStyle w:val="TableGrid1"/>
        <w:tblW w:w="9639" w:type="dxa"/>
        <w:tblLayout w:type="fixed"/>
        <w:tblLook w:val="0000" w:firstRow="0" w:lastRow="0" w:firstColumn="0" w:lastColumn="0" w:noHBand="0" w:noVBand="0"/>
      </w:tblPr>
      <w:tblGrid>
        <w:gridCol w:w="1455"/>
        <w:gridCol w:w="546"/>
        <w:gridCol w:w="1527"/>
        <w:gridCol w:w="1528"/>
        <w:gridCol w:w="1527"/>
        <w:gridCol w:w="1528"/>
        <w:gridCol w:w="1528"/>
      </w:tblGrid>
      <w:tr w:rsidR="008F17F5" w:rsidRPr="008724E9" w14:paraId="542E188F" w14:textId="77777777" w:rsidTr="008F17F5">
        <w:tc>
          <w:tcPr>
            <w:tcW w:w="9639" w:type="dxa"/>
            <w:gridSpan w:val="7"/>
          </w:tcPr>
          <w:p w14:paraId="453D1A7D" w14:textId="018727C3" w:rsidR="008F17F5" w:rsidRPr="008724E9" w:rsidRDefault="008F17F5" w:rsidP="0014104A">
            <w:pPr>
              <w:keepNext/>
              <w:widowControl w:val="0"/>
              <w:spacing w:before="60" w:after="60" w:line="300" w:lineRule="auto"/>
              <w:jc w:val="center"/>
              <w:rPr>
                <w:rFonts w:ascii="Arial" w:hAnsi="Arial" w:cs="Arial"/>
                <w:b/>
                <w:sz w:val="20"/>
                <w:szCs w:val="20"/>
              </w:rPr>
            </w:pPr>
            <w:r w:rsidRPr="008724E9">
              <w:rPr>
                <w:rFonts w:ascii="Arial" w:hAnsi="Arial" w:cs="Arial"/>
                <w:b/>
                <w:sz w:val="20"/>
                <w:szCs w:val="20"/>
              </w:rPr>
              <w:t xml:space="preserve">Figure </w:t>
            </w:r>
            <w:r w:rsidR="00AD29A6">
              <w:rPr>
                <w:rFonts w:ascii="Arial" w:hAnsi="Arial" w:cs="Arial"/>
                <w:b/>
                <w:sz w:val="20"/>
                <w:szCs w:val="20"/>
              </w:rPr>
              <w:t>5.4</w:t>
            </w:r>
            <w:r w:rsidR="001D7E18">
              <w:rPr>
                <w:rFonts w:ascii="Arial" w:hAnsi="Arial" w:cs="Arial"/>
                <w:b/>
                <w:sz w:val="20"/>
                <w:szCs w:val="20"/>
              </w:rPr>
              <w:t>:</w:t>
            </w:r>
            <w:r w:rsidRPr="008724E9">
              <w:rPr>
                <w:rFonts w:ascii="Arial" w:hAnsi="Arial" w:cs="Arial"/>
                <w:b/>
                <w:sz w:val="20"/>
                <w:szCs w:val="20"/>
              </w:rPr>
              <w:t xml:space="preserve"> </w:t>
            </w:r>
            <w:r>
              <w:rPr>
                <w:rFonts w:ascii="Arial" w:hAnsi="Arial" w:cs="Arial"/>
                <w:b/>
                <w:sz w:val="20"/>
                <w:szCs w:val="20"/>
              </w:rPr>
              <w:t>Locations of recently moving households</w:t>
            </w:r>
          </w:p>
        </w:tc>
      </w:tr>
      <w:tr w:rsidR="008F17F5" w:rsidRPr="008724E9" w14:paraId="11188EE5" w14:textId="77777777" w:rsidTr="008F17F5">
        <w:tc>
          <w:tcPr>
            <w:tcW w:w="2001" w:type="dxa"/>
            <w:gridSpan w:val="2"/>
          </w:tcPr>
          <w:p w14:paraId="0770F60D" w14:textId="77777777" w:rsidR="008F17F5" w:rsidRPr="008724E9" w:rsidRDefault="008F17F5" w:rsidP="0014104A">
            <w:pPr>
              <w:keepNext/>
              <w:widowControl w:val="0"/>
              <w:spacing w:line="300" w:lineRule="auto"/>
              <w:rPr>
                <w:rFonts w:ascii="Arial" w:hAnsi="Arial" w:cs="Arial"/>
                <w:sz w:val="20"/>
                <w:szCs w:val="20"/>
              </w:rPr>
            </w:pPr>
            <w:r w:rsidRPr="008724E9">
              <w:rPr>
                <w:rFonts w:ascii="Arial" w:hAnsi="Arial" w:cs="Arial"/>
                <w:sz w:val="20"/>
                <w:szCs w:val="20"/>
              </w:rPr>
              <w:t>Sub-area</w:t>
            </w:r>
          </w:p>
        </w:tc>
        <w:tc>
          <w:tcPr>
            <w:tcW w:w="1527" w:type="dxa"/>
          </w:tcPr>
          <w:p w14:paraId="139C0ADF" w14:textId="4F239A3B" w:rsidR="008F17F5" w:rsidRPr="008724E9" w:rsidRDefault="008F17F5" w:rsidP="0014104A">
            <w:pPr>
              <w:keepNext/>
              <w:widowControl w:val="0"/>
              <w:spacing w:line="300" w:lineRule="auto"/>
              <w:jc w:val="center"/>
              <w:rPr>
                <w:rFonts w:ascii="Arial" w:hAnsi="Arial" w:cs="Arial"/>
                <w:sz w:val="20"/>
                <w:szCs w:val="20"/>
              </w:rPr>
            </w:pPr>
            <w:r>
              <w:rPr>
                <w:rFonts w:ascii="Arial" w:hAnsi="Arial" w:cs="Arial"/>
                <w:sz w:val="20"/>
                <w:szCs w:val="20"/>
              </w:rPr>
              <w:t>Moved from within Fylde</w:t>
            </w:r>
          </w:p>
        </w:tc>
        <w:tc>
          <w:tcPr>
            <w:tcW w:w="1528" w:type="dxa"/>
          </w:tcPr>
          <w:p w14:paraId="6459BEB0" w14:textId="28F86BA3" w:rsidR="008F17F5" w:rsidRPr="008724E9" w:rsidRDefault="008F17F5" w:rsidP="0014104A">
            <w:pPr>
              <w:keepNext/>
              <w:widowControl w:val="0"/>
              <w:spacing w:line="300" w:lineRule="auto"/>
              <w:jc w:val="center"/>
              <w:rPr>
                <w:rFonts w:ascii="Arial" w:hAnsi="Arial" w:cs="Arial"/>
                <w:sz w:val="20"/>
                <w:szCs w:val="20"/>
              </w:rPr>
            </w:pPr>
            <w:r>
              <w:rPr>
                <w:rFonts w:ascii="Arial" w:hAnsi="Arial" w:cs="Arial"/>
                <w:sz w:val="20"/>
                <w:szCs w:val="20"/>
              </w:rPr>
              <w:t>Moved from outside Fylde</w:t>
            </w:r>
          </w:p>
        </w:tc>
        <w:tc>
          <w:tcPr>
            <w:tcW w:w="1527" w:type="dxa"/>
          </w:tcPr>
          <w:p w14:paraId="61F5502F" w14:textId="77777777" w:rsidR="008F17F5" w:rsidRPr="008724E9" w:rsidRDefault="008F17F5" w:rsidP="0014104A">
            <w:pPr>
              <w:keepNext/>
              <w:widowControl w:val="0"/>
              <w:spacing w:line="300" w:lineRule="auto"/>
              <w:jc w:val="center"/>
              <w:rPr>
                <w:rFonts w:ascii="Arial" w:hAnsi="Arial" w:cs="Arial"/>
                <w:sz w:val="20"/>
                <w:szCs w:val="20"/>
              </w:rPr>
            </w:pPr>
            <w:r>
              <w:rPr>
                <w:rFonts w:ascii="Arial" w:hAnsi="Arial" w:cs="Arial"/>
                <w:sz w:val="20"/>
                <w:szCs w:val="20"/>
              </w:rPr>
              <w:t>Non-movers</w:t>
            </w:r>
          </w:p>
        </w:tc>
        <w:tc>
          <w:tcPr>
            <w:tcW w:w="1528" w:type="dxa"/>
          </w:tcPr>
          <w:p w14:paraId="1B120AA5" w14:textId="77777777" w:rsidR="008F17F5" w:rsidRPr="008724E9" w:rsidRDefault="008F17F5" w:rsidP="0014104A">
            <w:pPr>
              <w:keepNext/>
              <w:widowControl w:val="0"/>
              <w:spacing w:line="300" w:lineRule="auto"/>
              <w:jc w:val="center"/>
              <w:rPr>
                <w:rFonts w:ascii="Arial" w:hAnsi="Arial" w:cs="Arial"/>
                <w:sz w:val="20"/>
                <w:szCs w:val="20"/>
              </w:rPr>
            </w:pPr>
            <w:r>
              <w:rPr>
                <w:rFonts w:ascii="Arial" w:hAnsi="Arial" w:cs="Arial"/>
                <w:sz w:val="20"/>
                <w:szCs w:val="20"/>
              </w:rPr>
              <w:t>Total</w:t>
            </w:r>
          </w:p>
        </w:tc>
        <w:tc>
          <w:tcPr>
            <w:tcW w:w="1528" w:type="dxa"/>
          </w:tcPr>
          <w:p w14:paraId="1E2F212D" w14:textId="6CE261F5" w:rsidR="008F17F5" w:rsidRPr="008724E9" w:rsidRDefault="008F17F5" w:rsidP="0014104A">
            <w:pPr>
              <w:keepNext/>
              <w:widowControl w:val="0"/>
              <w:spacing w:line="300" w:lineRule="auto"/>
              <w:jc w:val="center"/>
              <w:rPr>
                <w:rFonts w:ascii="Arial" w:hAnsi="Arial" w:cs="Arial"/>
                <w:sz w:val="20"/>
                <w:szCs w:val="20"/>
              </w:rPr>
            </w:pPr>
            <w:r>
              <w:rPr>
                <w:rFonts w:ascii="Arial" w:hAnsi="Arial" w:cs="Arial"/>
                <w:sz w:val="20"/>
                <w:szCs w:val="20"/>
              </w:rPr>
              <w:t xml:space="preserve">% of </w:t>
            </w:r>
            <w:r w:rsidR="0094079E">
              <w:rPr>
                <w:rFonts w:ascii="Arial" w:hAnsi="Arial" w:cs="Arial"/>
                <w:sz w:val="20"/>
                <w:szCs w:val="20"/>
              </w:rPr>
              <w:t>movements from outside Fylde</w:t>
            </w:r>
          </w:p>
        </w:tc>
      </w:tr>
      <w:tr w:rsidR="000342B9" w:rsidRPr="008724E9" w14:paraId="1B451115" w14:textId="77777777" w:rsidTr="000342B9">
        <w:tc>
          <w:tcPr>
            <w:tcW w:w="1455" w:type="dxa"/>
            <w:vMerge w:val="restart"/>
          </w:tcPr>
          <w:p w14:paraId="762EAEF8" w14:textId="6B4CE72D" w:rsidR="000342B9" w:rsidRPr="008724E9" w:rsidRDefault="000342B9" w:rsidP="0014104A">
            <w:pPr>
              <w:keepNext/>
              <w:spacing w:line="300" w:lineRule="auto"/>
              <w:rPr>
                <w:rFonts w:ascii="Arial" w:hAnsi="Arial" w:cs="Arial"/>
                <w:sz w:val="20"/>
                <w:szCs w:val="20"/>
              </w:rPr>
            </w:pPr>
            <w:r>
              <w:rPr>
                <w:rFonts w:ascii="Arial" w:hAnsi="Arial" w:cs="Arial"/>
                <w:sz w:val="20"/>
                <w:szCs w:val="20"/>
              </w:rPr>
              <w:t>St. Annes</w:t>
            </w:r>
          </w:p>
        </w:tc>
        <w:tc>
          <w:tcPr>
            <w:tcW w:w="546" w:type="dxa"/>
          </w:tcPr>
          <w:p w14:paraId="77FB60BE" w14:textId="77777777" w:rsidR="000342B9" w:rsidRPr="008724E9" w:rsidRDefault="000342B9" w:rsidP="00172F56">
            <w:pPr>
              <w:keepNext/>
              <w:spacing w:line="300" w:lineRule="auto"/>
              <w:rPr>
                <w:rFonts w:ascii="Arial" w:hAnsi="Arial" w:cs="Arial"/>
                <w:sz w:val="20"/>
                <w:szCs w:val="20"/>
              </w:rPr>
            </w:pPr>
            <w:r w:rsidRPr="008724E9">
              <w:rPr>
                <w:rFonts w:ascii="Arial" w:hAnsi="Arial" w:cs="Arial"/>
                <w:sz w:val="20"/>
                <w:szCs w:val="20"/>
              </w:rPr>
              <w:t>No.</w:t>
            </w:r>
          </w:p>
        </w:tc>
        <w:tc>
          <w:tcPr>
            <w:tcW w:w="1527" w:type="dxa"/>
            <w:vAlign w:val="center"/>
          </w:tcPr>
          <w:p w14:paraId="01BB5496" w14:textId="30473673"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3,136</w:t>
            </w:r>
          </w:p>
        </w:tc>
        <w:tc>
          <w:tcPr>
            <w:tcW w:w="1528" w:type="dxa"/>
            <w:vAlign w:val="center"/>
          </w:tcPr>
          <w:p w14:paraId="0AA89FD7" w14:textId="3053AD71"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2,361</w:t>
            </w:r>
          </w:p>
        </w:tc>
        <w:tc>
          <w:tcPr>
            <w:tcW w:w="1527" w:type="dxa"/>
            <w:vAlign w:val="center"/>
          </w:tcPr>
          <w:p w14:paraId="0208A812" w14:textId="2CC05221"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8,314</w:t>
            </w:r>
          </w:p>
        </w:tc>
        <w:tc>
          <w:tcPr>
            <w:tcW w:w="1528" w:type="dxa"/>
            <w:vAlign w:val="center"/>
          </w:tcPr>
          <w:p w14:paraId="21245E0C" w14:textId="6189609C"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13,811</w:t>
            </w:r>
          </w:p>
        </w:tc>
        <w:tc>
          <w:tcPr>
            <w:tcW w:w="1528" w:type="dxa"/>
            <w:vMerge w:val="restart"/>
            <w:vAlign w:val="center"/>
          </w:tcPr>
          <w:p w14:paraId="0B38C0B2" w14:textId="10388FB3"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42.9%</w:t>
            </w:r>
          </w:p>
        </w:tc>
      </w:tr>
      <w:tr w:rsidR="000342B9" w:rsidRPr="008724E9" w14:paraId="4414F7FF" w14:textId="77777777" w:rsidTr="000342B9">
        <w:tc>
          <w:tcPr>
            <w:tcW w:w="1455" w:type="dxa"/>
            <w:vMerge/>
          </w:tcPr>
          <w:p w14:paraId="43AD10BF" w14:textId="77777777" w:rsidR="000342B9" w:rsidRPr="008724E9" w:rsidRDefault="000342B9" w:rsidP="0014104A">
            <w:pPr>
              <w:keepNext/>
              <w:spacing w:line="300" w:lineRule="auto"/>
              <w:rPr>
                <w:rFonts w:ascii="Arial" w:hAnsi="Arial" w:cs="Arial"/>
                <w:sz w:val="20"/>
                <w:szCs w:val="20"/>
              </w:rPr>
            </w:pPr>
          </w:p>
        </w:tc>
        <w:tc>
          <w:tcPr>
            <w:tcW w:w="546" w:type="dxa"/>
          </w:tcPr>
          <w:p w14:paraId="6168391D" w14:textId="77777777" w:rsidR="000342B9" w:rsidRPr="008724E9" w:rsidRDefault="000342B9" w:rsidP="00172F56">
            <w:pPr>
              <w:keepNext/>
              <w:spacing w:line="300" w:lineRule="auto"/>
              <w:rPr>
                <w:rFonts w:ascii="Arial" w:hAnsi="Arial" w:cs="Arial"/>
                <w:sz w:val="20"/>
                <w:szCs w:val="20"/>
              </w:rPr>
            </w:pPr>
            <w:r w:rsidRPr="008724E9">
              <w:rPr>
                <w:rFonts w:ascii="Arial" w:hAnsi="Arial" w:cs="Arial"/>
                <w:sz w:val="20"/>
                <w:szCs w:val="20"/>
              </w:rPr>
              <w:t>%</w:t>
            </w:r>
          </w:p>
        </w:tc>
        <w:tc>
          <w:tcPr>
            <w:tcW w:w="1527" w:type="dxa"/>
            <w:vAlign w:val="center"/>
          </w:tcPr>
          <w:p w14:paraId="7664038B" w14:textId="7AEF2ABF"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22.7%</w:t>
            </w:r>
          </w:p>
        </w:tc>
        <w:tc>
          <w:tcPr>
            <w:tcW w:w="1528" w:type="dxa"/>
            <w:vAlign w:val="center"/>
          </w:tcPr>
          <w:p w14:paraId="75E8EEEB" w14:textId="147831AD"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17.1%</w:t>
            </w:r>
          </w:p>
        </w:tc>
        <w:tc>
          <w:tcPr>
            <w:tcW w:w="1527" w:type="dxa"/>
            <w:vAlign w:val="center"/>
          </w:tcPr>
          <w:p w14:paraId="04229E4B" w14:textId="10C90233"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60.2%</w:t>
            </w:r>
          </w:p>
        </w:tc>
        <w:tc>
          <w:tcPr>
            <w:tcW w:w="1528" w:type="dxa"/>
            <w:vAlign w:val="center"/>
          </w:tcPr>
          <w:p w14:paraId="3F1F4C88" w14:textId="09715AAB"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100.0%</w:t>
            </w:r>
          </w:p>
        </w:tc>
        <w:tc>
          <w:tcPr>
            <w:tcW w:w="1528" w:type="dxa"/>
            <w:vMerge/>
            <w:vAlign w:val="center"/>
          </w:tcPr>
          <w:p w14:paraId="2EC7DA78" w14:textId="77777777" w:rsidR="000342B9" w:rsidRPr="000342B9" w:rsidRDefault="000342B9" w:rsidP="0014104A">
            <w:pPr>
              <w:keepNext/>
              <w:spacing w:line="300" w:lineRule="auto"/>
              <w:jc w:val="center"/>
              <w:rPr>
                <w:rFonts w:ascii="Arial" w:hAnsi="Arial" w:cs="Arial"/>
                <w:sz w:val="20"/>
                <w:szCs w:val="20"/>
              </w:rPr>
            </w:pPr>
          </w:p>
        </w:tc>
      </w:tr>
      <w:tr w:rsidR="000342B9" w:rsidRPr="003D2556" w14:paraId="31C671CA" w14:textId="77777777" w:rsidTr="000342B9">
        <w:tc>
          <w:tcPr>
            <w:tcW w:w="1455" w:type="dxa"/>
            <w:vMerge w:val="restart"/>
          </w:tcPr>
          <w:p w14:paraId="737AD9A2" w14:textId="564C64DC" w:rsidR="000342B9" w:rsidRPr="003D2556" w:rsidRDefault="000342B9" w:rsidP="0014104A">
            <w:pPr>
              <w:keepNext/>
              <w:spacing w:line="300" w:lineRule="auto"/>
              <w:rPr>
                <w:rFonts w:ascii="Arial" w:hAnsi="Arial" w:cs="Arial"/>
                <w:sz w:val="20"/>
                <w:szCs w:val="20"/>
              </w:rPr>
            </w:pPr>
            <w:r>
              <w:rPr>
                <w:rFonts w:ascii="Arial" w:hAnsi="Arial" w:cs="Arial"/>
                <w:sz w:val="20"/>
                <w:szCs w:val="20"/>
              </w:rPr>
              <w:t>Lytham</w:t>
            </w:r>
          </w:p>
        </w:tc>
        <w:tc>
          <w:tcPr>
            <w:tcW w:w="546" w:type="dxa"/>
          </w:tcPr>
          <w:p w14:paraId="4AFC208D"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No.</w:t>
            </w:r>
          </w:p>
        </w:tc>
        <w:tc>
          <w:tcPr>
            <w:tcW w:w="1527" w:type="dxa"/>
            <w:vAlign w:val="center"/>
          </w:tcPr>
          <w:p w14:paraId="45798F13" w14:textId="670D392D"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1,919</w:t>
            </w:r>
          </w:p>
        </w:tc>
        <w:tc>
          <w:tcPr>
            <w:tcW w:w="1528" w:type="dxa"/>
            <w:vAlign w:val="center"/>
          </w:tcPr>
          <w:p w14:paraId="63729B2D" w14:textId="0F86419A"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1,322</w:t>
            </w:r>
          </w:p>
        </w:tc>
        <w:tc>
          <w:tcPr>
            <w:tcW w:w="1527" w:type="dxa"/>
            <w:vAlign w:val="center"/>
          </w:tcPr>
          <w:p w14:paraId="3EB7EDEE" w14:textId="13DB829C"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5,257</w:t>
            </w:r>
          </w:p>
        </w:tc>
        <w:tc>
          <w:tcPr>
            <w:tcW w:w="1528" w:type="dxa"/>
            <w:vAlign w:val="center"/>
          </w:tcPr>
          <w:p w14:paraId="312FA279" w14:textId="7799BC7A"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8,498</w:t>
            </w:r>
          </w:p>
        </w:tc>
        <w:tc>
          <w:tcPr>
            <w:tcW w:w="1528" w:type="dxa"/>
            <w:vMerge w:val="restart"/>
            <w:vAlign w:val="center"/>
          </w:tcPr>
          <w:p w14:paraId="0B78BBB9" w14:textId="429EE0BB"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40.8%</w:t>
            </w:r>
          </w:p>
        </w:tc>
      </w:tr>
      <w:tr w:rsidR="000342B9" w:rsidRPr="003D2556" w14:paraId="2B504DBC" w14:textId="77777777" w:rsidTr="000342B9">
        <w:tc>
          <w:tcPr>
            <w:tcW w:w="1455" w:type="dxa"/>
            <w:vMerge/>
          </w:tcPr>
          <w:p w14:paraId="25081419" w14:textId="77777777" w:rsidR="000342B9" w:rsidRPr="003D2556" w:rsidRDefault="000342B9" w:rsidP="0014104A">
            <w:pPr>
              <w:keepNext/>
              <w:spacing w:line="300" w:lineRule="auto"/>
              <w:rPr>
                <w:rFonts w:ascii="Arial" w:hAnsi="Arial" w:cs="Arial"/>
                <w:sz w:val="20"/>
                <w:szCs w:val="20"/>
              </w:rPr>
            </w:pPr>
          </w:p>
        </w:tc>
        <w:tc>
          <w:tcPr>
            <w:tcW w:w="546" w:type="dxa"/>
          </w:tcPr>
          <w:p w14:paraId="41F7C206"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w:t>
            </w:r>
          </w:p>
        </w:tc>
        <w:tc>
          <w:tcPr>
            <w:tcW w:w="1527" w:type="dxa"/>
            <w:vAlign w:val="center"/>
          </w:tcPr>
          <w:p w14:paraId="58DB29D5" w14:textId="43EB5ECE"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22.6%</w:t>
            </w:r>
          </w:p>
        </w:tc>
        <w:tc>
          <w:tcPr>
            <w:tcW w:w="1528" w:type="dxa"/>
            <w:vAlign w:val="center"/>
          </w:tcPr>
          <w:p w14:paraId="6AE0BF6C" w14:textId="32CA762A"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15.6%</w:t>
            </w:r>
          </w:p>
        </w:tc>
        <w:tc>
          <w:tcPr>
            <w:tcW w:w="1527" w:type="dxa"/>
            <w:vAlign w:val="center"/>
          </w:tcPr>
          <w:p w14:paraId="4B1C736B" w14:textId="2CF6837D"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61.9%</w:t>
            </w:r>
          </w:p>
        </w:tc>
        <w:tc>
          <w:tcPr>
            <w:tcW w:w="1528" w:type="dxa"/>
            <w:vAlign w:val="center"/>
          </w:tcPr>
          <w:p w14:paraId="1D8499FA" w14:textId="2BBE29C8"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100.0%</w:t>
            </w:r>
          </w:p>
        </w:tc>
        <w:tc>
          <w:tcPr>
            <w:tcW w:w="1528" w:type="dxa"/>
            <w:vMerge/>
            <w:vAlign w:val="center"/>
          </w:tcPr>
          <w:p w14:paraId="0313D7F4" w14:textId="77777777" w:rsidR="000342B9" w:rsidRPr="000342B9" w:rsidRDefault="000342B9" w:rsidP="0014104A">
            <w:pPr>
              <w:keepNext/>
              <w:spacing w:line="300" w:lineRule="auto"/>
              <w:jc w:val="center"/>
              <w:rPr>
                <w:rFonts w:ascii="Arial" w:hAnsi="Arial" w:cs="Arial"/>
                <w:sz w:val="20"/>
                <w:szCs w:val="20"/>
              </w:rPr>
            </w:pPr>
          </w:p>
        </w:tc>
      </w:tr>
      <w:tr w:rsidR="000342B9" w:rsidRPr="003D2556" w14:paraId="34F814B1" w14:textId="77777777" w:rsidTr="000342B9">
        <w:tc>
          <w:tcPr>
            <w:tcW w:w="1455" w:type="dxa"/>
            <w:vMerge w:val="restart"/>
          </w:tcPr>
          <w:p w14:paraId="42C2F194" w14:textId="13398067" w:rsidR="000342B9" w:rsidRPr="003D2556" w:rsidRDefault="000342B9" w:rsidP="0014104A">
            <w:pPr>
              <w:keepNext/>
              <w:spacing w:line="300" w:lineRule="auto"/>
              <w:rPr>
                <w:rFonts w:ascii="Arial" w:hAnsi="Arial" w:cs="Arial"/>
                <w:color w:val="000000"/>
                <w:sz w:val="20"/>
                <w:szCs w:val="20"/>
              </w:rPr>
            </w:pPr>
            <w:r>
              <w:rPr>
                <w:rFonts w:ascii="Arial" w:hAnsi="Arial" w:cs="Arial"/>
                <w:color w:val="000000"/>
                <w:sz w:val="20"/>
                <w:szCs w:val="20"/>
              </w:rPr>
              <w:t>Warton</w:t>
            </w:r>
          </w:p>
        </w:tc>
        <w:tc>
          <w:tcPr>
            <w:tcW w:w="546" w:type="dxa"/>
          </w:tcPr>
          <w:p w14:paraId="4BBA81CC"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No.</w:t>
            </w:r>
          </w:p>
        </w:tc>
        <w:tc>
          <w:tcPr>
            <w:tcW w:w="1527" w:type="dxa"/>
            <w:vAlign w:val="center"/>
          </w:tcPr>
          <w:p w14:paraId="4D125071" w14:textId="2625CF10"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522</w:t>
            </w:r>
          </w:p>
        </w:tc>
        <w:tc>
          <w:tcPr>
            <w:tcW w:w="1528" w:type="dxa"/>
            <w:vAlign w:val="center"/>
          </w:tcPr>
          <w:p w14:paraId="52A4D704" w14:textId="005E6FEC"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533</w:t>
            </w:r>
          </w:p>
        </w:tc>
        <w:tc>
          <w:tcPr>
            <w:tcW w:w="1527" w:type="dxa"/>
            <w:vAlign w:val="center"/>
          </w:tcPr>
          <w:p w14:paraId="18D997BC" w14:textId="72B30B92"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1,089</w:t>
            </w:r>
          </w:p>
        </w:tc>
        <w:tc>
          <w:tcPr>
            <w:tcW w:w="1528" w:type="dxa"/>
            <w:vAlign w:val="center"/>
          </w:tcPr>
          <w:p w14:paraId="6E9ED49F" w14:textId="14D233C2"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2,144</w:t>
            </w:r>
          </w:p>
        </w:tc>
        <w:tc>
          <w:tcPr>
            <w:tcW w:w="1528" w:type="dxa"/>
            <w:vMerge w:val="restart"/>
            <w:vAlign w:val="center"/>
          </w:tcPr>
          <w:p w14:paraId="5E4FC2FC" w14:textId="00A7F1A1"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50.5%</w:t>
            </w:r>
          </w:p>
        </w:tc>
      </w:tr>
      <w:tr w:rsidR="000342B9" w:rsidRPr="003D2556" w14:paraId="432A90D6" w14:textId="77777777" w:rsidTr="000342B9">
        <w:tc>
          <w:tcPr>
            <w:tcW w:w="1455" w:type="dxa"/>
            <w:vMerge/>
          </w:tcPr>
          <w:p w14:paraId="2C3E874B" w14:textId="77777777" w:rsidR="000342B9" w:rsidRPr="003D2556" w:rsidRDefault="000342B9" w:rsidP="0014104A">
            <w:pPr>
              <w:keepNext/>
              <w:spacing w:line="300" w:lineRule="auto"/>
              <w:rPr>
                <w:rFonts w:ascii="Arial" w:hAnsi="Arial" w:cs="Arial"/>
                <w:color w:val="000000"/>
                <w:sz w:val="20"/>
                <w:szCs w:val="20"/>
              </w:rPr>
            </w:pPr>
          </w:p>
        </w:tc>
        <w:tc>
          <w:tcPr>
            <w:tcW w:w="546" w:type="dxa"/>
          </w:tcPr>
          <w:p w14:paraId="75D91C8A"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w:t>
            </w:r>
          </w:p>
        </w:tc>
        <w:tc>
          <w:tcPr>
            <w:tcW w:w="1527" w:type="dxa"/>
            <w:vAlign w:val="center"/>
          </w:tcPr>
          <w:p w14:paraId="2528C13C" w14:textId="411F2BE4"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24.3%</w:t>
            </w:r>
          </w:p>
        </w:tc>
        <w:tc>
          <w:tcPr>
            <w:tcW w:w="1528" w:type="dxa"/>
            <w:vAlign w:val="center"/>
          </w:tcPr>
          <w:p w14:paraId="2789F23D" w14:textId="30947714"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24.9%</w:t>
            </w:r>
          </w:p>
        </w:tc>
        <w:tc>
          <w:tcPr>
            <w:tcW w:w="1527" w:type="dxa"/>
            <w:vAlign w:val="center"/>
          </w:tcPr>
          <w:p w14:paraId="721EE706" w14:textId="4F44F1B8"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50.8%</w:t>
            </w:r>
          </w:p>
        </w:tc>
        <w:tc>
          <w:tcPr>
            <w:tcW w:w="1528" w:type="dxa"/>
            <w:vAlign w:val="center"/>
          </w:tcPr>
          <w:p w14:paraId="2691BB5B" w14:textId="6B3FDC7E"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100.0%</w:t>
            </w:r>
          </w:p>
        </w:tc>
        <w:tc>
          <w:tcPr>
            <w:tcW w:w="1528" w:type="dxa"/>
            <w:vMerge/>
            <w:vAlign w:val="center"/>
          </w:tcPr>
          <w:p w14:paraId="3FCD545F" w14:textId="77777777" w:rsidR="000342B9" w:rsidRPr="000342B9" w:rsidRDefault="000342B9" w:rsidP="0014104A">
            <w:pPr>
              <w:keepNext/>
              <w:spacing w:line="300" w:lineRule="auto"/>
              <w:jc w:val="center"/>
              <w:rPr>
                <w:rFonts w:ascii="Arial" w:hAnsi="Arial" w:cs="Arial"/>
                <w:sz w:val="20"/>
                <w:szCs w:val="20"/>
              </w:rPr>
            </w:pPr>
          </w:p>
        </w:tc>
      </w:tr>
      <w:tr w:rsidR="000342B9" w:rsidRPr="003D2556" w14:paraId="1745C6B4" w14:textId="77777777" w:rsidTr="000342B9">
        <w:tc>
          <w:tcPr>
            <w:tcW w:w="1455" w:type="dxa"/>
            <w:vMerge w:val="restart"/>
          </w:tcPr>
          <w:p w14:paraId="530330CA" w14:textId="2E09B62A" w:rsidR="000342B9" w:rsidRPr="003D2556" w:rsidRDefault="00432414" w:rsidP="0014104A">
            <w:pPr>
              <w:keepNext/>
              <w:spacing w:line="300" w:lineRule="auto"/>
              <w:rPr>
                <w:rFonts w:ascii="Arial" w:hAnsi="Arial" w:cs="Arial"/>
                <w:color w:val="000000"/>
                <w:sz w:val="20"/>
                <w:szCs w:val="20"/>
              </w:rPr>
            </w:pPr>
            <w:r>
              <w:rPr>
                <w:rFonts w:ascii="Arial" w:hAnsi="Arial" w:cs="Arial"/>
                <w:color w:val="000000"/>
                <w:sz w:val="20"/>
                <w:szCs w:val="20"/>
              </w:rPr>
              <w:t>Fylde</w:t>
            </w:r>
            <w:r w:rsidR="000342B9">
              <w:rPr>
                <w:rFonts w:ascii="Arial" w:hAnsi="Arial" w:cs="Arial"/>
                <w:color w:val="000000"/>
                <w:sz w:val="20"/>
                <w:szCs w:val="20"/>
              </w:rPr>
              <w:t>-BP Periphery</w:t>
            </w:r>
          </w:p>
        </w:tc>
        <w:tc>
          <w:tcPr>
            <w:tcW w:w="546" w:type="dxa"/>
          </w:tcPr>
          <w:p w14:paraId="3C73A76D"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No.</w:t>
            </w:r>
          </w:p>
        </w:tc>
        <w:tc>
          <w:tcPr>
            <w:tcW w:w="1527" w:type="dxa"/>
            <w:vAlign w:val="center"/>
          </w:tcPr>
          <w:p w14:paraId="3BEAC59B" w14:textId="2F01EA0D"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341</w:t>
            </w:r>
          </w:p>
        </w:tc>
        <w:tc>
          <w:tcPr>
            <w:tcW w:w="1528" w:type="dxa"/>
            <w:vAlign w:val="center"/>
          </w:tcPr>
          <w:p w14:paraId="38ABB050" w14:textId="06390817"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415</w:t>
            </w:r>
          </w:p>
        </w:tc>
        <w:tc>
          <w:tcPr>
            <w:tcW w:w="1527" w:type="dxa"/>
            <w:vAlign w:val="center"/>
          </w:tcPr>
          <w:p w14:paraId="2D97C135" w14:textId="4909CF24"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374</w:t>
            </w:r>
          </w:p>
        </w:tc>
        <w:tc>
          <w:tcPr>
            <w:tcW w:w="1528" w:type="dxa"/>
            <w:vAlign w:val="center"/>
          </w:tcPr>
          <w:p w14:paraId="31DBE76B" w14:textId="2C8E216D"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1,129</w:t>
            </w:r>
          </w:p>
        </w:tc>
        <w:tc>
          <w:tcPr>
            <w:tcW w:w="1528" w:type="dxa"/>
            <w:vMerge w:val="restart"/>
            <w:vAlign w:val="center"/>
          </w:tcPr>
          <w:p w14:paraId="5C49D38E" w14:textId="2F07FBAE"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54.9%</w:t>
            </w:r>
          </w:p>
        </w:tc>
      </w:tr>
      <w:tr w:rsidR="000342B9" w:rsidRPr="003D2556" w14:paraId="3362A970" w14:textId="77777777" w:rsidTr="000342B9">
        <w:tc>
          <w:tcPr>
            <w:tcW w:w="1455" w:type="dxa"/>
            <w:vMerge/>
          </w:tcPr>
          <w:p w14:paraId="6AE4B23E" w14:textId="77777777" w:rsidR="000342B9" w:rsidRPr="003D2556" w:rsidRDefault="000342B9" w:rsidP="0014104A">
            <w:pPr>
              <w:keepNext/>
              <w:spacing w:line="300" w:lineRule="auto"/>
              <w:rPr>
                <w:rFonts w:ascii="Arial" w:hAnsi="Arial" w:cs="Arial"/>
                <w:color w:val="000000"/>
                <w:sz w:val="20"/>
                <w:szCs w:val="20"/>
              </w:rPr>
            </w:pPr>
          </w:p>
        </w:tc>
        <w:tc>
          <w:tcPr>
            <w:tcW w:w="546" w:type="dxa"/>
          </w:tcPr>
          <w:p w14:paraId="6296DFF8"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w:t>
            </w:r>
          </w:p>
        </w:tc>
        <w:tc>
          <w:tcPr>
            <w:tcW w:w="1527" w:type="dxa"/>
            <w:vAlign w:val="center"/>
          </w:tcPr>
          <w:p w14:paraId="511B1937" w14:textId="4F707B59"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30.2%</w:t>
            </w:r>
          </w:p>
        </w:tc>
        <w:tc>
          <w:tcPr>
            <w:tcW w:w="1528" w:type="dxa"/>
            <w:vAlign w:val="center"/>
          </w:tcPr>
          <w:p w14:paraId="17A330F1" w14:textId="042CFFCD"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36.7%</w:t>
            </w:r>
          </w:p>
        </w:tc>
        <w:tc>
          <w:tcPr>
            <w:tcW w:w="1527" w:type="dxa"/>
            <w:vAlign w:val="center"/>
          </w:tcPr>
          <w:p w14:paraId="6A995ED9" w14:textId="2BC99974"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33.1%</w:t>
            </w:r>
          </w:p>
        </w:tc>
        <w:tc>
          <w:tcPr>
            <w:tcW w:w="1528" w:type="dxa"/>
            <w:vAlign w:val="center"/>
          </w:tcPr>
          <w:p w14:paraId="18D887BF" w14:textId="4BB03296"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100.0%</w:t>
            </w:r>
          </w:p>
        </w:tc>
        <w:tc>
          <w:tcPr>
            <w:tcW w:w="1528" w:type="dxa"/>
            <w:vMerge/>
            <w:vAlign w:val="center"/>
          </w:tcPr>
          <w:p w14:paraId="45DC66DB" w14:textId="77777777" w:rsidR="000342B9" w:rsidRPr="000342B9" w:rsidRDefault="000342B9" w:rsidP="0014104A">
            <w:pPr>
              <w:keepNext/>
              <w:spacing w:line="300" w:lineRule="auto"/>
              <w:jc w:val="center"/>
              <w:rPr>
                <w:rFonts w:ascii="Arial" w:hAnsi="Arial" w:cs="Arial"/>
                <w:sz w:val="20"/>
                <w:szCs w:val="20"/>
              </w:rPr>
            </w:pPr>
          </w:p>
        </w:tc>
      </w:tr>
      <w:tr w:rsidR="000342B9" w:rsidRPr="003D2556" w14:paraId="14BA3AA3" w14:textId="77777777" w:rsidTr="000342B9">
        <w:tc>
          <w:tcPr>
            <w:tcW w:w="1455" w:type="dxa"/>
            <w:vMerge w:val="restart"/>
          </w:tcPr>
          <w:p w14:paraId="6B0B0B45" w14:textId="5F8B30B9" w:rsidR="000342B9" w:rsidRPr="003D2556" w:rsidRDefault="000342B9" w:rsidP="0014104A">
            <w:pPr>
              <w:keepNext/>
              <w:spacing w:line="300" w:lineRule="auto"/>
              <w:rPr>
                <w:rFonts w:ascii="Arial" w:hAnsi="Arial" w:cs="Arial"/>
                <w:color w:val="000000"/>
                <w:sz w:val="20"/>
                <w:szCs w:val="20"/>
              </w:rPr>
            </w:pPr>
            <w:r>
              <w:rPr>
                <w:rFonts w:ascii="Arial" w:hAnsi="Arial" w:cs="Arial"/>
                <w:color w:val="000000"/>
                <w:sz w:val="20"/>
                <w:szCs w:val="20"/>
              </w:rPr>
              <w:t>Kirkham</w:t>
            </w:r>
          </w:p>
        </w:tc>
        <w:tc>
          <w:tcPr>
            <w:tcW w:w="546" w:type="dxa"/>
          </w:tcPr>
          <w:p w14:paraId="21BC5140"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No.</w:t>
            </w:r>
          </w:p>
        </w:tc>
        <w:tc>
          <w:tcPr>
            <w:tcW w:w="1527" w:type="dxa"/>
            <w:vAlign w:val="center"/>
          </w:tcPr>
          <w:p w14:paraId="5085CF67" w14:textId="056ED724"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658</w:t>
            </w:r>
          </w:p>
        </w:tc>
        <w:tc>
          <w:tcPr>
            <w:tcW w:w="1528" w:type="dxa"/>
            <w:vAlign w:val="center"/>
          </w:tcPr>
          <w:p w14:paraId="38728360" w14:textId="22CFD735"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368</w:t>
            </w:r>
          </w:p>
        </w:tc>
        <w:tc>
          <w:tcPr>
            <w:tcW w:w="1527" w:type="dxa"/>
            <w:vAlign w:val="center"/>
          </w:tcPr>
          <w:p w14:paraId="1C26D55D" w14:textId="349D1B91"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2,260</w:t>
            </w:r>
          </w:p>
        </w:tc>
        <w:tc>
          <w:tcPr>
            <w:tcW w:w="1528" w:type="dxa"/>
            <w:vAlign w:val="center"/>
          </w:tcPr>
          <w:p w14:paraId="18D4224F" w14:textId="0B2242EC"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3,285</w:t>
            </w:r>
          </w:p>
        </w:tc>
        <w:tc>
          <w:tcPr>
            <w:tcW w:w="1528" w:type="dxa"/>
            <w:vMerge w:val="restart"/>
            <w:vAlign w:val="center"/>
          </w:tcPr>
          <w:p w14:paraId="1D34FC28" w14:textId="4C084CC1"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35.9%</w:t>
            </w:r>
          </w:p>
        </w:tc>
      </w:tr>
      <w:tr w:rsidR="000342B9" w:rsidRPr="003D2556" w14:paraId="1FDB0EC8" w14:textId="77777777" w:rsidTr="000342B9">
        <w:tc>
          <w:tcPr>
            <w:tcW w:w="1455" w:type="dxa"/>
            <w:vMerge/>
          </w:tcPr>
          <w:p w14:paraId="47684A38" w14:textId="77777777" w:rsidR="000342B9" w:rsidRPr="003D2556" w:rsidRDefault="000342B9" w:rsidP="0014104A">
            <w:pPr>
              <w:keepNext/>
              <w:spacing w:line="300" w:lineRule="auto"/>
              <w:rPr>
                <w:rFonts w:ascii="Arial" w:hAnsi="Arial" w:cs="Arial"/>
                <w:color w:val="000000"/>
                <w:sz w:val="20"/>
                <w:szCs w:val="20"/>
              </w:rPr>
            </w:pPr>
          </w:p>
        </w:tc>
        <w:tc>
          <w:tcPr>
            <w:tcW w:w="546" w:type="dxa"/>
          </w:tcPr>
          <w:p w14:paraId="06F4195E"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w:t>
            </w:r>
          </w:p>
        </w:tc>
        <w:tc>
          <w:tcPr>
            <w:tcW w:w="1527" w:type="dxa"/>
            <w:vAlign w:val="center"/>
          </w:tcPr>
          <w:p w14:paraId="5D7DE883" w14:textId="626682AB"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20.0%</w:t>
            </w:r>
          </w:p>
        </w:tc>
        <w:tc>
          <w:tcPr>
            <w:tcW w:w="1528" w:type="dxa"/>
            <w:vAlign w:val="center"/>
          </w:tcPr>
          <w:p w14:paraId="424DE0BA" w14:textId="21C7BA4B"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11.2%</w:t>
            </w:r>
          </w:p>
        </w:tc>
        <w:tc>
          <w:tcPr>
            <w:tcW w:w="1527" w:type="dxa"/>
            <w:vAlign w:val="center"/>
          </w:tcPr>
          <w:p w14:paraId="40B31211" w14:textId="42AEAD15"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68.8%</w:t>
            </w:r>
          </w:p>
        </w:tc>
        <w:tc>
          <w:tcPr>
            <w:tcW w:w="1528" w:type="dxa"/>
            <w:vAlign w:val="center"/>
          </w:tcPr>
          <w:p w14:paraId="30C8EF7E" w14:textId="34EEF686"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100.0%</w:t>
            </w:r>
          </w:p>
        </w:tc>
        <w:tc>
          <w:tcPr>
            <w:tcW w:w="1528" w:type="dxa"/>
            <w:vMerge/>
            <w:vAlign w:val="center"/>
          </w:tcPr>
          <w:p w14:paraId="27987C08" w14:textId="77777777" w:rsidR="000342B9" w:rsidRPr="000342B9" w:rsidRDefault="000342B9" w:rsidP="0014104A">
            <w:pPr>
              <w:keepNext/>
              <w:spacing w:line="300" w:lineRule="auto"/>
              <w:jc w:val="center"/>
              <w:rPr>
                <w:rFonts w:ascii="Arial" w:hAnsi="Arial" w:cs="Arial"/>
                <w:sz w:val="20"/>
                <w:szCs w:val="20"/>
              </w:rPr>
            </w:pPr>
          </w:p>
        </w:tc>
      </w:tr>
      <w:tr w:rsidR="000342B9" w:rsidRPr="003D2556" w14:paraId="5F78E867" w14:textId="77777777" w:rsidTr="000342B9">
        <w:tc>
          <w:tcPr>
            <w:tcW w:w="1455" w:type="dxa"/>
            <w:vMerge w:val="restart"/>
          </w:tcPr>
          <w:p w14:paraId="31D2DA43" w14:textId="0F600CF4" w:rsidR="000342B9" w:rsidRPr="003D2556" w:rsidRDefault="000342B9" w:rsidP="0014104A">
            <w:pPr>
              <w:keepNext/>
              <w:spacing w:line="300" w:lineRule="auto"/>
              <w:rPr>
                <w:rFonts w:ascii="Arial" w:hAnsi="Arial" w:cs="Arial"/>
                <w:sz w:val="20"/>
                <w:szCs w:val="20"/>
              </w:rPr>
            </w:pPr>
            <w:r>
              <w:rPr>
                <w:rFonts w:ascii="Arial" w:hAnsi="Arial" w:cs="Arial"/>
                <w:sz w:val="20"/>
                <w:szCs w:val="20"/>
              </w:rPr>
              <w:t>Wesham</w:t>
            </w:r>
          </w:p>
        </w:tc>
        <w:tc>
          <w:tcPr>
            <w:tcW w:w="546" w:type="dxa"/>
          </w:tcPr>
          <w:p w14:paraId="010BFA62"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No.</w:t>
            </w:r>
          </w:p>
        </w:tc>
        <w:tc>
          <w:tcPr>
            <w:tcW w:w="1527" w:type="dxa"/>
            <w:vAlign w:val="center"/>
          </w:tcPr>
          <w:p w14:paraId="4391445D" w14:textId="5D2CED0F"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387</w:t>
            </w:r>
          </w:p>
        </w:tc>
        <w:tc>
          <w:tcPr>
            <w:tcW w:w="1528" w:type="dxa"/>
            <w:vAlign w:val="center"/>
          </w:tcPr>
          <w:p w14:paraId="36F8778F" w14:textId="5480476F"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370</w:t>
            </w:r>
          </w:p>
        </w:tc>
        <w:tc>
          <w:tcPr>
            <w:tcW w:w="1527" w:type="dxa"/>
            <w:vAlign w:val="center"/>
          </w:tcPr>
          <w:p w14:paraId="750F6ABC" w14:textId="59E3F87B"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1,185</w:t>
            </w:r>
          </w:p>
        </w:tc>
        <w:tc>
          <w:tcPr>
            <w:tcW w:w="1528" w:type="dxa"/>
            <w:vAlign w:val="center"/>
          </w:tcPr>
          <w:p w14:paraId="6B7E9A91" w14:textId="08825578"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1,942</w:t>
            </w:r>
          </w:p>
        </w:tc>
        <w:tc>
          <w:tcPr>
            <w:tcW w:w="1528" w:type="dxa"/>
            <w:vMerge w:val="restart"/>
            <w:vAlign w:val="center"/>
          </w:tcPr>
          <w:p w14:paraId="72FC98A5" w14:textId="486F3FEB"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48.8%</w:t>
            </w:r>
          </w:p>
        </w:tc>
      </w:tr>
      <w:tr w:rsidR="000342B9" w:rsidRPr="003D2556" w14:paraId="21CB1845" w14:textId="77777777" w:rsidTr="000342B9">
        <w:tc>
          <w:tcPr>
            <w:tcW w:w="1455" w:type="dxa"/>
            <w:vMerge/>
          </w:tcPr>
          <w:p w14:paraId="3C789800" w14:textId="77777777" w:rsidR="000342B9" w:rsidRPr="003D2556" w:rsidRDefault="000342B9" w:rsidP="0014104A">
            <w:pPr>
              <w:keepNext/>
              <w:spacing w:line="300" w:lineRule="auto"/>
              <w:rPr>
                <w:rFonts w:ascii="Arial" w:hAnsi="Arial" w:cs="Arial"/>
                <w:sz w:val="20"/>
                <w:szCs w:val="20"/>
              </w:rPr>
            </w:pPr>
          </w:p>
        </w:tc>
        <w:tc>
          <w:tcPr>
            <w:tcW w:w="546" w:type="dxa"/>
          </w:tcPr>
          <w:p w14:paraId="796C1702"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w:t>
            </w:r>
          </w:p>
        </w:tc>
        <w:tc>
          <w:tcPr>
            <w:tcW w:w="1527" w:type="dxa"/>
            <w:vAlign w:val="center"/>
          </w:tcPr>
          <w:p w14:paraId="42BB8DDB" w14:textId="57783ADD"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19.9%</w:t>
            </w:r>
          </w:p>
        </w:tc>
        <w:tc>
          <w:tcPr>
            <w:tcW w:w="1528" w:type="dxa"/>
            <w:vAlign w:val="center"/>
          </w:tcPr>
          <w:p w14:paraId="303DD437" w14:textId="036A83B3"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19.0%</w:t>
            </w:r>
          </w:p>
        </w:tc>
        <w:tc>
          <w:tcPr>
            <w:tcW w:w="1527" w:type="dxa"/>
            <w:vAlign w:val="center"/>
          </w:tcPr>
          <w:p w14:paraId="4F030AA9" w14:textId="62A6C754"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61.0%</w:t>
            </w:r>
          </w:p>
        </w:tc>
        <w:tc>
          <w:tcPr>
            <w:tcW w:w="1528" w:type="dxa"/>
            <w:vAlign w:val="center"/>
          </w:tcPr>
          <w:p w14:paraId="42BCD694" w14:textId="4D2AF1CF"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100.0%</w:t>
            </w:r>
          </w:p>
        </w:tc>
        <w:tc>
          <w:tcPr>
            <w:tcW w:w="1528" w:type="dxa"/>
            <w:vMerge/>
            <w:vAlign w:val="center"/>
          </w:tcPr>
          <w:p w14:paraId="6180B5CB" w14:textId="77777777" w:rsidR="000342B9" w:rsidRPr="000342B9" w:rsidRDefault="000342B9" w:rsidP="0014104A">
            <w:pPr>
              <w:keepNext/>
              <w:spacing w:line="300" w:lineRule="auto"/>
              <w:jc w:val="center"/>
              <w:rPr>
                <w:rFonts w:ascii="Arial" w:hAnsi="Arial" w:cs="Arial"/>
                <w:sz w:val="20"/>
                <w:szCs w:val="20"/>
              </w:rPr>
            </w:pPr>
          </w:p>
        </w:tc>
      </w:tr>
      <w:tr w:rsidR="000342B9" w:rsidRPr="003D2556" w14:paraId="6612510C" w14:textId="77777777" w:rsidTr="000342B9">
        <w:tc>
          <w:tcPr>
            <w:tcW w:w="1455" w:type="dxa"/>
            <w:vMerge w:val="restart"/>
          </w:tcPr>
          <w:p w14:paraId="076EDBA6" w14:textId="67E4EA47" w:rsidR="000342B9" w:rsidRPr="003D2556" w:rsidRDefault="000342B9" w:rsidP="0014104A">
            <w:pPr>
              <w:keepNext/>
              <w:spacing w:line="300" w:lineRule="auto"/>
              <w:rPr>
                <w:rFonts w:ascii="Arial" w:hAnsi="Arial" w:cs="Arial"/>
                <w:sz w:val="20"/>
                <w:szCs w:val="20"/>
              </w:rPr>
            </w:pPr>
            <w:r>
              <w:rPr>
                <w:rFonts w:ascii="Arial" w:hAnsi="Arial" w:cs="Arial"/>
                <w:sz w:val="20"/>
                <w:szCs w:val="20"/>
              </w:rPr>
              <w:t>Freckleton</w:t>
            </w:r>
          </w:p>
        </w:tc>
        <w:tc>
          <w:tcPr>
            <w:tcW w:w="546" w:type="dxa"/>
          </w:tcPr>
          <w:p w14:paraId="42ED14D8"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No.</w:t>
            </w:r>
          </w:p>
        </w:tc>
        <w:tc>
          <w:tcPr>
            <w:tcW w:w="1527" w:type="dxa"/>
            <w:vAlign w:val="center"/>
          </w:tcPr>
          <w:p w14:paraId="1C457C63" w14:textId="19BEEAA6"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483</w:t>
            </w:r>
          </w:p>
        </w:tc>
        <w:tc>
          <w:tcPr>
            <w:tcW w:w="1528" w:type="dxa"/>
            <w:vAlign w:val="center"/>
          </w:tcPr>
          <w:p w14:paraId="30C1943E" w14:textId="4C701E23"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387</w:t>
            </w:r>
          </w:p>
        </w:tc>
        <w:tc>
          <w:tcPr>
            <w:tcW w:w="1527" w:type="dxa"/>
            <w:vAlign w:val="center"/>
          </w:tcPr>
          <w:p w14:paraId="0D60E3CC" w14:textId="4CA05D30"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1,808</w:t>
            </w:r>
          </w:p>
        </w:tc>
        <w:tc>
          <w:tcPr>
            <w:tcW w:w="1528" w:type="dxa"/>
            <w:vAlign w:val="center"/>
          </w:tcPr>
          <w:p w14:paraId="590FB158" w14:textId="5E20279E"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2,678</w:t>
            </w:r>
          </w:p>
        </w:tc>
        <w:tc>
          <w:tcPr>
            <w:tcW w:w="1528" w:type="dxa"/>
            <w:vMerge w:val="restart"/>
            <w:vAlign w:val="center"/>
          </w:tcPr>
          <w:p w14:paraId="4A136B90" w14:textId="277D79AF"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44.5%</w:t>
            </w:r>
          </w:p>
        </w:tc>
      </w:tr>
      <w:tr w:rsidR="000342B9" w:rsidRPr="003D2556" w14:paraId="0F13DF71" w14:textId="77777777" w:rsidTr="000342B9">
        <w:tc>
          <w:tcPr>
            <w:tcW w:w="1455" w:type="dxa"/>
            <w:vMerge/>
          </w:tcPr>
          <w:p w14:paraId="67BC1C1D" w14:textId="77777777" w:rsidR="000342B9" w:rsidRPr="003D2556" w:rsidRDefault="000342B9" w:rsidP="0014104A">
            <w:pPr>
              <w:keepNext/>
              <w:spacing w:line="300" w:lineRule="auto"/>
              <w:rPr>
                <w:rFonts w:ascii="Arial" w:hAnsi="Arial" w:cs="Arial"/>
                <w:sz w:val="20"/>
                <w:szCs w:val="20"/>
              </w:rPr>
            </w:pPr>
          </w:p>
        </w:tc>
        <w:tc>
          <w:tcPr>
            <w:tcW w:w="546" w:type="dxa"/>
          </w:tcPr>
          <w:p w14:paraId="368F6DCF"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w:t>
            </w:r>
          </w:p>
        </w:tc>
        <w:tc>
          <w:tcPr>
            <w:tcW w:w="1527" w:type="dxa"/>
            <w:vAlign w:val="center"/>
          </w:tcPr>
          <w:p w14:paraId="37747FE8" w14:textId="216014F9"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18.0%</w:t>
            </w:r>
          </w:p>
        </w:tc>
        <w:tc>
          <w:tcPr>
            <w:tcW w:w="1528" w:type="dxa"/>
            <w:vAlign w:val="center"/>
          </w:tcPr>
          <w:p w14:paraId="0B5BBBBB" w14:textId="77CDAFD2"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14.5%</w:t>
            </w:r>
          </w:p>
        </w:tc>
        <w:tc>
          <w:tcPr>
            <w:tcW w:w="1527" w:type="dxa"/>
            <w:vAlign w:val="center"/>
          </w:tcPr>
          <w:p w14:paraId="593D9D3E" w14:textId="0F55B7B2"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67.5%</w:t>
            </w:r>
          </w:p>
        </w:tc>
        <w:tc>
          <w:tcPr>
            <w:tcW w:w="1528" w:type="dxa"/>
            <w:vAlign w:val="center"/>
          </w:tcPr>
          <w:p w14:paraId="2BC64916" w14:textId="2EB6C6D8"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100.0%</w:t>
            </w:r>
          </w:p>
        </w:tc>
        <w:tc>
          <w:tcPr>
            <w:tcW w:w="1528" w:type="dxa"/>
            <w:vMerge/>
            <w:vAlign w:val="center"/>
          </w:tcPr>
          <w:p w14:paraId="70EEAA9B" w14:textId="77777777" w:rsidR="000342B9" w:rsidRPr="000342B9" w:rsidRDefault="000342B9" w:rsidP="0014104A">
            <w:pPr>
              <w:keepNext/>
              <w:spacing w:line="300" w:lineRule="auto"/>
              <w:jc w:val="center"/>
              <w:rPr>
                <w:rFonts w:ascii="Arial" w:hAnsi="Arial" w:cs="Arial"/>
                <w:sz w:val="20"/>
                <w:szCs w:val="20"/>
              </w:rPr>
            </w:pPr>
          </w:p>
        </w:tc>
      </w:tr>
      <w:tr w:rsidR="000342B9" w:rsidRPr="003D2556" w14:paraId="4B797E2D" w14:textId="77777777" w:rsidTr="000342B9">
        <w:tc>
          <w:tcPr>
            <w:tcW w:w="1455" w:type="dxa"/>
            <w:vMerge w:val="restart"/>
          </w:tcPr>
          <w:p w14:paraId="086FB185" w14:textId="6F457151" w:rsidR="000342B9" w:rsidRPr="003D2556" w:rsidRDefault="000342B9" w:rsidP="0014104A">
            <w:pPr>
              <w:keepNext/>
              <w:spacing w:line="300" w:lineRule="auto"/>
              <w:rPr>
                <w:rFonts w:ascii="Arial" w:hAnsi="Arial" w:cs="Arial"/>
                <w:sz w:val="20"/>
                <w:szCs w:val="20"/>
              </w:rPr>
            </w:pPr>
            <w:r>
              <w:rPr>
                <w:rFonts w:ascii="Arial" w:hAnsi="Arial" w:cs="Arial"/>
                <w:sz w:val="20"/>
                <w:szCs w:val="20"/>
              </w:rPr>
              <w:t>Rural North</w:t>
            </w:r>
          </w:p>
        </w:tc>
        <w:tc>
          <w:tcPr>
            <w:tcW w:w="546" w:type="dxa"/>
          </w:tcPr>
          <w:p w14:paraId="3FF9E906"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No.</w:t>
            </w:r>
          </w:p>
        </w:tc>
        <w:tc>
          <w:tcPr>
            <w:tcW w:w="1527" w:type="dxa"/>
            <w:vAlign w:val="center"/>
          </w:tcPr>
          <w:p w14:paraId="716D5D60" w14:textId="049483C5"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267</w:t>
            </w:r>
          </w:p>
        </w:tc>
        <w:tc>
          <w:tcPr>
            <w:tcW w:w="1528" w:type="dxa"/>
            <w:vAlign w:val="center"/>
          </w:tcPr>
          <w:p w14:paraId="0BA40FAF" w14:textId="3669BBF9"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596</w:t>
            </w:r>
          </w:p>
        </w:tc>
        <w:tc>
          <w:tcPr>
            <w:tcW w:w="1527" w:type="dxa"/>
            <w:vAlign w:val="center"/>
          </w:tcPr>
          <w:p w14:paraId="2FFA5DF4" w14:textId="3AC8B3FB"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1,976</w:t>
            </w:r>
          </w:p>
        </w:tc>
        <w:tc>
          <w:tcPr>
            <w:tcW w:w="1528" w:type="dxa"/>
            <w:vAlign w:val="center"/>
          </w:tcPr>
          <w:p w14:paraId="32F32804" w14:textId="5B0A9AE0"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2,840</w:t>
            </w:r>
          </w:p>
        </w:tc>
        <w:tc>
          <w:tcPr>
            <w:tcW w:w="1528" w:type="dxa"/>
            <w:vMerge w:val="restart"/>
            <w:vAlign w:val="center"/>
          </w:tcPr>
          <w:p w14:paraId="3552FB25" w14:textId="198D9503"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69.1%</w:t>
            </w:r>
          </w:p>
        </w:tc>
      </w:tr>
      <w:tr w:rsidR="000342B9" w:rsidRPr="003D2556" w14:paraId="1ADF613D" w14:textId="77777777" w:rsidTr="000342B9">
        <w:tc>
          <w:tcPr>
            <w:tcW w:w="1455" w:type="dxa"/>
            <w:vMerge/>
          </w:tcPr>
          <w:p w14:paraId="0EEA65FC" w14:textId="77777777" w:rsidR="000342B9" w:rsidRPr="003D2556" w:rsidRDefault="000342B9" w:rsidP="0014104A">
            <w:pPr>
              <w:keepNext/>
              <w:spacing w:line="300" w:lineRule="auto"/>
              <w:rPr>
                <w:rFonts w:ascii="Arial" w:hAnsi="Arial" w:cs="Arial"/>
                <w:sz w:val="20"/>
                <w:szCs w:val="20"/>
              </w:rPr>
            </w:pPr>
          </w:p>
        </w:tc>
        <w:tc>
          <w:tcPr>
            <w:tcW w:w="546" w:type="dxa"/>
          </w:tcPr>
          <w:p w14:paraId="51571BA9"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w:t>
            </w:r>
          </w:p>
        </w:tc>
        <w:tc>
          <w:tcPr>
            <w:tcW w:w="1527" w:type="dxa"/>
            <w:vAlign w:val="center"/>
          </w:tcPr>
          <w:p w14:paraId="15CCF531" w14:textId="16D29662"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9.4%</w:t>
            </w:r>
          </w:p>
        </w:tc>
        <w:tc>
          <w:tcPr>
            <w:tcW w:w="1528" w:type="dxa"/>
            <w:vAlign w:val="center"/>
          </w:tcPr>
          <w:p w14:paraId="72E7279F" w14:textId="55CA0B68"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21.0%</w:t>
            </w:r>
          </w:p>
        </w:tc>
        <w:tc>
          <w:tcPr>
            <w:tcW w:w="1527" w:type="dxa"/>
            <w:vAlign w:val="center"/>
          </w:tcPr>
          <w:p w14:paraId="28E80243" w14:textId="6977E721"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69.6%</w:t>
            </w:r>
          </w:p>
        </w:tc>
        <w:tc>
          <w:tcPr>
            <w:tcW w:w="1528" w:type="dxa"/>
            <w:vAlign w:val="center"/>
          </w:tcPr>
          <w:p w14:paraId="67AB95C9" w14:textId="4329CC8A"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100.0%</w:t>
            </w:r>
          </w:p>
        </w:tc>
        <w:tc>
          <w:tcPr>
            <w:tcW w:w="1528" w:type="dxa"/>
            <w:vMerge/>
            <w:vAlign w:val="center"/>
          </w:tcPr>
          <w:p w14:paraId="3C9E2ADE" w14:textId="77777777" w:rsidR="000342B9" w:rsidRPr="000342B9" w:rsidRDefault="000342B9" w:rsidP="0014104A">
            <w:pPr>
              <w:keepNext/>
              <w:spacing w:line="300" w:lineRule="auto"/>
              <w:jc w:val="center"/>
              <w:rPr>
                <w:rFonts w:ascii="Arial" w:hAnsi="Arial" w:cs="Arial"/>
                <w:sz w:val="20"/>
                <w:szCs w:val="20"/>
              </w:rPr>
            </w:pPr>
          </w:p>
        </w:tc>
      </w:tr>
      <w:tr w:rsidR="000342B9" w:rsidRPr="003D2556" w14:paraId="7008C4E2" w14:textId="77777777" w:rsidTr="000342B9">
        <w:tc>
          <w:tcPr>
            <w:tcW w:w="1455" w:type="dxa"/>
            <w:vMerge w:val="restart"/>
          </w:tcPr>
          <w:p w14:paraId="06A22BCB" w14:textId="2DF18BF5" w:rsidR="000342B9" w:rsidRPr="003D2556" w:rsidRDefault="000342B9" w:rsidP="0014104A">
            <w:pPr>
              <w:keepNext/>
              <w:spacing w:line="300" w:lineRule="auto"/>
              <w:rPr>
                <w:rFonts w:ascii="Arial" w:hAnsi="Arial" w:cs="Arial"/>
                <w:sz w:val="20"/>
                <w:szCs w:val="20"/>
              </w:rPr>
            </w:pPr>
            <w:r>
              <w:rPr>
                <w:rFonts w:ascii="Arial" w:hAnsi="Arial" w:cs="Arial"/>
                <w:sz w:val="20"/>
                <w:szCs w:val="20"/>
              </w:rPr>
              <w:t>Rural West</w:t>
            </w:r>
          </w:p>
        </w:tc>
        <w:tc>
          <w:tcPr>
            <w:tcW w:w="546" w:type="dxa"/>
          </w:tcPr>
          <w:p w14:paraId="1676BAEE"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No.</w:t>
            </w:r>
          </w:p>
        </w:tc>
        <w:tc>
          <w:tcPr>
            <w:tcW w:w="1527" w:type="dxa"/>
            <w:vAlign w:val="center"/>
          </w:tcPr>
          <w:p w14:paraId="63EDE811" w14:textId="3D1C2A84"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219</w:t>
            </w:r>
          </w:p>
        </w:tc>
        <w:tc>
          <w:tcPr>
            <w:tcW w:w="1528" w:type="dxa"/>
            <w:vAlign w:val="center"/>
          </w:tcPr>
          <w:p w14:paraId="38ECC970" w14:textId="692D5E60"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227</w:t>
            </w:r>
          </w:p>
        </w:tc>
        <w:tc>
          <w:tcPr>
            <w:tcW w:w="1527" w:type="dxa"/>
            <w:vAlign w:val="center"/>
          </w:tcPr>
          <w:p w14:paraId="6EF8B1CA" w14:textId="357B06D3"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879</w:t>
            </w:r>
          </w:p>
        </w:tc>
        <w:tc>
          <w:tcPr>
            <w:tcW w:w="1528" w:type="dxa"/>
            <w:vAlign w:val="center"/>
          </w:tcPr>
          <w:p w14:paraId="55C985FF" w14:textId="5CC71C58"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1,325</w:t>
            </w:r>
          </w:p>
        </w:tc>
        <w:tc>
          <w:tcPr>
            <w:tcW w:w="1528" w:type="dxa"/>
            <w:vMerge w:val="restart"/>
            <w:vAlign w:val="center"/>
          </w:tcPr>
          <w:p w14:paraId="2F266BF8" w14:textId="3C491366"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50.9%</w:t>
            </w:r>
          </w:p>
        </w:tc>
      </w:tr>
      <w:tr w:rsidR="000342B9" w:rsidRPr="003D2556" w14:paraId="674FC3BD" w14:textId="77777777" w:rsidTr="000342B9">
        <w:tc>
          <w:tcPr>
            <w:tcW w:w="1455" w:type="dxa"/>
            <w:vMerge/>
          </w:tcPr>
          <w:p w14:paraId="1B76105C" w14:textId="77777777" w:rsidR="000342B9" w:rsidRPr="003D2556" w:rsidRDefault="000342B9" w:rsidP="0014104A">
            <w:pPr>
              <w:keepNext/>
              <w:spacing w:line="300" w:lineRule="auto"/>
              <w:rPr>
                <w:rFonts w:ascii="Arial" w:hAnsi="Arial" w:cs="Arial"/>
                <w:sz w:val="20"/>
                <w:szCs w:val="20"/>
              </w:rPr>
            </w:pPr>
          </w:p>
        </w:tc>
        <w:tc>
          <w:tcPr>
            <w:tcW w:w="546" w:type="dxa"/>
          </w:tcPr>
          <w:p w14:paraId="1B5E4F73" w14:textId="77777777" w:rsidR="000342B9" w:rsidRPr="003D2556" w:rsidRDefault="000342B9" w:rsidP="00172F56">
            <w:pPr>
              <w:keepNext/>
              <w:spacing w:line="300" w:lineRule="auto"/>
              <w:rPr>
                <w:rFonts w:ascii="Arial" w:hAnsi="Arial" w:cs="Arial"/>
                <w:color w:val="000000"/>
                <w:sz w:val="20"/>
                <w:szCs w:val="20"/>
              </w:rPr>
            </w:pPr>
            <w:r>
              <w:rPr>
                <w:rFonts w:ascii="Arial" w:hAnsi="Arial" w:cs="Arial"/>
                <w:color w:val="000000"/>
                <w:sz w:val="20"/>
                <w:szCs w:val="20"/>
              </w:rPr>
              <w:t>%</w:t>
            </w:r>
          </w:p>
        </w:tc>
        <w:tc>
          <w:tcPr>
            <w:tcW w:w="1527" w:type="dxa"/>
            <w:vAlign w:val="center"/>
          </w:tcPr>
          <w:p w14:paraId="0C1AA0D5" w14:textId="0EE0C1E4"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16.5%</w:t>
            </w:r>
          </w:p>
        </w:tc>
        <w:tc>
          <w:tcPr>
            <w:tcW w:w="1528" w:type="dxa"/>
            <w:vAlign w:val="center"/>
          </w:tcPr>
          <w:p w14:paraId="7498CBBD" w14:textId="0A75431E"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17.1%</w:t>
            </w:r>
          </w:p>
        </w:tc>
        <w:tc>
          <w:tcPr>
            <w:tcW w:w="1527" w:type="dxa"/>
            <w:vAlign w:val="center"/>
          </w:tcPr>
          <w:p w14:paraId="24CD12FD" w14:textId="437737BD"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66.3%</w:t>
            </w:r>
          </w:p>
        </w:tc>
        <w:tc>
          <w:tcPr>
            <w:tcW w:w="1528" w:type="dxa"/>
            <w:vAlign w:val="center"/>
          </w:tcPr>
          <w:p w14:paraId="6A5E3B2A" w14:textId="17DB4D51"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100.0%</w:t>
            </w:r>
          </w:p>
        </w:tc>
        <w:tc>
          <w:tcPr>
            <w:tcW w:w="1528" w:type="dxa"/>
            <w:vMerge/>
            <w:vAlign w:val="center"/>
          </w:tcPr>
          <w:p w14:paraId="3C10B07F" w14:textId="77777777" w:rsidR="000342B9" w:rsidRPr="000342B9" w:rsidRDefault="000342B9" w:rsidP="0014104A">
            <w:pPr>
              <w:keepNext/>
              <w:spacing w:line="300" w:lineRule="auto"/>
              <w:jc w:val="center"/>
              <w:rPr>
                <w:rFonts w:ascii="Arial" w:hAnsi="Arial" w:cs="Arial"/>
                <w:sz w:val="20"/>
                <w:szCs w:val="20"/>
              </w:rPr>
            </w:pPr>
          </w:p>
        </w:tc>
      </w:tr>
      <w:tr w:rsidR="000342B9" w:rsidRPr="008724E9" w14:paraId="39C677F8" w14:textId="77777777" w:rsidTr="000342B9">
        <w:tc>
          <w:tcPr>
            <w:tcW w:w="1455" w:type="dxa"/>
            <w:vMerge w:val="restart"/>
          </w:tcPr>
          <w:p w14:paraId="7A150E10" w14:textId="7442783D" w:rsidR="000342B9" w:rsidRPr="008724E9" w:rsidRDefault="000342B9" w:rsidP="0014104A">
            <w:pPr>
              <w:keepNext/>
              <w:spacing w:line="300" w:lineRule="auto"/>
              <w:rPr>
                <w:rFonts w:ascii="Arial" w:hAnsi="Arial" w:cs="Arial"/>
                <w:sz w:val="20"/>
                <w:szCs w:val="20"/>
              </w:rPr>
            </w:pPr>
            <w:r>
              <w:rPr>
                <w:rFonts w:ascii="Arial" w:hAnsi="Arial" w:cs="Arial"/>
                <w:sz w:val="20"/>
                <w:szCs w:val="20"/>
              </w:rPr>
              <w:t>Rural East</w:t>
            </w:r>
          </w:p>
        </w:tc>
        <w:tc>
          <w:tcPr>
            <w:tcW w:w="546" w:type="dxa"/>
          </w:tcPr>
          <w:p w14:paraId="14C964F1" w14:textId="77777777" w:rsidR="000342B9" w:rsidRPr="008724E9" w:rsidRDefault="000342B9" w:rsidP="00172F56">
            <w:pPr>
              <w:keepNext/>
              <w:spacing w:line="300" w:lineRule="auto"/>
              <w:rPr>
                <w:rFonts w:ascii="Arial" w:hAnsi="Arial" w:cs="Arial"/>
                <w:sz w:val="20"/>
                <w:szCs w:val="20"/>
              </w:rPr>
            </w:pPr>
            <w:r w:rsidRPr="008724E9">
              <w:rPr>
                <w:rFonts w:ascii="Arial" w:hAnsi="Arial" w:cs="Arial"/>
                <w:sz w:val="20"/>
                <w:szCs w:val="20"/>
              </w:rPr>
              <w:t>No.</w:t>
            </w:r>
          </w:p>
        </w:tc>
        <w:tc>
          <w:tcPr>
            <w:tcW w:w="1527" w:type="dxa"/>
            <w:vAlign w:val="center"/>
          </w:tcPr>
          <w:p w14:paraId="0D321F09" w14:textId="3B014B92"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197</w:t>
            </w:r>
          </w:p>
        </w:tc>
        <w:tc>
          <w:tcPr>
            <w:tcW w:w="1528" w:type="dxa"/>
            <w:vAlign w:val="center"/>
          </w:tcPr>
          <w:p w14:paraId="56DD598F" w14:textId="5B078734"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204</w:t>
            </w:r>
          </w:p>
        </w:tc>
        <w:tc>
          <w:tcPr>
            <w:tcW w:w="1527" w:type="dxa"/>
            <w:vAlign w:val="center"/>
          </w:tcPr>
          <w:p w14:paraId="04C1B31F" w14:textId="44439735"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946</w:t>
            </w:r>
          </w:p>
        </w:tc>
        <w:tc>
          <w:tcPr>
            <w:tcW w:w="1528" w:type="dxa"/>
            <w:vAlign w:val="center"/>
          </w:tcPr>
          <w:p w14:paraId="16015C85" w14:textId="2F94C0AB"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1,348</w:t>
            </w:r>
          </w:p>
        </w:tc>
        <w:tc>
          <w:tcPr>
            <w:tcW w:w="1528" w:type="dxa"/>
            <w:vMerge w:val="restart"/>
            <w:vAlign w:val="center"/>
          </w:tcPr>
          <w:p w14:paraId="4D470CE4" w14:textId="0A0ACAB5"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50.8%</w:t>
            </w:r>
          </w:p>
        </w:tc>
      </w:tr>
      <w:tr w:rsidR="000342B9" w:rsidRPr="008724E9" w14:paraId="0EAC0319" w14:textId="77777777" w:rsidTr="000342B9">
        <w:tc>
          <w:tcPr>
            <w:tcW w:w="1455" w:type="dxa"/>
            <w:vMerge/>
          </w:tcPr>
          <w:p w14:paraId="0DF54993" w14:textId="77777777" w:rsidR="000342B9" w:rsidRPr="008724E9" w:rsidRDefault="000342B9" w:rsidP="0014104A">
            <w:pPr>
              <w:keepNext/>
              <w:spacing w:line="300" w:lineRule="auto"/>
              <w:rPr>
                <w:rFonts w:ascii="Arial" w:hAnsi="Arial" w:cs="Arial"/>
                <w:sz w:val="20"/>
                <w:szCs w:val="20"/>
              </w:rPr>
            </w:pPr>
          </w:p>
        </w:tc>
        <w:tc>
          <w:tcPr>
            <w:tcW w:w="546" w:type="dxa"/>
          </w:tcPr>
          <w:p w14:paraId="16145622" w14:textId="77777777" w:rsidR="000342B9" w:rsidRPr="008724E9" w:rsidRDefault="000342B9" w:rsidP="00172F56">
            <w:pPr>
              <w:keepNext/>
              <w:spacing w:line="300" w:lineRule="auto"/>
              <w:rPr>
                <w:rFonts w:ascii="Arial" w:hAnsi="Arial" w:cs="Arial"/>
                <w:sz w:val="20"/>
                <w:szCs w:val="20"/>
              </w:rPr>
            </w:pPr>
            <w:r w:rsidRPr="008724E9">
              <w:rPr>
                <w:rFonts w:ascii="Arial" w:hAnsi="Arial" w:cs="Arial"/>
                <w:sz w:val="20"/>
                <w:szCs w:val="20"/>
              </w:rPr>
              <w:t>%</w:t>
            </w:r>
          </w:p>
        </w:tc>
        <w:tc>
          <w:tcPr>
            <w:tcW w:w="1527" w:type="dxa"/>
            <w:vAlign w:val="center"/>
          </w:tcPr>
          <w:p w14:paraId="25392601" w14:textId="1AE8ECD6"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14.6%</w:t>
            </w:r>
          </w:p>
        </w:tc>
        <w:tc>
          <w:tcPr>
            <w:tcW w:w="1528" w:type="dxa"/>
            <w:vAlign w:val="center"/>
          </w:tcPr>
          <w:p w14:paraId="1C73AB10" w14:textId="4C68FF5C"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15.1%</w:t>
            </w:r>
          </w:p>
        </w:tc>
        <w:tc>
          <w:tcPr>
            <w:tcW w:w="1527" w:type="dxa"/>
            <w:vAlign w:val="center"/>
          </w:tcPr>
          <w:p w14:paraId="1C764F38" w14:textId="29BAE042"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70.2%</w:t>
            </w:r>
          </w:p>
        </w:tc>
        <w:tc>
          <w:tcPr>
            <w:tcW w:w="1528" w:type="dxa"/>
            <w:vAlign w:val="center"/>
          </w:tcPr>
          <w:p w14:paraId="01C9D8FC" w14:textId="2A88CFC7"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100.0%</w:t>
            </w:r>
          </w:p>
        </w:tc>
        <w:tc>
          <w:tcPr>
            <w:tcW w:w="1528" w:type="dxa"/>
            <w:vMerge/>
            <w:vAlign w:val="center"/>
          </w:tcPr>
          <w:p w14:paraId="3795F385" w14:textId="77777777" w:rsidR="000342B9" w:rsidRPr="000342B9" w:rsidRDefault="000342B9" w:rsidP="0014104A">
            <w:pPr>
              <w:keepNext/>
              <w:spacing w:line="300" w:lineRule="auto"/>
              <w:jc w:val="center"/>
              <w:rPr>
                <w:rFonts w:ascii="Arial" w:hAnsi="Arial" w:cs="Arial"/>
                <w:sz w:val="20"/>
                <w:szCs w:val="20"/>
              </w:rPr>
            </w:pPr>
          </w:p>
        </w:tc>
      </w:tr>
      <w:tr w:rsidR="000342B9" w:rsidRPr="008724E9" w14:paraId="6BB8296D" w14:textId="77777777" w:rsidTr="000342B9">
        <w:tc>
          <w:tcPr>
            <w:tcW w:w="1455" w:type="dxa"/>
            <w:vMerge w:val="restart"/>
          </w:tcPr>
          <w:p w14:paraId="77FF8F06" w14:textId="16B1989D" w:rsidR="000342B9" w:rsidRPr="008724E9" w:rsidRDefault="000342B9" w:rsidP="0014104A">
            <w:pPr>
              <w:keepNext/>
              <w:widowControl w:val="0"/>
              <w:spacing w:line="300" w:lineRule="auto"/>
              <w:rPr>
                <w:rFonts w:ascii="Arial" w:hAnsi="Arial" w:cs="Arial"/>
                <w:sz w:val="20"/>
                <w:szCs w:val="20"/>
              </w:rPr>
            </w:pPr>
            <w:r>
              <w:rPr>
                <w:rFonts w:ascii="Arial" w:hAnsi="Arial" w:cs="Arial"/>
                <w:sz w:val="20"/>
                <w:szCs w:val="20"/>
              </w:rPr>
              <w:t>Borough</w:t>
            </w:r>
          </w:p>
        </w:tc>
        <w:tc>
          <w:tcPr>
            <w:tcW w:w="546" w:type="dxa"/>
          </w:tcPr>
          <w:p w14:paraId="221EDB2F" w14:textId="77777777" w:rsidR="000342B9" w:rsidRPr="008724E9" w:rsidRDefault="000342B9" w:rsidP="00172F56">
            <w:pPr>
              <w:keepNext/>
              <w:spacing w:line="300" w:lineRule="auto"/>
              <w:rPr>
                <w:rFonts w:ascii="Arial" w:hAnsi="Arial" w:cs="Arial"/>
                <w:sz w:val="20"/>
                <w:szCs w:val="20"/>
              </w:rPr>
            </w:pPr>
            <w:r w:rsidRPr="008724E9">
              <w:rPr>
                <w:rFonts w:ascii="Arial" w:hAnsi="Arial" w:cs="Arial"/>
                <w:sz w:val="20"/>
                <w:szCs w:val="20"/>
              </w:rPr>
              <w:t>No.</w:t>
            </w:r>
          </w:p>
        </w:tc>
        <w:tc>
          <w:tcPr>
            <w:tcW w:w="1527" w:type="dxa"/>
            <w:vAlign w:val="center"/>
          </w:tcPr>
          <w:p w14:paraId="14CB533F" w14:textId="21C8ED09"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8,128</w:t>
            </w:r>
          </w:p>
        </w:tc>
        <w:tc>
          <w:tcPr>
            <w:tcW w:w="1528" w:type="dxa"/>
            <w:vAlign w:val="center"/>
          </w:tcPr>
          <w:p w14:paraId="57456211" w14:textId="35AD0339"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6,783</w:t>
            </w:r>
          </w:p>
        </w:tc>
        <w:tc>
          <w:tcPr>
            <w:tcW w:w="1527" w:type="dxa"/>
            <w:vAlign w:val="center"/>
          </w:tcPr>
          <w:p w14:paraId="1BCFF946" w14:textId="3B8B5E82"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24,089</w:t>
            </w:r>
          </w:p>
        </w:tc>
        <w:tc>
          <w:tcPr>
            <w:tcW w:w="1528" w:type="dxa"/>
            <w:vAlign w:val="center"/>
          </w:tcPr>
          <w:p w14:paraId="149AB6C4" w14:textId="0622D0AD"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39,000</w:t>
            </w:r>
          </w:p>
        </w:tc>
        <w:tc>
          <w:tcPr>
            <w:tcW w:w="1528" w:type="dxa"/>
            <w:vMerge w:val="restart"/>
            <w:vAlign w:val="center"/>
          </w:tcPr>
          <w:p w14:paraId="0E6249DC" w14:textId="56865796" w:rsidR="000342B9" w:rsidRPr="000342B9" w:rsidRDefault="000342B9" w:rsidP="0014104A">
            <w:pPr>
              <w:keepNext/>
              <w:spacing w:line="300" w:lineRule="auto"/>
              <w:jc w:val="center"/>
              <w:rPr>
                <w:rFonts w:ascii="Arial" w:hAnsi="Arial" w:cs="Arial"/>
                <w:sz w:val="20"/>
                <w:szCs w:val="20"/>
              </w:rPr>
            </w:pPr>
            <w:r w:rsidRPr="000342B9">
              <w:rPr>
                <w:rFonts w:ascii="Arial" w:hAnsi="Arial" w:cs="Arial"/>
                <w:color w:val="000000"/>
                <w:sz w:val="20"/>
                <w:szCs w:val="20"/>
              </w:rPr>
              <w:t>45.5%</w:t>
            </w:r>
          </w:p>
        </w:tc>
      </w:tr>
      <w:tr w:rsidR="000342B9" w:rsidRPr="008724E9" w14:paraId="67F501D3" w14:textId="77777777" w:rsidTr="008469E3">
        <w:tc>
          <w:tcPr>
            <w:tcW w:w="1455" w:type="dxa"/>
            <w:vMerge/>
          </w:tcPr>
          <w:p w14:paraId="131A36C2" w14:textId="77777777" w:rsidR="000342B9" w:rsidRPr="008724E9" w:rsidRDefault="000342B9" w:rsidP="00172F56">
            <w:pPr>
              <w:widowControl w:val="0"/>
              <w:spacing w:line="300" w:lineRule="auto"/>
              <w:jc w:val="center"/>
              <w:rPr>
                <w:rFonts w:ascii="Arial" w:hAnsi="Arial" w:cs="Arial"/>
                <w:sz w:val="20"/>
                <w:szCs w:val="20"/>
              </w:rPr>
            </w:pPr>
          </w:p>
        </w:tc>
        <w:tc>
          <w:tcPr>
            <w:tcW w:w="546" w:type="dxa"/>
          </w:tcPr>
          <w:p w14:paraId="6FB36333" w14:textId="77777777" w:rsidR="000342B9" w:rsidRPr="008724E9" w:rsidRDefault="000342B9" w:rsidP="0014104A">
            <w:pPr>
              <w:spacing w:line="300" w:lineRule="auto"/>
              <w:jc w:val="center"/>
              <w:rPr>
                <w:rFonts w:ascii="Arial" w:hAnsi="Arial" w:cs="Arial"/>
                <w:sz w:val="20"/>
                <w:szCs w:val="20"/>
              </w:rPr>
            </w:pPr>
            <w:r w:rsidRPr="008724E9">
              <w:rPr>
                <w:rFonts w:ascii="Arial" w:hAnsi="Arial" w:cs="Arial"/>
                <w:sz w:val="20"/>
                <w:szCs w:val="20"/>
              </w:rPr>
              <w:t>%</w:t>
            </w:r>
          </w:p>
        </w:tc>
        <w:tc>
          <w:tcPr>
            <w:tcW w:w="1527" w:type="dxa"/>
            <w:vAlign w:val="bottom"/>
          </w:tcPr>
          <w:p w14:paraId="4FF19A9B" w14:textId="675102A2" w:rsidR="000342B9" w:rsidRPr="008021BC" w:rsidRDefault="000342B9" w:rsidP="0014104A">
            <w:pPr>
              <w:spacing w:line="300" w:lineRule="auto"/>
              <w:jc w:val="center"/>
              <w:rPr>
                <w:rFonts w:ascii="Arial" w:hAnsi="Arial" w:cs="Arial"/>
                <w:sz w:val="20"/>
                <w:szCs w:val="20"/>
              </w:rPr>
            </w:pPr>
            <w:r w:rsidRPr="008021BC">
              <w:rPr>
                <w:rFonts w:ascii="Arial" w:hAnsi="Arial" w:cs="Arial"/>
                <w:color w:val="000000"/>
                <w:sz w:val="20"/>
                <w:szCs w:val="20"/>
              </w:rPr>
              <w:t>3,136</w:t>
            </w:r>
          </w:p>
        </w:tc>
        <w:tc>
          <w:tcPr>
            <w:tcW w:w="1528" w:type="dxa"/>
            <w:vAlign w:val="bottom"/>
          </w:tcPr>
          <w:p w14:paraId="02C5088D" w14:textId="6AF35653" w:rsidR="000342B9" w:rsidRPr="008021BC" w:rsidRDefault="000342B9" w:rsidP="0014104A">
            <w:pPr>
              <w:spacing w:line="300" w:lineRule="auto"/>
              <w:jc w:val="center"/>
              <w:rPr>
                <w:rFonts w:ascii="Arial" w:hAnsi="Arial" w:cs="Arial"/>
                <w:sz w:val="20"/>
                <w:szCs w:val="20"/>
              </w:rPr>
            </w:pPr>
            <w:r w:rsidRPr="008021BC">
              <w:rPr>
                <w:rFonts w:ascii="Arial" w:hAnsi="Arial" w:cs="Arial"/>
                <w:color w:val="000000"/>
                <w:sz w:val="20"/>
                <w:szCs w:val="20"/>
              </w:rPr>
              <w:t>2,361</w:t>
            </w:r>
          </w:p>
        </w:tc>
        <w:tc>
          <w:tcPr>
            <w:tcW w:w="1527" w:type="dxa"/>
            <w:vAlign w:val="bottom"/>
          </w:tcPr>
          <w:p w14:paraId="5BE5AD56" w14:textId="7FD2F56D" w:rsidR="000342B9" w:rsidRPr="008021BC" w:rsidRDefault="000342B9" w:rsidP="0014104A">
            <w:pPr>
              <w:spacing w:line="300" w:lineRule="auto"/>
              <w:jc w:val="center"/>
              <w:rPr>
                <w:rFonts w:ascii="Arial" w:hAnsi="Arial" w:cs="Arial"/>
                <w:sz w:val="20"/>
                <w:szCs w:val="20"/>
              </w:rPr>
            </w:pPr>
            <w:r w:rsidRPr="008021BC">
              <w:rPr>
                <w:rFonts w:ascii="Arial" w:hAnsi="Arial" w:cs="Arial"/>
                <w:color w:val="000000"/>
                <w:sz w:val="20"/>
                <w:szCs w:val="20"/>
              </w:rPr>
              <w:t>8,314</w:t>
            </w:r>
          </w:p>
        </w:tc>
        <w:tc>
          <w:tcPr>
            <w:tcW w:w="1528" w:type="dxa"/>
            <w:vAlign w:val="bottom"/>
          </w:tcPr>
          <w:p w14:paraId="1537AB37" w14:textId="34317C99" w:rsidR="000342B9" w:rsidRPr="008021BC" w:rsidRDefault="000342B9" w:rsidP="0014104A">
            <w:pPr>
              <w:spacing w:line="300" w:lineRule="auto"/>
              <w:jc w:val="center"/>
              <w:rPr>
                <w:rFonts w:ascii="Arial" w:hAnsi="Arial" w:cs="Arial"/>
                <w:sz w:val="20"/>
                <w:szCs w:val="20"/>
              </w:rPr>
            </w:pPr>
            <w:r w:rsidRPr="008021BC">
              <w:rPr>
                <w:rFonts w:ascii="Arial" w:hAnsi="Arial" w:cs="Arial"/>
                <w:color w:val="000000"/>
                <w:sz w:val="20"/>
                <w:szCs w:val="20"/>
              </w:rPr>
              <w:t>13,811</w:t>
            </w:r>
          </w:p>
        </w:tc>
        <w:tc>
          <w:tcPr>
            <w:tcW w:w="1528" w:type="dxa"/>
            <w:vMerge/>
          </w:tcPr>
          <w:p w14:paraId="13B027D6" w14:textId="77777777" w:rsidR="000342B9" w:rsidRDefault="000342B9" w:rsidP="0014104A">
            <w:pPr>
              <w:spacing w:line="300" w:lineRule="auto"/>
              <w:jc w:val="center"/>
              <w:rPr>
                <w:rFonts w:ascii="Arial" w:hAnsi="Arial" w:cs="Arial"/>
                <w:sz w:val="20"/>
                <w:szCs w:val="20"/>
              </w:rPr>
            </w:pPr>
          </w:p>
        </w:tc>
      </w:tr>
    </w:tbl>
    <w:p w14:paraId="3D53E7A0" w14:textId="2DE83438" w:rsidR="008F17F5" w:rsidRPr="008724E9"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15C2B8CF" w14:textId="0BDAA10B" w:rsidR="00AC371C" w:rsidRDefault="00AC371C" w:rsidP="0033047F">
      <w:pPr>
        <w:pStyle w:val="11Bodytext"/>
        <w:numPr>
          <w:ilvl w:val="0"/>
          <w:numId w:val="0"/>
        </w:numPr>
        <w:spacing w:before="0" w:after="0" w:line="300" w:lineRule="auto"/>
        <w:ind w:left="794" w:hanging="794"/>
        <w:rPr>
          <w:color w:val="auto"/>
        </w:rPr>
      </w:pPr>
    </w:p>
    <w:p w14:paraId="73A5A984" w14:textId="307B0D47" w:rsidR="001D7E18" w:rsidRPr="007236BD" w:rsidRDefault="001D7E18" w:rsidP="00172F56">
      <w:pPr>
        <w:spacing w:line="300" w:lineRule="auto"/>
        <w:jc w:val="both"/>
        <w:rPr>
          <w:rFonts w:ascii="Arial" w:hAnsi="Arial" w:cs="Arial"/>
          <w:b/>
          <w:lang w:eastAsia="ja-JP"/>
        </w:rPr>
      </w:pPr>
      <w:r>
        <w:rPr>
          <w:rFonts w:ascii="Arial" w:hAnsi="Arial" w:cs="Arial"/>
          <w:b/>
          <w:lang w:eastAsia="ja-JP"/>
        </w:rPr>
        <w:t>Future Housing Intentions – existing households</w:t>
      </w:r>
    </w:p>
    <w:p w14:paraId="356534E0" w14:textId="77777777" w:rsidR="001D7E18" w:rsidRPr="00C7268E" w:rsidRDefault="001D7E18" w:rsidP="00172F56">
      <w:pPr>
        <w:spacing w:line="300" w:lineRule="auto"/>
        <w:jc w:val="both"/>
        <w:rPr>
          <w:rFonts w:ascii="Arial" w:hAnsi="Arial" w:cs="Arial"/>
          <w:sz w:val="20"/>
          <w:szCs w:val="20"/>
          <w:lang w:eastAsia="ja-JP"/>
        </w:rPr>
      </w:pPr>
    </w:p>
    <w:p w14:paraId="41516F01" w14:textId="2CAA1CB1" w:rsidR="001D7E18" w:rsidRPr="001D7E18" w:rsidRDefault="001D7E18">
      <w:pPr>
        <w:pStyle w:val="11Bodytext"/>
        <w:numPr>
          <w:ilvl w:val="1"/>
          <w:numId w:val="40"/>
        </w:numPr>
        <w:spacing w:before="0" w:after="0" w:line="300" w:lineRule="auto"/>
        <w:ind w:left="720" w:hanging="720"/>
        <w:rPr>
          <w:color w:val="auto"/>
        </w:rPr>
      </w:pPr>
      <w:r w:rsidRPr="001D7E18">
        <w:t>The household survey included a series of questions to householders about future moving intentions. The series of analysis provides key details from this with a particular focus on the sizes of homes required in different tenures. The survey asked households if they need or are likely to move to a different home and in total, 25% of households (about 9,800) stated that they did need or expect to move over the next 5-years. A further 7% of households stated that they wish to move but are unable to do so.</w:t>
      </w:r>
    </w:p>
    <w:tbl>
      <w:tblPr>
        <w:tblStyle w:val="TableGrid1"/>
        <w:tblW w:w="8199" w:type="dxa"/>
        <w:jc w:val="center"/>
        <w:tblLook w:val="04A0" w:firstRow="1" w:lastRow="0" w:firstColumn="1" w:lastColumn="0" w:noHBand="0" w:noVBand="1"/>
      </w:tblPr>
      <w:tblGrid>
        <w:gridCol w:w="2707"/>
        <w:gridCol w:w="2746"/>
        <w:gridCol w:w="2746"/>
      </w:tblGrid>
      <w:tr w:rsidR="001D7E18" w:rsidRPr="001D7E18" w14:paraId="16ADB82F" w14:textId="77777777" w:rsidTr="008469E3">
        <w:trPr>
          <w:jc w:val="center"/>
        </w:trPr>
        <w:tc>
          <w:tcPr>
            <w:tcW w:w="8199" w:type="dxa"/>
            <w:gridSpan w:val="3"/>
          </w:tcPr>
          <w:p w14:paraId="6C1C59CB" w14:textId="0DF7AD00" w:rsidR="001D7E18" w:rsidRPr="001D7E18" w:rsidRDefault="001D7E18" w:rsidP="0014104A">
            <w:pPr>
              <w:keepNext/>
              <w:spacing w:before="60" w:after="60" w:line="300" w:lineRule="auto"/>
              <w:jc w:val="center"/>
              <w:rPr>
                <w:rFonts w:ascii="Arial" w:hAnsi="Arial" w:cs="Arial"/>
                <w:b/>
                <w:bCs/>
                <w:sz w:val="20"/>
                <w:szCs w:val="20"/>
              </w:rPr>
            </w:pPr>
            <w:r w:rsidRPr="001D7E18">
              <w:rPr>
                <w:rFonts w:ascii="Arial" w:hAnsi="Arial" w:cs="Arial"/>
                <w:b/>
                <w:bCs/>
                <w:sz w:val="20"/>
                <w:szCs w:val="20"/>
              </w:rPr>
              <w:t>Figure 5.</w:t>
            </w:r>
            <w:r w:rsidR="00AD29A6">
              <w:rPr>
                <w:rFonts w:ascii="Arial" w:hAnsi="Arial" w:cs="Arial"/>
                <w:b/>
                <w:bCs/>
                <w:sz w:val="20"/>
                <w:szCs w:val="20"/>
              </w:rPr>
              <w:t>5</w:t>
            </w:r>
            <w:r w:rsidRPr="001D7E18">
              <w:rPr>
                <w:rFonts w:ascii="Arial" w:hAnsi="Arial" w:cs="Arial"/>
                <w:b/>
                <w:bCs/>
                <w:sz w:val="20"/>
                <w:szCs w:val="20"/>
              </w:rPr>
              <w:t>: When households need or expect to move</w:t>
            </w:r>
          </w:p>
        </w:tc>
      </w:tr>
      <w:tr w:rsidR="001D7E18" w14:paraId="6BC6CC51" w14:textId="77777777" w:rsidTr="008469E3">
        <w:trPr>
          <w:jc w:val="center"/>
        </w:trPr>
        <w:tc>
          <w:tcPr>
            <w:tcW w:w="2707" w:type="dxa"/>
          </w:tcPr>
          <w:p w14:paraId="217FAB3B" w14:textId="77777777" w:rsidR="001D7E18" w:rsidRPr="001D7E18" w:rsidRDefault="001D7E18" w:rsidP="0014104A">
            <w:pPr>
              <w:keepNext/>
              <w:spacing w:line="300" w:lineRule="auto"/>
              <w:rPr>
                <w:rFonts w:ascii="Arial" w:hAnsi="Arial" w:cs="Arial"/>
                <w:sz w:val="20"/>
                <w:szCs w:val="20"/>
              </w:rPr>
            </w:pPr>
          </w:p>
        </w:tc>
        <w:tc>
          <w:tcPr>
            <w:tcW w:w="2746" w:type="dxa"/>
            <w:hideMark/>
          </w:tcPr>
          <w:p w14:paraId="39D8CD34" w14:textId="77777777" w:rsidR="001D7E18" w:rsidRPr="001D7E18" w:rsidRDefault="001D7E18" w:rsidP="0014104A">
            <w:pPr>
              <w:keepNext/>
              <w:spacing w:line="300" w:lineRule="auto"/>
              <w:jc w:val="center"/>
              <w:rPr>
                <w:rFonts w:ascii="Arial" w:hAnsi="Arial" w:cs="Arial"/>
                <w:sz w:val="20"/>
                <w:szCs w:val="20"/>
              </w:rPr>
            </w:pPr>
            <w:r w:rsidRPr="001D7E18">
              <w:rPr>
                <w:rFonts w:ascii="Arial" w:hAnsi="Arial" w:cs="Arial"/>
                <w:sz w:val="20"/>
                <w:szCs w:val="20"/>
              </w:rPr>
              <w:t>Estimated number of households</w:t>
            </w:r>
          </w:p>
        </w:tc>
        <w:tc>
          <w:tcPr>
            <w:tcW w:w="2746" w:type="dxa"/>
            <w:hideMark/>
          </w:tcPr>
          <w:p w14:paraId="4D450467" w14:textId="77777777" w:rsidR="001D7E18" w:rsidRPr="001D7E18" w:rsidRDefault="001D7E18" w:rsidP="0014104A">
            <w:pPr>
              <w:keepNext/>
              <w:spacing w:line="300" w:lineRule="auto"/>
              <w:jc w:val="center"/>
              <w:rPr>
                <w:rFonts w:ascii="Arial" w:hAnsi="Arial" w:cs="Arial"/>
                <w:sz w:val="20"/>
                <w:szCs w:val="20"/>
              </w:rPr>
            </w:pPr>
            <w:r w:rsidRPr="001D7E18">
              <w:rPr>
                <w:rFonts w:ascii="Arial" w:hAnsi="Arial" w:cs="Arial"/>
                <w:sz w:val="20"/>
                <w:szCs w:val="20"/>
              </w:rPr>
              <w:t>% of households</w:t>
            </w:r>
          </w:p>
        </w:tc>
      </w:tr>
      <w:tr w:rsidR="001D7E18" w14:paraId="2F89E2A4" w14:textId="77777777" w:rsidTr="008469E3">
        <w:trPr>
          <w:jc w:val="center"/>
        </w:trPr>
        <w:tc>
          <w:tcPr>
            <w:tcW w:w="2707" w:type="dxa"/>
            <w:hideMark/>
          </w:tcPr>
          <w:p w14:paraId="449924A7" w14:textId="77777777" w:rsidR="001D7E18" w:rsidRPr="001D7E18" w:rsidRDefault="001D7E18" w:rsidP="0014104A">
            <w:pPr>
              <w:keepNext/>
              <w:spacing w:line="300" w:lineRule="auto"/>
              <w:rPr>
                <w:rFonts w:ascii="Arial" w:hAnsi="Arial" w:cs="Arial"/>
                <w:sz w:val="20"/>
                <w:szCs w:val="20"/>
              </w:rPr>
            </w:pPr>
            <w:r w:rsidRPr="001D7E18">
              <w:rPr>
                <w:rFonts w:ascii="Arial" w:hAnsi="Arial" w:cs="Arial"/>
                <w:color w:val="000000"/>
                <w:sz w:val="20"/>
                <w:szCs w:val="20"/>
              </w:rPr>
              <w:t>Within a year</w:t>
            </w:r>
          </w:p>
        </w:tc>
        <w:tc>
          <w:tcPr>
            <w:tcW w:w="2746" w:type="dxa"/>
            <w:hideMark/>
          </w:tcPr>
          <w:p w14:paraId="422003CB" w14:textId="77777777" w:rsidR="001D7E18" w:rsidRPr="001D7E18" w:rsidRDefault="001D7E18" w:rsidP="0014104A">
            <w:pPr>
              <w:keepNext/>
              <w:spacing w:line="300" w:lineRule="auto"/>
              <w:jc w:val="center"/>
              <w:rPr>
                <w:rFonts w:ascii="Arial" w:hAnsi="Arial" w:cs="Arial"/>
                <w:sz w:val="20"/>
                <w:szCs w:val="20"/>
              </w:rPr>
            </w:pPr>
            <w:r w:rsidRPr="001D7E18">
              <w:rPr>
                <w:rFonts w:ascii="Arial" w:hAnsi="Arial" w:cs="Arial"/>
                <w:color w:val="000000"/>
                <w:sz w:val="20"/>
                <w:szCs w:val="20"/>
              </w:rPr>
              <w:t>3,286</w:t>
            </w:r>
          </w:p>
        </w:tc>
        <w:tc>
          <w:tcPr>
            <w:tcW w:w="2746" w:type="dxa"/>
            <w:hideMark/>
          </w:tcPr>
          <w:p w14:paraId="613E5684" w14:textId="77777777" w:rsidR="001D7E18" w:rsidRPr="001D7E18" w:rsidRDefault="001D7E18" w:rsidP="0014104A">
            <w:pPr>
              <w:keepNext/>
              <w:spacing w:line="300" w:lineRule="auto"/>
              <w:jc w:val="center"/>
              <w:rPr>
                <w:rFonts w:ascii="Arial" w:hAnsi="Arial" w:cs="Arial"/>
                <w:sz w:val="20"/>
                <w:szCs w:val="20"/>
              </w:rPr>
            </w:pPr>
            <w:r w:rsidRPr="001D7E18">
              <w:rPr>
                <w:rFonts w:ascii="Arial" w:hAnsi="Arial" w:cs="Arial"/>
                <w:color w:val="000000"/>
                <w:sz w:val="20"/>
                <w:szCs w:val="20"/>
              </w:rPr>
              <w:t>8.4%</w:t>
            </w:r>
          </w:p>
        </w:tc>
      </w:tr>
      <w:tr w:rsidR="001D7E18" w14:paraId="4BAEA873" w14:textId="77777777" w:rsidTr="008469E3">
        <w:trPr>
          <w:jc w:val="center"/>
        </w:trPr>
        <w:tc>
          <w:tcPr>
            <w:tcW w:w="2707" w:type="dxa"/>
            <w:hideMark/>
          </w:tcPr>
          <w:p w14:paraId="57C87B81" w14:textId="77777777" w:rsidR="001D7E18" w:rsidRPr="001D7E18" w:rsidRDefault="001D7E18" w:rsidP="0014104A">
            <w:pPr>
              <w:keepNext/>
              <w:spacing w:line="300" w:lineRule="auto"/>
              <w:rPr>
                <w:rFonts w:ascii="Arial" w:hAnsi="Arial" w:cs="Arial"/>
                <w:sz w:val="20"/>
                <w:szCs w:val="20"/>
              </w:rPr>
            </w:pPr>
            <w:r w:rsidRPr="001D7E18">
              <w:rPr>
                <w:rFonts w:ascii="Arial" w:hAnsi="Arial" w:cs="Arial"/>
                <w:color w:val="000000"/>
                <w:sz w:val="20"/>
                <w:szCs w:val="20"/>
              </w:rPr>
              <w:t>1-2 years</w:t>
            </w:r>
          </w:p>
        </w:tc>
        <w:tc>
          <w:tcPr>
            <w:tcW w:w="2746" w:type="dxa"/>
            <w:hideMark/>
          </w:tcPr>
          <w:p w14:paraId="4136DA1B" w14:textId="77777777" w:rsidR="001D7E18" w:rsidRPr="001D7E18" w:rsidRDefault="001D7E18" w:rsidP="0014104A">
            <w:pPr>
              <w:keepNext/>
              <w:spacing w:line="300" w:lineRule="auto"/>
              <w:jc w:val="center"/>
              <w:rPr>
                <w:rFonts w:ascii="Arial" w:hAnsi="Arial" w:cs="Arial"/>
                <w:sz w:val="20"/>
                <w:szCs w:val="20"/>
              </w:rPr>
            </w:pPr>
            <w:r w:rsidRPr="001D7E18">
              <w:rPr>
                <w:rFonts w:ascii="Arial" w:hAnsi="Arial" w:cs="Arial"/>
                <w:color w:val="000000"/>
                <w:sz w:val="20"/>
                <w:szCs w:val="20"/>
              </w:rPr>
              <w:t>1,996</w:t>
            </w:r>
          </w:p>
        </w:tc>
        <w:tc>
          <w:tcPr>
            <w:tcW w:w="2746" w:type="dxa"/>
            <w:hideMark/>
          </w:tcPr>
          <w:p w14:paraId="705A1A44" w14:textId="77777777" w:rsidR="001D7E18" w:rsidRPr="001D7E18" w:rsidRDefault="001D7E18" w:rsidP="0014104A">
            <w:pPr>
              <w:keepNext/>
              <w:spacing w:line="300" w:lineRule="auto"/>
              <w:jc w:val="center"/>
              <w:rPr>
                <w:rFonts w:ascii="Arial" w:hAnsi="Arial" w:cs="Arial"/>
                <w:sz w:val="20"/>
                <w:szCs w:val="20"/>
              </w:rPr>
            </w:pPr>
            <w:r w:rsidRPr="001D7E18">
              <w:rPr>
                <w:rFonts w:ascii="Arial" w:hAnsi="Arial" w:cs="Arial"/>
                <w:color w:val="000000"/>
                <w:sz w:val="20"/>
                <w:szCs w:val="20"/>
              </w:rPr>
              <w:t>5.1%</w:t>
            </w:r>
          </w:p>
        </w:tc>
      </w:tr>
      <w:tr w:rsidR="001D7E18" w14:paraId="2C3D379D" w14:textId="77777777" w:rsidTr="008469E3">
        <w:trPr>
          <w:jc w:val="center"/>
        </w:trPr>
        <w:tc>
          <w:tcPr>
            <w:tcW w:w="2707" w:type="dxa"/>
            <w:hideMark/>
          </w:tcPr>
          <w:p w14:paraId="06812676" w14:textId="77777777" w:rsidR="001D7E18" w:rsidRPr="001D7E18" w:rsidRDefault="001D7E18" w:rsidP="0014104A">
            <w:pPr>
              <w:keepNext/>
              <w:spacing w:line="300" w:lineRule="auto"/>
              <w:rPr>
                <w:rFonts w:ascii="Arial" w:hAnsi="Arial" w:cs="Arial"/>
                <w:sz w:val="20"/>
                <w:szCs w:val="20"/>
              </w:rPr>
            </w:pPr>
            <w:r w:rsidRPr="001D7E18">
              <w:rPr>
                <w:rFonts w:ascii="Arial" w:hAnsi="Arial" w:cs="Arial"/>
                <w:color w:val="000000"/>
                <w:sz w:val="20"/>
                <w:szCs w:val="20"/>
              </w:rPr>
              <w:t>2-5 years</w:t>
            </w:r>
          </w:p>
        </w:tc>
        <w:tc>
          <w:tcPr>
            <w:tcW w:w="2746" w:type="dxa"/>
            <w:hideMark/>
          </w:tcPr>
          <w:p w14:paraId="23AD38D0" w14:textId="77777777" w:rsidR="001D7E18" w:rsidRPr="001D7E18" w:rsidRDefault="001D7E18" w:rsidP="0014104A">
            <w:pPr>
              <w:keepNext/>
              <w:spacing w:line="300" w:lineRule="auto"/>
              <w:jc w:val="center"/>
              <w:rPr>
                <w:rFonts w:ascii="Arial" w:hAnsi="Arial" w:cs="Arial"/>
                <w:sz w:val="20"/>
                <w:szCs w:val="20"/>
              </w:rPr>
            </w:pPr>
            <w:r w:rsidRPr="001D7E18">
              <w:rPr>
                <w:rFonts w:ascii="Arial" w:hAnsi="Arial" w:cs="Arial"/>
                <w:color w:val="000000"/>
                <w:sz w:val="20"/>
                <w:szCs w:val="20"/>
              </w:rPr>
              <w:t>4,551</w:t>
            </w:r>
          </w:p>
        </w:tc>
        <w:tc>
          <w:tcPr>
            <w:tcW w:w="2746" w:type="dxa"/>
            <w:hideMark/>
          </w:tcPr>
          <w:p w14:paraId="47694307" w14:textId="77777777" w:rsidR="001D7E18" w:rsidRPr="001D7E18" w:rsidRDefault="001D7E18" w:rsidP="0014104A">
            <w:pPr>
              <w:keepNext/>
              <w:spacing w:line="300" w:lineRule="auto"/>
              <w:jc w:val="center"/>
              <w:rPr>
                <w:rFonts w:ascii="Arial" w:hAnsi="Arial" w:cs="Arial"/>
                <w:sz w:val="20"/>
                <w:szCs w:val="20"/>
              </w:rPr>
            </w:pPr>
            <w:r w:rsidRPr="001D7E18">
              <w:rPr>
                <w:rFonts w:ascii="Arial" w:hAnsi="Arial" w:cs="Arial"/>
                <w:color w:val="000000"/>
                <w:sz w:val="20"/>
                <w:szCs w:val="20"/>
              </w:rPr>
              <w:t>11.7%</w:t>
            </w:r>
          </w:p>
        </w:tc>
      </w:tr>
      <w:tr w:rsidR="001D7E18" w14:paraId="70E5124A" w14:textId="77777777" w:rsidTr="008469E3">
        <w:trPr>
          <w:jc w:val="center"/>
        </w:trPr>
        <w:tc>
          <w:tcPr>
            <w:tcW w:w="2707" w:type="dxa"/>
            <w:hideMark/>
          </w:tcPr>
          <w:p w14:paraId="438B543B" w14:textId="77777777" w:rsidR="001D7E18" w:rsidRPr="001D7E18" w:rsidRDefault="001D7E18" w:rsidP="0014104A">
            <w:pPr>
              <w:keepNext/>
              <w:spacing w:line="300" w:lineRule="auto"/>
              <w:rPr>
                <w:rFonts w:ascii="Arial" w:hAnsi="Arial" w:cs="Arial"/>
                <w:sz w:val="20"/>
                <w:szCs w:val="20"/>
              </w:rPr>
            </w:pPr>
            <w:r w:rsidRPr="001D7E18">
              <w:rPr>
                <w:rFonts w:ascii="Arial" w:hAnsi="Arial" w:cs="Arial"/>
                <w:color w:val="000000"/>
                <w:sz w:val="20"/>
                <w:szCs w:val="20"/>
              </w:rPr>
              <w:t>No need/not likely to move</w:t>
            </w:r>
          </w:p>
        </w:tc>
        <w:tc>
          <w:tcPr>
            <w:tcW w:w="2746" w:type="dxa"/>
            <w:hideMark/>
          </w:tcPr>
          <w:p w14:paraId="532B3F3D" w14:textId="77777777" w:rsidR="001D7E18" w:rsidRPr="001D7E18" w:rsidRDefault="001D7E18" w:rsidP="0014104A">
            <w:pPr>
              <w:keepNext/>
              <w:spacing w:line="300" w:lineRule="auto"/>
              <w:jc w:val="center"/>
              <w:rPr>
                <w:rFonts w:ascii="Arial" w:hAnsi="Arial" w:cs="Arial"/>
                <w:sz w:val="20"/>
                <w:szCs w:val="20"/>
              </w:rPr>
            </w:pPr>
            <w:r w:rsidRPr="001D7E18">
              <w:rPr>
                <w:rFonts w:ascii="Arial" w:hAnsi="Arial" w:cs="Arial"/>
                <w:color w:val="000000"/>
                <w:sz w:val="20"/>
                <w:szCs w:val="20"/>
              </w:rPr>
              <w:t>26,483</w:t>
            </w:r>
          </w:p>
        </w:tc>
        <w:tc>
          <w:tcPr>
            <w:tcW w:w="2746" w:type="dxa"/>
            <w:hideMark/>
          </w:tcPr>
          <w:p w14:paraId="3D25DEE7" w14:textId="77777777" w:rsidR="001D7E18" w:rsidRPr="001D7E18" w:rsidRDefault="001D7E18" w:rsidP="0014104A">
            <w:pPr>
              <w:keepNext/>
              <w:spacing w:line="300" w:lineRule="auto"/>
              <w:jc w:val="center"/>
              <w:rPr>
                <w:rFonts w:ascii="Arial" w:hAnsi="Arial" w:cs="Arial"/>
                <w:sz w:val="20"/>
                <w:szCs w:val="20"/>
              </w:rPr>
            </w:pPr>
            <w:r w:rsidRPr="001D7E18">
              <w:rPr>
                <w:rFonts w:ascii="Arial" w:hAnsi="Arial" w:cs="Arial"/>
                <w:color w:val="000000"/>
                <w:sz w:val="20"/>
                <w:szCs w:val="20"/>
              </w:rPr>
              <w:t>67.9%</w:t>
            </w:r>
          </w:p>
        </w:tc>
      </w:tr>
      <w:tr w:rsidR="001D7E18" w14:paraId="3BC05A84" w14:textId="77777777" w:rsidTr="008469E3">
        <w:trPr>
          <w:jc w:val="center"/>
        </w:trPr>
        <w:tc>
          <w:tcPr>
            <w:tcW w:w="2707" w:type="dxa"/>
            <w:hideMark/>
          </w:tcPr>
          <w:p w14:paraId="1EFBA0F0" w14:textId="77777777" w:rsidR="001D7E18" w:rsidRPr="001D7E18" w:rsidRDefault="001D7E18" w:rsidP="0014104A">
            <w:pPr>
              <w:keepNext/>
              <w:spacing w:line="300" w:lineRule="auto"/>
              <w:rPr>
                <w:rFonts w:ascii="Arial" w:hAnsi="Arial" w:cs="Arial"/>
                <w:color w:val="000000"/>
                <w:sz w:val="20"/>
                <w:szCs w:val="20"/>
              </w:rPr>
            </w:pPr>
            <w:r w:rsidRPr="001D7E18">
              <w:rPr>
                <w:rFonts w:ascii="Arial" w:hAnsi="Arial" w:cs="Arial"/>
                <w:color w:val="000000"/>
                <w:sz w:val="20"/>
                <w:szCs w:val="20"/>
              </w:rPr>
              <w:t>Wish to move but cannot</w:t>
            </w:r>
          </w:p>
        </w:tc>
        <w:tc>
          <w:tcPr>
            <w:tcW w:w="2746" w:type="dxa"/>
            <w:hideMark/>
          </w:tcPr>
          <w:p w14:paraId="3659DB00" w14:textId="77777777" w:rsidR="001D7E18" w:rsidRPr="001D7E18" w:rsidRDefault="001D7E18" w:rsidP="0014104A">
            <w:pPr>
              <w:keepNext/>
              <w:spacing w:line="300" w:lineRule="auto"/>
              <w:jc w:val="center"/>
              <w:rPr>
                <w:rFonts w:ascii="Arial" w:hAnsi="Arial" w:cs="Arial"/>
                <w:color w:val="000000"/>
                <w:sz w:val="20"/>
                <w:szCs w:val="20"/>
              </w:rPr>
            </w:pPr>
            <w:r w:rsidRPr="001D7E18">
              <w:rPr>
                <w:rFonts w:ascii="Arial" w:hAnsi="Arial" w:cs="Arial"/>
                <w:color w:val="000000"/>
                <w:sz w:val="20"/>
                <w:szCs w:val="20"/>
              </w:rPr>
              <w:t>2,684</w:t>
            </w:r>
          </w:p>
        </w:tc>
        <w:tc>
          <w:tcPr>
            <w:tcW w:w="2746" w:type="dxa"/>
            <w:hideMark/>
          </w:tcPr>
          <w:p w14:paraId="3033513D" w14:textId="77777777" w:rsidR="001D7E18" w:rsidRPr="001D7E18" w:rsidRDefault="001D7E18" w:rsidP="0014104A">
            <w:pPr>
              <w:keepNext/>
              <w:spacing w:line="300" w:lineRule="auto"/>
              <w:jc w:val="center"/>
              <w:rPr>
                <w:rFonts w:ascii="Arial" w:hAnsi="Arial" w:cs="Arial"/>
                <w:sz w:val="20"/>
                <w:szCs w:val="20"/>
              </w:rPr>
            </w:pPr>
            <w:r w:rsidRPr="001D7E18">
              <w:rPr>
                <w:rFonts w:ascii="Arial" w:hAnsi="Arial" w:cs="Arial"/>
                <w:color w:val="000000"/>
                <w:sz w:val="20"/>
                <w:szCs w:val="20"/>
              </w:rPr>
              <w:t>6.9%</w:t>
            </w:r>
          </w:p>
        </w:tc>
      </w:tr>
      <w:tr w:rsidR="001D7E18" w:rsidRPr="00D24210" w14:paraId="013F9486" w14:textId="77777777" w:rsidTr="008469E3">
        <w:trPr>
          <w:jc w:val="center"/>
        </w:trPr>
        <w:tc>
          <w:tcPr>
            <w:tcW w:w="2707" w:type="dxa"/>
          </w:tcPr>
          <w:p w14:paraId="5D5D4D1F" w14:textId="77777777" w:rsidR="001D7E18" w:rsidRPr="00D24210" w:rsidRDefault="001D7E18" w:rsidP="0014104A">
            <w:pPr>
              <w:keepNext/>
              <w:spacing w:line="300" w:lineRule="auto"/>
              <w:rPr>
                <w:rFonts w:ascii="Arial" w:hAnsi="Arial" w:cs="Arial"/>
                <w:color w:val="000000"/>
                <w:sz w:val="20"/>
                <w:szCs w:val="20"/>
              </w:rPr>
            </w:pPr>
            <w:r w:rsidRPr="00D24210">
              <w:rPr>
                <w:rFonts w:ascii="Arial" w:hAnsi="Arial" w:cs="Arial"/>
                <w:color w:val="000000"/>
                <w:sz w:val="20"/>
                <w:szCs w:val="20"/>
              </w:rPr>
              <w:t>Total</w:t>
            </w:r>
          </w:p>
        </w:tc>
        <w:tc>
          <w:tcPr>
            <w:tcW w:w="2746" w:type="dxa"/>
          </w:tcPr>
          <w:p w14:paraId="5F648FED" w14:textId="77777777" w:rsidR="001D7E18" w:rsidRPr="00D24210" w:rsidRDefault="001D7E18" w:rsidP="0014104A">
            <w:pPr>
              <w:keepNext/>
              <w:spacing w:line="300" w:lineRule="auto"/>
              <w:jc w:val="center"/>
              <w:rPr>
                <w:rFonts w:ascii="Arial" w:hAnsi="Arial" w:cs="Arial"/>
                <w:color w:val="000000"/>
                <w:sz w:val="20"/>
                <w:szCs w:val="20"/>
              </w:rPr>
            </w:pPr>
            <w:r w:rsidRPr="00D24210">
              <w:rPr>
                <w:rFonts w:ascii="Arial" w:hAnsi="Arial" w:cs="Arial"/>
                <w:color w:val="000000"/>
                <w:sz w:val="20"/>
                <w:szCs w:val="20"/>
              </w:rPr>
              <w:t>39,000</w:t>
            </w:r>
          </w:p>
        </w:tc>
        <w:tc>
          <w:tcPr>
            <w:tcW w:w="2746" w:type="dxa"/>
          </w:tcPr>
          <w:p w14:paraId="2FF265FE" w14:textId="77777777" w:rsidR="001D7E18" w:rsidRPr="00D24210" w:rsidRDefault="001D7E18" w:rsidP="0014104A">
            <w:pPr>
              <w:keepNext/>
              <w:spacing w:line="300" w:lineRule="auto"/>
              <w:jc w:val="center"/>
              <w:rPr>
                <w:rFonts w:ascii="Arial" w:hAnsi="Arial" w:cs="Arial"/>
                <w:color w:val="000000"/>
                <w:sz w:val="20"/>
                <w:szCs w:val="20"/>
              </w:rPr>
            </w:pPr>
            <w:r w:rsidRPr="00D24210">
              <w:rPr>
                <w:rFonts w:ascii="Arial" w:hAnsi="Arial" w:cs="Arial"/>
                <w:color w:val="000000"/>
                <w:sz w:val="20"/>
                <w:szCs w:val="20"/>
              </w:rPr>
              <w:t>100.0%</w:t>
            </w:r>
          </w:p>
        </w:tc>
      </w:tr>
    </w:tbl>
    <w:p w14:paraId="7F318496" w14:textId="77777777" w:rsidR="001D7E18" w:rsidRPr="00D24210" w:rsidRDefault="001D7E18" w:rsidP="0014104A">
      <w:pPr>
        <w:spacing w:line="300" w:lineRule="auto"/>
        <w:jc w:val="center"/>
        <w:rPr>
          <w:rFonts w:ascii="Arial" w:hAnsi="Arial" w:cs="Arial"/>
          <w:sz w:val="20"/>
          <w:szCs w:val="20"/>
        </w:rPr>
      </w:pPr>
      <w:r w:rsidRPr="00D24210">
        <w:rPr>
          <w:rFonts w:ascii="Arial" w:hAnsi="Arial" w:cs="Arial"/>
          <w:sz w:val="20"/>
          <w:szCs w:val="20"/>
        </w:rPr>
        <w:t>Source: Household survey</w:t>
      </w:r>
    </w:p>
    <w:p w14:paraId="29B85945" w14:textId="0B3A2DE8" w:rsidR="001D7E18" w:rsidRDefault="001D7E18" w:rsidP="00172F56">
      <w:pPr>
        <w:pStyle w:val="BodyText"/>
        <w:spacing w:after="0" w:line="300" w:lineRule="auto"/>
        <w:jc w:val="both"/>
        <w:rPr>
          <w:rFonts w:cs="Arial"/>
        </w:rPr>
      </w:pPr>
    </w:p>
    <w:p w14:paraId="6E5DC981" w14:textId="75B41F0C" w:rsidR="0019008E" w:rsidRPr="001D7E18" w:rsidRDefault="0019008E">
      <w:pPr>
        <w:pStyle w:val="11Bodytext"/>
        <w:numPr>
          <w:ilvl w:val="1"/>
          <w:numId w:val="40"/>
        </w:numPr>
        <w:spacing w:before="0" w:after="0" w:line="300" w:lineRule="auto"/>
        <w:ind w:left="720" w:hanging="720"/>
        <w:rPr>
          <w:color w:val="auto"/>
        </w:rPr>
      </w:pPr>
      <w:r>
        <w:t>Households in all areas seem to be broadly as likely to say they need or expect to move, with a range from 18% of households in Freckleton, up to 29% in Warton</w:t>
      </w:r>
      <w:r w:rsidRPr="001D7E18">
        <w:t>.</w:t>
      </w:r>
    </w:p>
    <w:p w14:paraId="4759100F" w14:textId="77777777" w:rsidR="0019008E" w:rsidRPr="00D24210" w:rsidRDefault="0019008E" w:rsidP="00172F56">
      <w:pPr>
        <w:pStyle w:val="BodyText"/>
        <w:spacing w:after="0" w:line="300" w:lineRule="auto"/>
        <w:jc w:val="both"/>
        <w:rPr>
          <w:rFonts w:cs="Arial"/>
        </w:rPr>
      </w:pPr>
    </w:p>
    <w:tbl>
      <w:tblPr>
        <w:tblStyle w:val="TableGrid1"/>
        <w:tblW w:w="8199" w:type="dxa"/>
        <w:jc w:val="center"/>
        <w:tblLayout w:type="fixed"/>
        <w:tblLook w:val="04A0" w:firstRow="1" w:lastRow="0" w:firstColumn="1" w:lastColumn="0" w:noHBand="0" w:noVBand="1"/>
      </w:tblPr>
      <w:tblGrid>
        <w:gridCol w:w="2049"/>
        <w:gridCol w:w="2050"/>
        <w:gridCol w:w="2050"/>
        <w:gridCol w:w="2050"/>
      </w:tblGrid>
      <w:tr w:rsidR="001D7E18" w:rsidRPr="0019008E" w14:paraId="213E1FDC" w14:textId="77777777" w:rsidTr="008469E3">
        <w:trPr>
          <w:trHeight w:val="288"/>
          <w:jc w:val="center"/>
        </w:trPr>
        <w:tc>
          <w:tcPr>
            <w:tcW w:w="8199" w:type="dxa"/>
            <w:gridSpan w:val="4"/>
            <w:noWrap/>
            <w:vAlign w:val="center"/>
          </w:tcPr>
          <w:p w14:paraId="204564F0" w14:textId="2911E0D0" w:rsidR="001D7E18" w:rsidRPr="0019008E" w:rsidRDefault="0019008E" w:rsidP="0014104A">
            <w:pPr>
              <w:keepNext/>
              <w:spacing w:before="60" w:after="60" w:line="300" w:lineRule="auto"/>
              <w:jc w:val="center"/>
              <w:rPr>
                <w:rFonts w:ascii="Arial" w:eastAsia="Times New Roman" w:hAnsi="Arial" w:cs="Arial"/>
                <w:b/>
                <w:bCs/>
                <w:color w:val="000000"/>
                <w:sz w:val="20"/>
                <w:szCs w:val="20"/>
                <w:lang w:eastAsia="en-GB"/>
              </w:rPr>
            </w:pPr>
            <w:r w:rsidRPr="0019008E">
              <w:rPr>
                <w:rFonts w:ascii="Arial" w:hAnsi="Arial" w:cs="Arial"/>
                <w:b/>
                <w:bCs/>
                <w:sz w:val="20"/>
                <w:szCs w:val="20"/>
              </w:rPr>
              <w:t>Figure 5.</w:t>
            </w:r>
            <w:r w:rsidR="00AD29A6">
              <w:rPr>
                <w:rFonts w:ascii="Arial" w:hAnsi="Arial" w:cs="Arial"/>
                <w:b/>
                <w:bCs/>
                <w:sz w:val="20"/>
                <w:szCs w:val="20"/>
              </w:rPr>
              <w:t>6</w:t>
            </w:r>
            <w:r w:rsidRPr="0019008E">
              <w:rPr>
                <w:rFonts w:ascii="Arial" w:hAnsi="Arial" w:cs="Arial"/>
                <w:b/>
                <w:bCs/>
                <w:sz w:val="20"/>
                <w:szCs w:val="20"/>
              </w:rPr>
              <w:t xml:space="preserve">: </w:t>
            </w:r>
            <w:r w:rsidR="001D7E18" w:rsidRPr="0019008E">
              <w:rPr>
                <w:rFonts w:ascii="Arial" w:eastAsia="Times New Roman" w:hAnsi="Arial" w:cs="Arial"/>
                <w:b/>
                <w:bCs/>
                <w:color w:val="000000"/>
                <w:sz w:val="20"/>
                <w:szCs w:val="20"/>
                <w:lang w:eastAsia="en-GB"/>
              </w:rPr>
              <w:t>Future movers and sub-area</w:t>
            </w:r>
          </w:p>
        </w:tc>
      </w:tr>
      <w:tr w:rsidR="001D7E18" w:rsidRPr="00D24210" w14:paraId="35475817" w14:textId="77777777" w:rsidTr="008469E3">
        <w:trPr>
          <w:trHeight w:val="288"/>
          <w:jc w:val="center"/>
        </w:trPr>
        <w:tc>
          <w:tcPr>
            <w:tcW w:w="2049" w:type="dxa"/>
            <w:noWrap/>
          </w:tcPr>
          <w:p w14:paraId="6758F823" w14:textId="77777777" w:rsidR="001D7E18" w:rsidRPr="00D24210" w:rsidRDefault="001D7E18" w:rsidP="0014104A">
            <w:pPr>
              <w:keepNext/>
              <w:spacing w:before="60" w:after="60" w:line="300" w:lineRule="auto"/>
              <w:rPr>
                <w:rFonts w:ascii="Arial" w:eastAsia="Times New Roman" w:hAnsi="Arial" w:cs="Arial"/>
                <w:color w:val="000000"/>
                <w:sz w:val="20"/>
                <w:szCs w:val="20"/>
                <w:lang w:eastAsia="en-GB"/>
              </w:rPr>
            </w:pPr>
          </w:p>
        </w:tc>
        <w:tc>
          <w:tcPr>
            <w:tcW w:w="2050" w:type="dxa"/>
            <w:noWrap/>
          </w:tcPr>
          <w:p w14:paraId="5B343FEA" w14:textId="77777777" w:rsidR="001D7E18" w:rsidRPr="00D24210" w:rsidRDefault="001D7E18" w:rsidP="0014104A">
            <w:pPr>
              <w:keepNext/>
              <w:spacing w:before="60" w:after="60"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Future movers</w:t>
            </w:r>
          </w:p>
        </w:tc>
        <w:tc>
          <w:tcPr>
            <w:tcW w:w="2050" w:type="dxa"/>
            <w:noWrap/>
          </w:tcPr>
          <w:p w14:paraId="7E84CEBE" w14:textId="77777777" w:rsidR="001D7E18" w:rsidRPr="00D24210" w:rsidRDefault="001D7E18" w:rsidP="0014104A">
            <w:pPr>
              <w:keepNext/>
              <w:spacing w:before="60" w:after="60"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Total households</w:t>
            </w:r>
          </w:p>
        </w:tc>
        <w:tc>
          <w:tcPr>
            <w:tcW w:w="2050" w:type="dxa"/>
            <w:noWrap/>
          </w:tcPr>
          <w:p w14:paraId="47FC4DF4" w14:textId="77777777" w:rsidR="001D7E18" w:rsidRPr="00D24210" w:rsidRDefault="001D7E18" w:rsidP="0014104A">
            <w:pPr>
              <w:keepNext/>
              <w:spacing w:before="60" w:after="60"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w:t>
            </w:r>
          </w:p>
        </w:tc>
      </w:tr>
      <w:tr w:rsidR="001D7E18" w:rsidRPr="00D24210" w14:paraId="7963A82B" w14:textId="77777777" w:rsidTr="008469E3">
        <w:trPr>
          <w:trHeight w:val="288"/>
          <w:jc w:val="center"/>
        </w:trPr>
        <w:tc>
          <w:tcPr>
            <w:tcW w:w="2049" w:type="dxa"/>
            <w:noWrap/>
            <w:hideMark/>
          </w:tcPr>
          <w:p w14:paraId="0D0B4B04" w14:textId="102B82AF" w:rsidR="001D7E18" w:rsidRPr="00D24210" w:rsidRDefault="00432414" w:rsidP="0014104A">
            <w:pPr>
              <w:keepNext/>
              <w:spacing w:line="30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Annes</w:t>
            </w:r>
          </w:p>
        </w:tc>
        <w:tc>
          <w:tcPr>
            <w:tcW w:w="2050" w:type="dxa"/>
            <w:noWrap/>
            <w:hideMark/>
          </w:tcPr>
          <w:p w14:paraId="05499812"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3,536</w:t>
            </w:r>
          </w:p>
        </w:tc>
        <w:tc>
          <w:tcPr>
            <w:tcW w:w="2050" w:type="dxa"/>
            <w:noWrap/>
            <w:hideMark/>
          </w:tcPr>
          <w:p w14:paraId="735BA62E"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13,811</w:t>
            </w:r>
          </w:p>
        </w:tc>
        <w:tc>
          <w:tcPr>
            <w:tcW w:w="2050" w:type="dxa"/>
            <w:noWrap/>
            <w:hideMark/>
          </w:tcPr>
          <w:p w14:paraId="1E032308"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25.6%</w:t>
            </w:r>
          </w:p>
        </w:tc>
      </w:tr>
      <w:tr w:rsidR="001D7E18" w:rsidRPr="00D24210" w14:paraId="6F294D8D" w14:textId="77777777" w:rsidTr="008469E3">
        <w:trPr>
          <w:trHeight w:val="288"/>
          <w:jc w:val="center"/>
        </w:trPr>
        <w:tc>
          <w:tcPr>
            <w:tcW w:w="2049" w:type="dxa"/>
            <w:noWrap/>
            <w:hideMark/>
          </w:tcPr>
          <w:p w14:paraId="7F3777A6" w14:textId="77777777" w:rsidR="001D7E18" w:rsidRPr="00D24210" w:rsidRDefault="001D7E18"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Lytham</w:t>
            </w:r>
          </w:p>
        </w:tc>
        <w:tc>
          <w:tcPr>
            <w:tcW w:w="2050" w:type="dxa"/>
            <w:noWrap/>
            <w:hideMark/>
          </w:tcPr>
          <w:p w14:paraId="0DF6093A"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2,293</w:t>
            </w:r>
          </w:p>
        </w:tc>
        <w:tc>
          <w:tcPr>
            <w:tcW w:w="2050" w:type="dxa"/>
            <w:noWrap/>
            <w:hideMark/>
          </w:tcPr>
          <w:p w14:paraId="32CCBB88"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8,498</w:t>
            </w:r>
          </w:p>
        </w:tc>
        <w:tc>
          <w:tcPr>
            <w:tcW w:w="2050" w:type="dxa"/>
            <w:noWrap/>
            <w:hideMark/>
          </w:tcPr>
          <w:p w14:paraId="7343127D"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27.0%</w:t>
            </w:r>
          </w:p>
        </w:tc>
      </w:tr>
      <w:tr w:rsidR="001D7E18" w:rsidRPr="00D24210" w14:paraId="47AB8F02" w14:textId="77777777" w:rsidTr="008469E3">
        <w:trPr>
          <w:trHeight w:val="288"/>
          <w:jc w:val="center"/>
        </w:trPr>
        <w:tc>
          <w:tcPr>
            <w:tcW w:w="2049" w:type="dxa"/>
            <w:noWrap/>
            <w:hideMark/>
          </w:tcPr>
          <w:p w14:paraId="1E911C13" w14:textId="77777777" w:rsidR="001D7E18" w:rsidRPr="00D24210" w:rsidRDefault="001D7E18"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Warton</w:t>
            </w:r>
          </w:p>
        </w:tc>
        <w:tc>
          <w:tcPr>
            <w:tcW w:w="2050" w:type="dxa"/>
            <w:noWrap/>
            <w:hideMark/>
          </w:tcPr>
          <w:p w14:paraId="3FEED680"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621</w:t>
            </w:r>
          </w:p>
        </w:tc>
        <w:tc>
          <w:tcPr>
            <w:tcW w:w="2050" w:type="dxa"/>
            <w:noWrap/>
            <w:hideMark/>
          </w:tcPr>
          <w:p w14:paraId="48A7BEEC"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2,144</w:t>
            </w:r>
          </w:p>
        </w:tc>
        <w:tc>
          <w:tcPr>
            <w:tcW w:w="2050" w:type="dxa"/>
            <w:noWrap/>
            <w:hideMark/>
          </w:tcPr>
          <w:p w14:paraId="66543614"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29.0%</w:t>
            </w:r>
          </w:p>
        </w:tc>
      </w:tr>
      <w:tr w:rsidR="001D7E18" w:rsidRPr="00D24210" w14:paraId="29587A8B" w14:textId="77777777" w:rsidTr="008469E3">
        <w:trPr>
          <w:trHeight w:val="288"/>
          <w:jc w:val="center"/>
        </w:trPr>
        <w:tc>
          <w:tcPr>
            <w:tcW w:w="2049" w:type="dxa"/>
            <w:noWrap/>
            <w:hideMark/>
          </w:tcPr>
          <w:p w14:paraId="1B9A0F3A" w14:textId="77777777" w:rsidR="001D7E18" w:rsidRPr="00D24210" w:rsidRDefault="001D7E18"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FB Periphery</w:t>
            </w:r>
          </w:p>
        </w:tc>
        <w:tc>
          <w:tcPr>
            <w:tcW w:w="2050" w:type="dxa"/>
            <w:noWrap/>
            <w:hideMark/>
          </w:tcPr>
          <w:p w14:paraId="0046F333"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316</w:t>
            </w:r>
          </w:p>
        </w:tc>
        <w:tc>
          <w:tcPr>
            <w:tcW w:w="2050" w:type="dxa"/>
            <w:noWrap/>
            <w:hideMark/>
          </w:tcPr>
          <w:p w14:paraId="3CEC97CF"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1,129</w:t>
            </w:r>
          </w:p>
        </w:tc>
        <w:tc>
          <w:tcPr>
            <w:tcW w:w="2050" w:type="dxa"/>
            <w:noWrap/>
            <w:hideMark/>
          </w:tcPr>
          <w:p w14:paraId="5B88C773"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28.0%</w:t>
            </w:r>
          </w:p>
        </w:tc>
      </w:tr>
      <w:tr w:rsidR="001D7E18" w:rsidRPr="00D24210" w14:paraId="2EBBDCE8" w14:textId="77777777" w:rsidTr="008469E3">
        <w:trPr>
          <w:trHeight w:val="288"/>
          <w:jc w:val="center"/>
        </w:trPr>
        <w:tc>
          <w:tcPr>
            <w:tcW w:w="2049" w:type="dxa"/>
            <w:noWrap/>
            <w:hideMark/>
          </w:tcPr>
          <w:p w14:paraId="4261F253" w14:textId="77777777" w:rsidR="001D7E18" w:rsidRPr="00D24210" w:rsidRDefault="001D7E18"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Kirkham</w:t>
            </w:r>
          </w:p>
        </w:tc>
        <w:tc>
          <w:tcPr>
            <w:tcW w:w="2050" w:type="dxa"/>
            <w:noWrap/>
            <w:hideMark/>
          </w:tcPr>
          <w:p w14:paraId="429A2D19"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806</w:t>
            </w:r>
          </w:p>
        </w:tc>
        <w:tc>
          <w:tcPr>
            <w:tcW w:w="2050" w:type="dxa"/>
            <w:noWrap/>
            <w:hideMark/>
          </w:tcPr>
          <w:p w14:paraId="2FC0F4D8"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3,285</w:t>
            </w:r>
          </w:p>
        </w:tc>
        <w:tc>
          <w:tcPr>
            <w:tcW w:w="2050" w:type="dxa"/>
            <w:noWrap/>
            <w:hideMark/>
          </w:tcPr>
          <w:p w14:paraId="187DD75E"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24.5%</w:t>
            </w:r>
          </w:p>
        </w:tc>
      </w:tr>
      <w:tr w:rsidR="001D7E18" w:rsidRPr="00D24210" w14:paraId="5D5C058C" w14:textId="77777777" w:rsidTr="008469E3">
        <w:trPr>
          <w:trHeight w:val="288"/>
          <w:jc w:val="center"/>
        </w:trPr>
        <w:tc>
          <w:tcPr>
            <w:tcW w:w="2049" w:type="dxa"/>
            <w:noWrap/>
            <w:hideMark/>
          </w:tcPr>
          <w:p w14:paraId="78168D1D" w14:textId="77777777" w:rsidR="001D7E18" w:rsidRPr="00D24210" w:rsidRDefault="001D7E18"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Wesham</w:t>
            </w:r>
          </w:p>
        </w:tc>
        <w:tc>
          <w:tcPr>
            <w:tcW w:w="2050" w:type="dxa"/>
            <w:noWrap/>
            <w:hideMark/>
          </w:tcPr>
          <w:p w14:paraId="143093C3"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536</w:t>
            </w:r>
          </w:p>
        </w:tc>
        <w:tc>
          <w:tcPr>
            <w:tcW w:w="2050" w:type="dxa"/>
            <w:noWrap/>
            <w:hideMark/>
          </w:tcPr>
          <w:p w14:paraId="26A16DFE"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1,942</w:t>
            </w:r>
          </w:p>
        </w:tc>
        <w:tc>
          <w:tcPr>
            <w:tcW w:w="2050" w:type="dxa"/>
            <w:noWrap/>
            <w:hideMark/>
          </w:tcPr>
          <w:p w14:paraId="1A056E0F"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27.6%</w:t>
            </w:r>
          </w:p>
        </w:tc>
      </w:tr>
      <w:tr w:rsidR="001D7E18" w:rsidRPr="00D24210" w14:paraId="51343A7E" w14:textId="77777777" w:rsidTr="008469E3">
        <w:trPr>
          <w:trHeight w:val="288"/>
          <w:jc w:val="center"/>
        </w:trPr>
        <w:tc>
          <w:tcPr>
            <w:tcW w:w="2049" w:type="dxa"/>
            <w:noWrap/>
            <w:hideMark/>
          </w:tcPr>
          <w:p w14:paraId="2E4DAC5E" w14:textId="77777777" w:rsidR="001D7E18" w:rsidRPr="00D24210" w:rsidRDefault="001D7E18"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Freckleton</w:t>
            </w:r>
          </w:p>
        </w:tc>
        <w:tc>
          <w:tcPr>
            <w:tcW w:w="2050" w:type="dxa"/>
            <w:noWrap/>
            <w:hideMark/>
          </w:tcPr>
          <w:p w14:paraId="74DA6A30"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478</w:t>
            </w:r>
          </w:p>
        </w:tc>
        <w:tc>
          <w:tcPr>
            <w:tcW w:w="2050" w:type="dxa"/>
            <w:noWrap/>
            <w:hideMark/>
          </w:tcPr>
          <w:p w14:paraId="7A289DAF"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2,678</w:t>
            </w:r>
          </w:p>
        </w:tc>
        <w:tc>
          <w:tcPr>
            <w:tcW w:w="2050" w:type="dxa"/>
            <w:noWrap/>
            <w:hideMark/>
          </w:tcPr>
          <w:p w14:paraId="0336324C"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17.8%</w:t>
            </w:r>
          </w:p>
        </w:tc>
      </w:tr>
      <w:tr w:rsidR="001D7E18" w:rsidRPr="00D24210" w14:paraId="4ED98CDB" w14:textId="77777777" w:rsidTr="008469E3">
        <w:trPr>
          <w:trHeight w:val="288"/>
          <w:jc w:val="center"/>
        </w:trPr>
        <w:tc>
          <w:tcPr>
            <w:tcW w:w="2049" w:type="dxa"/>
            <w:noWrap/>
            <w:hideMark/>
          </w:tcPr>
          <w:p w14:paraId="5BB4C60C" w14:textId="77777777" w:rsidR="001D7E18" w:rsidRPr="00D24210" w:rsidRDefault="001D7E18"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Rural North</w:t>
            </w:r>
          </w:p>
        </w:tc>
        <w:tc>
          <w:tcPr>
            <w:tcW w:w="2050" w:type="dxa"/>
            <w:noWrap/>
            <w:hideMark/>
          </w:tcPr>
          <w:p w14:paraId="411E95C6"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682</w:t>
            </w:r>
          </w:p>
        </w:tc>
        <w:tc>
          <w:tcPr>
            <w:tcW w:w="2050" w:type="dxa"/>
            <w:noWrap/>
            <w:hideMark/>
          </w:tcPr>
          <w:p w14:paraId="4D64977C"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2,840</w:t>
            </w:r>
          </w:p>
        </w:tc>
        <w:tc>
          <w:tcPr>
            <w:tcW w:w="2050" w:type="dxa"/>
            <w:noWrap/>
            <w:hideMark/>
          </w:tcPr>
          <w:p w14:paraId="27143F9F"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24.0%</w:t>
            </w:r>
          </w:p>
        </w:tc>
      </w:tr>
      <w:tr w:rsidR="001D7E18" w:rsidRPr="00D24210" w14:paraId="61AADA40" w14:textId="77777777" w:rsidTr="008469E3">
        <w:trPr>
          <w:trHeight w:val="288"/>
          <w:jc w:val="center"/>
        </w:trPr>
        <w:tc>
          <w:tcPr>
            <w:tcW w:w="2049" w:type="dxa"/>
            <w:noWrap/>
            <w:hideMark/>
          </w:tcPr>
          <w:p w14:paraId="0AFD7C16" w14:textId="77777777" w:rsidR="001D7E18" w:rsidRPr="00D24210" w:rsidRDefault="001D7E18"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Rural West</w:t>
            </w:r>
          </w:p>
        </w:tc>
        <w:tc>
          <w:tcPr>
            <w:tcW w:w="2050" w:type="dxa"/>
            <w:noWrap/>
            <w:hideMark/>
          </w:tcPr>
          <w:p w14:paraId="398E1941"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264</w:t>
            </w:r>
          </w:p>
        </w:tc>
        <w:tc>
          <w:tcPr>
            <w:tcW w:w="2050" w:type="dxa"/>
            <w:noWrap/>
            <w:hideMark/>
          </w:tcPr>
          <w:p w14:paraId="1B6BB479"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1,325</w:t>
            </w:r>
          </w:p>
        </w:tc>
        <w:tc>
          <w:tcPr>
            <w:tcW w:w="2050" w:type="dxa"/>
            <w:noWrap/>
            <w:hideMark/>
          </w:tcPr>
          <w:p w14:paraId="0DF741FA"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19.9%</w:t>
            </w:r>
          </w:p>
        </w:tc>
      </w:tr>
      <w:tr w:rsidR="001D7E18" w:rsidRPr="00D24210" w14:paraId="5E173979" w14:textId="77777777" w:rsidTr="008469E3">
        <w:trPr>
          <w:trHeight w:val="288"/>
          <w:jc w:val="center"/>
        </w:trPr>
        <w:tc>
          <w:tcPr>
            <w:tcW w:w="2049" w:type="dxa"/>
            <w:noWrap/>
            <w:hideMark/>
          </w:tcPr>
          <w:p w14:paraId="7283BF8F" w14:textId="77777777" w:rsidR="001D7E18" w:rsidRPr="00D24210" w:rsidRDefault="001D7E18"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Rural East</w:t>
            </w:r>
          </w:p>
        </w:tc>
        <w:tc>
          <w:tcPr>
            <w:tcW w:w="2050" w:type="dxa"/>
            <w:noWrap/>
            <w:hideMark/>
          </w:tcPr>
          <w:p w14:paraId="4358C9E2"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301</w:t>
            </w:r>
          </w:p>
        </w:tc>
        <w:tc>
          <w:tcPr>
            <w:tcW w:w="2050" w:type="dxa"/>
            <w:noWrap/>
            <w:hideMark/>
          </w:tcPr>
          <w:p w14:paraId="4045C389"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1,348</w:t>
            </w:r>
          </w:p>
        </w:tc>
        <w:tc>
          <w:tcPr>
            <w:tcW w:w="2050" w:type="dxa"/>
            <w:noWrap/>
            <w:hideMark/>
          </w:tcPr>
          <w:p w14:paraId="4F6B2FD7"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22.3%</w:t>
            </w:r>
          </w:p>
        </w:tc>
      </w:tr>
      <w:tr w:rsidR="001D7E18" w:rsidRPr="00D24210" w14:paraId="03DA7D6A" w14:textId="77777777" w:rsidTr="008469E3">
        <w:trPr>
          <w:trHeight w:val="288"/>
          <w:jc w:val="center"/>
        </w:trPr>
        <w:tc>
          <w:tcPr>
            <w:tcW w:w="2049" w:type="dxa"/>
            <w:noWrap/>
            <w:hideMark/>
          </w:tcPr>
          <w:p w14:paraId="3C04C627" w14:textId="77777777" w:rsidR="001D7E18" w:rsidRPr="00D24210" w:rsidRDefault="001D7E18"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TOTAL</w:t>
            </w:r>
          </w:p>
        </w:tc>
        <w:tc>
          <w:tcPr>
            <w:tcW w:w="2050" w:type="dxa"/>
            <w:noWrap/>
            <w:hideMark/>
          </w:tcPr>
          <w:p w14:paraId="1E328EED"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9,832</w:t>
            </w:r>
          </w:p>
        </w:tc>
        <w:tc>
          <w:tcPr>
            <w:tcW w:w="2050" w:type="dxa"/>
            <w:noWrap/>
            <w:hideMark/>
          </w:tcPr>
          <w:p w14:paraId="14A1DBE3"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39,000</w:t>
            </w:r>
          </w:p>
        </w:tc>
        <w:tc>
          <w:tcPr>
            <w:tcW w:w="2050" w:type="dxa"/>
            <w:noWrap/>
            <w:hideMark/>
          </w:tcPr>
          <w:p w14:paraId="207D5960" w14:textId="77777777" w:rsidR="001D7E18" w:rsidRPr="00D24210" w:rsidRDefault="001D7E18" w:rsidP="0014104A">
            <w:pPr>
              <w:keepNext/>
              <w:spacing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25.2%</w:t>
            </w:r>
          </w:p>
        </w:tc>
      </w:tr>
    </w:tbl>
    <w:p w14:paraId="1450BFC1" w14:textId="77777777" w:rsidR="0019008E" w:rsidRPr="00D24210" w:rsidRDefault="0019008E" w:rsidP="0014104A">
      <w:pPr>
        <w:spacing w:line="300" w:lineRule="auto"/>
        <w:jc w:val="center"/>
        <w:rPr>
          <w:rFonts w:ascii="Arial" w:hAnsi="Arial" w:cs="Arial"/>
          <w:sz w:val="20"/>
          <w:szCs w:val="20"/>
        </w:rPr>
      </w:pPr>
      <w:r w:rsidRPr="00D24210">
        <w:rPr>
          <w:rFonts w:ascii="Arial" w:hAnsi="Arial" w:cs="Arial"/>
          <w:sz w:val="20"/>
          <w:szCs w:val="20"/>
        </w:rPr>
        <w:t>Source: Household survey</w:t>
      </w:r>
    </w:p>
    <w:p w14:paraId="324102F0" w14:textId="77777777" w:rsidR="00266C59" w:rsidRDefault="00266C59" w:rsidP="00172F56">
      <w:pPr>
        <w:pStyle w:val="BodyText"/>
        <w:spacing w:after="0" w:line="300" w:lineRule="auto"/>
        <w:jc w:val="both"/>
        <w:rPr>
          <w:rFonts w:cs="Arial"/>
        </w:rPr>
      </w:pPr>
    </w:p>
    <w:p w14:paraId="2D2353E8" w14:textId="76847DD3" w:rsidR="00266C59" w:rsidRPr="00C3742A" w:rsidRDefault="00266C59">
      <w:pPr>
        <w:pStyle w:val="11Bodytext"/>
        <w:numPr>
          <w:ilvl w:val="1"/>
          <w:numId w:val="40"/>
        </w:numPr>
        <w:spacing w:before="0" w:after="0" w:line="300" w:lineRule="auto"/>
        <w:ind w:left="720" w:hanging="720"/>
      </w:pPr>
      <w:r>
        <w:t>The figure below shows the reasons households say they need or expect to move. The main reason is that their current home is too small (2,468 households – 25% of the total) followed by to move to cheaper accommodation (1,941 households)</w:t>
      </w:r>
      <w:r w:rsidRPr="001D7E18">
        <w:t>.</w:t>
      </w:r>
      <w:r>
        <w:t xml:space="preserve"> Balancing </w:t>
      </w:r>
      <w:r w:rsidR="00C3742A">
        <w:t>‘</w:t>
      </w:r>
      <w:r>
        <w:t>home is too small</w:t>
      </w:r>
      <w:r w:rsidR="00C3742A">
        <w:t>’</w:t>
      </w:r>
      <w:r>
        <w:t>, it is noteworthy that a relatively high number of hous</w:t>
      </w:r>
      <w:r w:rsidR="00C3742A">
        <w:t>e</w:t>
      </w:r>
      <w:r>
        <w:t>holds stated that their home is too big (</w:t>
      </w:r>
      <w:r w:rsidR="00C3742A">
        <w:t>1,749 – 18%). It should be noted that the total number of reasons given is in excess of the total needing or expecting to move as respondents could provide more than one reason for moving.</w:t>
      </w:r>
    </w:p>
    <w:p w14:paraId="0D6E2776" w14:textId="77777777" w:rsidR="00266C59" w:rsidRPr="00D24210" w:rsidRDefault="00266C59" w:rsidP="00172F56">
      <w:pPr>
        <w:pStyle w:val="BodyText"/>
        <w:spacing w:after="0" w:line="300" w:lineRule="auto"/>
        <w:jc w:val="both"/>
        <w:rPr>
          <w:rFonts w:cs="Arial"/>
        </w:rPr>
      </w:pPr>
    </w:p>
    <w:tbl>
      <w:tblPr>
        <w:tblStyle w:val="TableTheme"/>
        <w:tblW w:w="8199" w:type="dxa"/>
        <w:jc w:val="center"/>
        <w:tblLook w:val="04A0" w:firstRow="1" w:lastRow="0" w:firstColumn="1" w:lastColumn="0" w:noHBand="0" w:noVBand="1"/>
      </w:tblPr>
      <w:tblGrid>
        <w:gridCol w:w="8199"/>
      </w:tblGrid>
      <w:tr w:rsidR="00C3742A" w:rsidRPr="00C3742A" w14:paraId="21592656" w14:textId="77777777" w:rsidTr="00C3742A">
        <w:trPr>
          <w:jc w:val="center"/>
        </w:trPr>
        <w:tc>
          <w:tcPr>
            <w:tcW w:w="8199" w:type="dxa"/>
          </w:tcPr>
          <w:p w14:paraId="1F7D34A3" w14:textId="3B18867B" w:rsidR="00C3742A" w:rsidRPr="00C3742A" w:rsidRDefault="00C3742A" w:rsidP="0014104A">
            <w:pPr>
              <w:pStyle w:val="BodyText"/>
              <w:keepNext/>
              <w:spacing w:before="60" w:after="60" w:line="300" w:lineRule="auto"/>
              <w:jc w:val="center"/>
              <w:rPr>
                <w:rFonts w:cs="Arial"/>
                <w:b/>
                <w:bCs/>
              </w:rPr>
            </w:pPr>
            <w:r w:rsidRPr="00C3742A">
              <w:rPr>
                <w:rFonts w:cs="Arial"/>
                <w:b/>
                <w:bCs/>
              </w:rPr>
              <w:t>Figure 5.</w:t>
            </w:r>
            <w:r w:rsidR="00AD29A6">
              <w:rPr>
                <w:rFonts w:cs="Arial"/>
                <w:b/>
                <w:bCs/>
              </w:rPr>
              <w:t>7</w:t>
            </w:r>
            <w:r w:rsidRPr="00C3742A">
              <w:rPr>
                <w:rFonts w:cs="Arial"/>
                <w:b/>
                <w:bCs/>
              </w:rPr>
              <w:t>: Reasons for households needing or expecting to move home</w:t>
            </w:r>
          </w:p>
        </w:tc>
      </w:tr>
      <w:tr w:rsidR="00C3742A" w14:paraId="1D77DDE8" w14:textId="77777777" w:rsidTr="00C3742A">
        <w:trPr>
          <w:jc w:val="center"/>
        </w:trPr>
        <w:tc>
          <w:tcPr>
            <w:tcW w:w="8199" w:type="dxa"/>
          </w:tcPr>
          <w:p w14:paraId="74207D67" w14:textId="6B9932A4" w:rsidR="00C3742A" w:rsidRDefault="00C3742A" w:rsidP="00172F56">
            <w:pPr>
              <w:pStyle w:val="BodyText"/>
              <w:keepNext/>
              <w:spacing w:after="0" w:line="300" w:lineRule="auto"/>
              <w:jc w:val="center"/>
              <w:rPr>
                <w:rFonts w:cs="Arial"/>
              </w:rPr>
            </w:pPr>
            <w:r w:rsidRPr="00D24210">
              <w:rPr>
                <w:rFonts w:cs="Arial"/>
                <w:noProof/>
              </w:rPr>
              <w:drawing>
                <wp:inline distT="0" distB="0" distL="0" distR="0" wp14:anchorId="6F38BC48" wp14:editId="40FB87CA">
                  <wp:extent cx="5040000" cy="4320000"/>
                  <wp:effectExtent l="0" t="0" r="8255"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7CB1E08C" w14:textId="77777777" w:rsidR="00C3742A" w:rsidRPr="00D24210" w:rsidRDefault="00C3742A" w:rsidP="0014104A">
      <w:pPr>
        <w:spacing w:line="300" w:lineRule="auto"/>
        <w:jc w:val="center"/>
        <w:rPr>
          <w:rFonts w:ascii="Arial" w:hAnsi="Arial" w:cs="Arial"/>
          <w:sz w:val="20"/>
          <w:szCs w:val="20"/>
        </w:rPr>
      </w:pPr>
      <w:r w:rsidRPr="00D24210">
        <w:rPr>
          <w:rFonts w:ascii="Arial" w:hAnsi="Arial" w:cs="Arial"/>
          <w:sz w:val="20"/>
          <w:szCs w:val="20"/>
        </w:rPr>
        <w:t>Source: Household survey</w:t>
      </w:r>
    </w:p>
    <w:p w14:paraId="556B32AF" w14:textId="77777777" w:rsidR="00C3742A" w:rsidRDefault="00C3742A" w:rsidP="00172F56">
      <w:pPr>
        <w:pStyle w:val="BodyText"/>
        <w:spacing w:after="0" w:line="300" w:lineRule="auto"/>
        <w:jc w:val="both"/>
        <w:rPr>
          <w:rFonts w:cs="Arial"/>
        </w:rPr>
      </w:pPr>
    </w:p>
    <w:p w14:paraId="2B653F8F" w14:textId="43D4D51C" w:rsidR="001D7E18" w:rsidRDefault="001D7E18">
      <w:pPr>
        <w:pStyle w:val="11Bodytext"/>
        <w:numPr>
          <w:ilvl w:val="1"/>
          <w:numId w:val="40"/>
        </w:numPr>
        <w:spacing w:before="0" w:after="0" w:line="300" w:lineRule="auto"/>
        <w:ind w:left="720" w:hanging="720"/>
      </w:pPr>
      <w:r w:rsidRPr="00C3742A">
        <w:t xml:space="preserve">A </w:t>
      </w:r>
      <w:r w:rsidR="00CB0B57">
        <w:t xml:space="preserve">comparison of </w:t>
      </w:r>
      <w:r w:rsidR="00E83027">
        <w:t xml:space="preserve">households’ </w:t>
      </w:r>
      <w:r w:rsidR="00CB0B57">
        <w:t xml:space="preserve">likelihood </w:t>
      </w:r>
      <w:r w:rsidR="00E83027">
        <w:t>to move</w:t>
      </w:r>
      <w:r w:rsidRPr="00C3742A">
        <w:t xml:space="preserve"> with current tenure shows that households who need or expect to move were far more likely to be living in private rented accommodation than to be an owner-occupier. Of those wishing to move but who cannot, the majority are currently living in private rented accommodation.</w:t>
      </w:r>
    </w:p>
    <w:p w14:paraId="3E549127" w14:textId="77777777" w:rsidR="00C3742A" w:rsidRPr="00C3742A" w:rsidRDefault="00C3742A" w:rsidP="00172F56">
      <w:pPr>
        <w:pStyle w:val="11Bodytext"/>
        <w:numPr>
          <w:ilvl w:val="0"/>
          <w:numId w:val="0"/>
        </w:numPr>
        <w:spacing w:before="0" w:after="0" w:line="300" w:lineRule="auto"/>
      </w:pPr>
    </w:p>
    <w:tbl>
      <w:tblPr>
        <w:tblStyle w:val="TableGrid1"/>
        <w:tblW w:w="8199" w:type="dxa"/>
        <w:jc w:val="center"/>
        <w:tblLayout w:type="fixed"/>
        <w:tblLook w:val="04A0" w:firstRow="1" w:lastRow="0" w:firstColumn="1" w:lastColumn="0" w:noHBand="0" w:noVBand="1"/>
      </w:tblPr>
      <w:tblGrid>
        <w:gridCol w:w="2263"/>
        <w:gridCol w:w="1484"/>
        <w:gridCol w:w="1484"/>
        <w:gridCol w:w="1484"/>
        <w:gridCol w:w="1484"/>
      </w:tblGrid>
      <w:tr w:rsidR="001D7E18" w:rsidRPr="00C3742A" w14:paraId="60021ADD" w14:textId="77777777" w:rsidTr="00C3742A">
        <w:trPr>
          <w:trHeight w:val="288"/>
          <w:jc w:val="center"/>
        </w:trPr>
        <w:tc>
          <w:tcPr>
            <w:tcW w:w="8199" w:type="dxa"/>
            <w:gridSpan w:val="5"/>
          </w:tcPr>
          <w:p w14:paraId="664429BD" w14:textId="4C23CBEB" w:rsidR="001D7E18" w:rsidRPr="00C3742A" w:rsidRDefault="00C3742A" w:rsidP="0014104A">
            <w:pPr>
              <w:keepNext/>
              <w:spacing w:before="60" w:after="60" w:line="300" w:lineRule="auto"/>
              <w:jc w:val="center"/>
              <w:rPr>
                <w:rFonts w:ascii="Arial" w:hAnsi="Arial" w:cs="Arial"/>
                <w:b/>
                <w:bCs/>
                <w:sz w:val="20"/>
                <w:szCs w:val="20"/>
              </w:rPr>
            </w:pPr>
            <w:r w:rsidRPr="00C3742A">
              <w:rPr>
                <w:rFonts w:ascii="Arial" w:hAnsi="Arial" w:cs="Arial"/>
                <w:b/>
                <w:bCs/>
                <w:sz w:val="20"/>
                <w:szCs w:val="20"/>
              </w:rPr>
              <w:t>Figure 5.</w:t>
            </w:r>
            <w:r w:rsidR="00AD29A6">
              <w:rPr>
                <w:rFonts w:ascii="Arial" w:hAnsi="Arial" w:cs="Arial"/>
                <w:b/>
                <w:bCs/>
                <w:sz w:val="20"/>
                <w:szCs w:val="20"/>
              </w:rPr>
              <w:t>8</w:t>
            </w:r>
            <w:r w:rsidRPr="00C3742A">
              <w:rPr>
                <w:rFonts w:ascii="Arial" w:hAnsi="Arial" w:cs="Arial"/>
                <w:b/>
                <w:bCs/>
                <w:sz w:val="20"/>
                <w:szCs w:val="20"/>
              </w:rPr>
              <w:t xml:space="preserve">: </w:t>
            </w:r>
            <w:r w:rsidR="001D7E18" w:rsidRPr="00C3742A">
              <w:rPr>
                <w:rFonts w:ascii="Arial" w:hAnsi="Arial" w:cs="Arial"/>
                <w:b/>
                <w:bCs/>
                <w:sz w:val="20"/>
                <w:szCs w:val="20"/>
              </w:rPr>
              <w:t xml:space="preserve">Current </w:t>
            </w:r>
            <w:r w:rsidRPr="00C3742A">
              <w:rPr>
                <w:rFonts w:ascii="Arial" w:hAnsi="Arial" w:cs="Arial"/>
                <w:b/>
                <w:bCs/>
                <w:sz w:val="20"/>
                <w:szCs w:val="20"/>
              </w:rPr>
              <w:t>t</w:t>
            </w:r>
            <w:r w:rsidR="001D7E18" w:rsidRPr="00C3742A">
              <w:rPr>
                <w:rFonts w:ascii="Arial" w:hAnsi="Arial" w:cs="Arial"/>
                <w:b/>
                <w:bCs/>
                <w:sz w:val="20"/>
                <w:szCs w:val="20"/>
              </w:rPr>
              <w:t xml:space="preserve">enure of </w:t>
            </w:r>
            <w:r w:rsidRPr="00C3742A">
              <w:rPr>
                <w:rFonts w:ascii="Arial" w:hAnsi="Arial" w:cs="Arial"/>
                <w:b/>
                <w:bCs/>
                <w:sz w:val="20"/>
                <w:szCs w:val="20"/>
              </w:rPr>
              <w:t>h</w:t>
            </w:r>
            <w:r w:rsidR="001D7E18" w:rsidRPr="00C3742A">
              <w:rPr>
                <w:rFonts w:ascii="Arial" w:hAnsi="Arial" w:cs="Arial"/>
                <w:b/>
                <w:bCs/>
                <w:sz w:val="20"/>
                <w:szCs w:val="20"/>
              </w:rPr>
              <w:t xml:space="preserve">ouseholds </w:t>
            </w:r>
            <w:r w:rsidRPr="00C3742A">
              <w:rPr>
                <w:rFonts w:ascii="Arial" w:hAnsi="Arial" w:cs="Arial"/>
                <w:b/>
                <w:bCs/>
                <w:sz w:val="20"/>
                <w:szCs w:val="20"/>
              </w:rPr>
              <w:t>s</w:t>
            </w:r>
            <w:r w:rsidR="001D7E18" w:rsidRPr="00C3742A">
              <w:rPr>
                <w:rFonts w:ascii="Arial" w:hAnsi="Arial" w:cs="Arial"/>
                <w:b/>
                <w:bCs/>
                <w:sz w:val="20"/>
                <w:szCs w:val="20"/>
              </w:rPr>
              <w:t>tating a need or likelihood of moving</w:t>
            </w:r>
          </w:p>
        </w:tc>
      </w:tr>
      <w:tr w:rsidR="001D7E18" w:rsidRPr="00D24210" w14:paraId="6AE0910D" w14:textId="77777777" w:rsidTr="00C3742A">
        <w:trPr>
          <w:trHeight w:val="288"/>
          <w:jc w:val="center"/>
        </w:trPr>
        <w:tc>
          <w:tcPr>
            <w:tcW w:w="2263" w:type="dxa"/>
          </w:tcPr>
          <w:p w14:paraId="4BCD7D01" w14:textId="77777777" w:rsidR="001D7E18" w:rsidRPr="00D24210" w:rsidRDefault="001D7E18" w:rsidP="0014104A">
            <w:pPr>
              <w:keepNext/>
              <w:spacing w:line="300" w:lineRule="auto"/>
              <w:rPr>
                <w:rFonts w:ascii="Arial" w:hAnsi="Arial" w:cs="Arial"/>
                <w:sz w:val="20"/>
                <w:szCs w:val="20"/>
              </w:rPr>
            </w:pPr>
          </w:p>
        </w:tc>
        <w:tc>
          <w:tcPr>
            <w:tcW w:w="1484" w:type="dxa"/>
            <w:noWrap/>
            <w:hideMark/>
          </w:tcPr>
          <w:p w14:paraId="25417EB5"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Number needing/likely to move</w:t>
            </w:r>
          </w:p>
        </w:tc>
        <w:tc>
          <w:tcPr>
            <w:tcW w:w="1484" w:type="dxa"/>
            <w:noWrap/>
            <w:hideMark/>
          </w:tcPr>
          <w:p w14:paraId="5CA6BC72"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Estimated size of tenure group</w:t>
            </w:r>
          </w:p>
        </w:tc>
        <w:tc>
          <w:tcPr>
            <w:tcW w:w="1484" w:type="dxa"/>
            <w:noWrap/>
            <w:hideMark/>
          </w:tcPr>
          <w:p w14:paraId="03984154" w14:textId="0563D518"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 of tenure group needing</w:t>
            </w:r>
            <w:r w:rsidR="00EE37D0">
              <w:rPr>
                <w:rFonts w:ascii="Arial" w:hAnsi="Arial" w:cs="Arial"/>
                <w:sz w:val="20"/>
                <w:szCs w:val="20"/>
              </w:rPr>
              <w:t>/ likely</w:t>
            </w:r>
            <w:r w:rsidRPr="00D24210">
              <w:rPr>
                <w:rFonts w:ascii="Arial" w:hAnsi="Arial" w:cs="Arial"/>
                <w:sz w:val="20"/>
                <w:szCs w:val="20"/>
              </w:rPr>
              <w:t xml:space="preserve"> to move</w:t>
            </w:r>
          </w:p>
        </w:tc>
        <w:tc>
          <w:tcPr>
            <w:tcW w:w="1484" w:type="dxa"/>
            <w:noWrap/>
            <w:hideMark/>
          </w:tcPr>
          <w:p w14:paraId="030ED3D0" w14:textId="359FFBE8"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 of those needing</w:t>
            </w:r>
            <w:r w:rsidR="00EE37D0">
              <w:rPr>
                <w:rFonts w:ascii="Arial" w:hAnsi="Arial" w:cs="Arial"/>
                <w:sz w:val="20"/>
                <w:szCs w:val="20"/>
              </w:rPr>
              <w:t>/ likely</w:t>
            </w:r>
            <w:r w:rsidRPr="00D24210">
              <w:rPr>
                <w:rFonts w:ascii="Arial" w:hAnsi="Arial" w:cs="Arial"/>
                <w:sz w:val="20"/>
                <w:szCs w:val="20"/>
              </w:rPr>
              <w:t xml:space="preserve"> to move in tenure group</w:t>
            </w:r>
          </w:p>
        </w:tc>
      </w:tr>
      <w:tr w:rsidR="001D7E18" w:rsidRPr="00D24210" w14:paraId="43A6DC36" w14:textId="77777777" w:rsidTr="00C3742A">
        <w:trPr>
          <w:trHeight w:val="288"/>
          <w:jc w:val="center"/>
        </w:trPr>
        <w:tc>
          <w:tcPr>
            <w:tcW w:w="2263" w:type="dxa"/>
            <w:hideMark/>
          </w:tcPr>
          <w:p w14:paraId="44298C4C" w14:textId="77777777" w:rsidR="001D7E18" w:rsidRPr="00D24210" w:rsidRDefault="001D7E18" w:rsidP="0014104A">
            <w:pPr>
              <w:keepNext/>
              <w:spacing w:line="300" w:lineRule="auto"/>
              <w:rPr>
                <w:rFonts w:ascii="Arial" w:hAnsi="Arial" w:cs="Arial"/>
                <w:sz w:val="20"/>
                <w:szCs w:val="20"/>
              </w:rPr>
            </w:pPr>
            <w:r w:rsidRPr="00D24210">
              <w:rPr>
                <w:rFonts w:ascii="Arial" w:hAnsi="Arial" w:cs="Arial"/>
                <w:sz w:val="20"/>
                <w:szCs w:val="20"/>
              </w:rPr>
              <w:t>Owns outright</w:t>
            </w:r>
          </w:p>
        </w:tc>
        <w:tc>
          <w:tcPr>
            <w:tcW w:w="1484" w:type="dxa"/>
            <w:noWrap/>
            <w:hideMark/>
          </w:tcPr>
          <w:p w14:paraId="08F811A9"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2,580</w:t>
            </w:r>
          </w:p>
        </w:tc>
        <w:tc>
          <w:tcPr>
            <w:tcW w:w="1484" w:type="dxa"/>
            <w:noWrap/>
            <w:hideMark/>
          </w:tcPr>
          <w:p w14:paraId="2FCA2FE6"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17,604</w:t>
            </w:r>
          </w:p>
        </w:tc>
        <w:tc>
          <w:tcPr>
            <w:tcW w:w="1484" w:type="dxa"/>
            <w:noWrap/>
            <w:hideMark/>
          </w:tcPr>
          <w:p w14:paraId="7A9C6A89"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14.7%</w:t>
            </w:r>
          </w:p>
        </w:tc>
        <w:tc>
          <w:tcPr>
            <w:tcW w:w="1484" w:type="dxa"/>
            <w:noWrap/>
            <w:hideMark/>
          </w:tcPr>
          <w:p w14:paraId="5DAFFDC2"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26.2%</w:t>
            </w:r>
          </w:p>
        </w:tc>
      </w:tr>
      <w:tr w:rsidR="001D7E18" w:rsidRPr="00D24210" w14:paraId="608C7575" w14:textId="77777777" w:rsidTr="00C3742A">
        <w:trPr>
          <w:trHeight w:val="288"/>
          <w:jc w:val="center"/>
        </w:trPr>
        <w:tc>
          <w:tcPr>
            <w:tcW w:w="2263" w:type="dxa"/>
            <w:hideMark/>
          </w:tcPr>
          <w:p w14:paraId="735ACA32" w14:textId="77777777" w:rsidR="001D7E18" w:rsidRPr="00D24210" w:rsidRDefault="001D7E18" w:rsidP="0014104A">
            <w:pPr>
              <w:keepNext/>
              <w:spacing w:line="300" w:lineRule="auto"/>
              <w:rPr>
                <w:rFonts w:ascii="Arial" w:hAnsi="Arial" w:cs="Arial"/>
                <w:sz w:val="20"/>
                <w:szCs w:val="20"/>
              </w:rPr>
            </w:pPr>
            <w:r w:rsidRPr="00D24210">
              <w:rPr>
                <w:rFonts w:ascii="Arial" w:hAnsi="Arial" w:cs="Arial"/>
                <w:sz w:val="20"/>
                <w:szCs w:val="20"/>
              </w:rPr>
              <w:t>Owns with mortgage</w:t>
            </w:r>
          </w:p>
        </w:tc>
        <w:tc>
          <w:tcPr>
            <w:tcW w:w="1484" w:type="dxa"/>
            <w:noWrap/>
            <w:hideMark/>
          </w:tcPr>
          <w:p w14:paraId="7D0BE469"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2,687</w:t>
            </w:r>
          </w:p>
        </w:tc>
        <w:tc>
          <w:tcPr>
            <w:tcW w:w="1484" w:type="dxa"/>
            <w:noWrap/>
            <w:hideMark/>
          </w:tcPr>
          <w:p w14:paraId="4C4680E9"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10,385</w:t>
            </w:r>
          </w:p>
        </w:tc>
        <w:tc>
          <w:tcPr>
            <w:tcW w:w="1484" w:type="dxa"/>
            <w:noWrap/>
            <w:hideMark/>
          </w:tcPr>
          <w:p w14:paraId="47CC52B8"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25.9%</w:t>
            </w:r>
          </w:p>
        </w:tc>
        <w:tc>
          <w:tcPr>
            <w:tcW w:w="1484" w:type="dxa"/>
            <w:noWrap/>
            <w:hideMark/>
          </w:tcPr>
          <w:p w14:paraId="048E4227"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27.3%</w:t>
            </w:r>
          </w:p>
        </w:tc>
      </w:tr>
      <w:tr w:rsidR="001D7E18" w:rsidRPr="00D24210" w14:paraId="575903FF" w14:textId="77777777" w:rsidTr="00C3742A">
        <w:trPr>
          <w:trHeight w:val="288"/>
          <w:jc w:val="center"/>
        </w:trPr>
        <w:tc>
          <w:tcPr>
            <w:tcW w:w="2263" w:type="dxa"/>
            <w:hideMark/>
          </w:tcPr>
          <w:p w14:paraId="0782F88D" w14:textId="77777777" w:rsidR="001D7E18" w:rsidRPr="00D24210" w:rsidRDefault="001D7E18" w:rsidP="0014104A">
            <w:pPr>
              <w:keepNext/>
              <w:spacing w:line="300" w:lineRule="auto"/>
              <w:rPr>
                <w:rFonts w:ascii="Arial" w:hAnsi="Arial" w:cs="Arial"/>
                <w:sz w:val="20"/>
                <w:szCs w:val="20"/>
              </w:rPr>
            </w:pPr>
            <w:r w:rsidRPr="00D24210">
              <w:rPr>
                <w:rFonts w:ascii="Arial" w:hAnsi="Arial" w:cs="Arial"/>
                <w:sz w:val="20"/>
                <w:szCs w:val="20"/>
              </w:rPr>
              <w:t>Social rented</w:t>
            </w:r>
          </w:p>
        </w:tc>
        <w:tc>
          <w:tcPr>
            <w:tcW w:w="1484" w:type="dxa"/>
            <w:noWrap/>
            <w:hideMark/>
          </w:tcPr>
          <w:p w14:paraId="4685F40B"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837</w:t>
            </w:r>
          </w:p>
        </w:tc>
        <w:tc>
          <w:tcPr>
            <w:tcW w:w="1484" w:type="dxa"/>
            <w:noWrap/>
            <w:hideMark/>
          </w:tcPr>
          <w:p w14:paraId="1BF01407"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3,264</w:t>
            </w:r>
          </w:p>
        </w:tc>
        <w:tc>
          <w:tcPr>
            <w:tcW w:w="1484" w:type="dxa"/>
            <w:noWrap/>
            <w:hideMark/>
          </w:tcPr>
          <w:p w14:paraId="643D15B3"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25.6%</w:t>
            </w:r>
          </w:p>
        </w:tc>
        <w:tc>
          <w:tcPr>
            <w:tcW w:w="1484" w:type="dxa"/>
            <w:noWrap/>
            <w:hideMark/>
          </w:tcPr>
          <w:p w14:paraId="167666F8"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8.5%</w:t>
            </w:r>
          </w:p>
        </w:tc>
      </w:tr>
      <w:tr w:rsidR="001D7E18" w:rsidRPr="00D24210" w14:paraId="6A2F5BDB" w14:textId="77777777" w:rsidTr="00C3742A">
        <w:trPr>
          <w:trHeight w:val="288"/>
          <w:jc w:val="center"/>
        </w:trPr>
        <w:tc>
          <w:tcPr>
            <w:tcW w:w="2263" w:type="dxa"/>
            <w:hideMark/>
          </w:tcPr>
          <w:p w14:paraId="0CFB278E" w14:textId="77777777" w:rsidR="001D7E18" w:rsidRPr="00D24210" w:rsidRDefault="001D7E18" w:rsidP="0014104A">
            <w:pPr>
              <w:keepNext/>
              <w:spacing w:line="300" w:lineRule="auto"/>
              <w:rPr>
                <w:rFonts w:ascii="Arial" w:hAnsi="Arial" w:cs="Arial"/>
                <w:sz w:val="20"/>
                <w:szCs w:val="20"/>
              </w:rPr>
            </w:pPr>
            <w:r w:rsidRPr="00D24210">
              <w:rPr>
                <w:rFonts w:ascii="Arial" w:hAnsi="Arial" w:cs="Arial"/>
                <w:sz w:val="20"/>
                <w:szCs w:val="20"/>
              </w:rPr>
              <w:t>Private rented</w:t>
            </w:r>
          </w:p>
        </w:tc>
        <w:tc>
          <w:tcPr>
            <w:tcW w:w="1484" w:type="dxa"/>
            <w:noWrap/>
            <w:hideMark/>
          </w:tcPr>
          <w:p w14:paraId="1A2924DE"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3,729</w:t>
            </w:r>
          </w:p>
        </w:tc>
        <w:tc>
          <w:tcPr>
            <w:tcW w:w="1484" w:type="dxa"/>
            <w:noWrap/>
            <w:hideMark/>
          </w:tcPr>
          <w:p w14:paraId="3778078E"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7,746</w:t>
            </w:r>
          </w:p>
        </w:tc>
        <w:tc>
          <w:tcPr>
            <w:tcW w:w="1484" w:type="dxa"/>
            <w:noWrap/>
            <w:hideMark/>
          </w:tcPr>
          <w:p w14:paraId="12C6A130"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48.1%</w:t>
            </w:r>
          </w:p>
        </w:tc>
        <w:tc>
          <w:tcPr>
            <w:tcW w:w="1484" w:type="dxa"/>
            <w:noWrap/>
            <w:hideMark/>
          </w:tcPr>
          <w:p w14:paraId="692276AB"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37.9%</w:t>
            </w:r>
          </w:p>
        </w:tc>
      </w:tr>
      <w:tr w:rsidR="001D7E18" w:rsidRPr="00D24210" w14:paraId="3CEF874D" w14:textId="77777777" w:rsidTr="00C3742A">
        <w:trPr>
          <w:trHeight w:val="288"/>
          <w:jc w:val="center"/>
        </w:trPr>
        <w:tc>
          <w:tcPr>
            <w:tcW w:w="2263" w:type="dxa"/>
            <w:hideMark/>
          </w:tcPr>
          <w:p w14:paraId="35E3C351" w14:textId="77777777" w:rsidR="001D7E18" w:rsidRPr="00D24210" w:rsidRDefault="001D7E18" w:rsidP="0014104A">
            <w:pPr>
              <w:keepNext/>
              <w:spacing w:line="300" w:lineRule="auto"/>
              <w:rPr>
                <w:rFonts w:ascii="Arial" w:hAnsi="Arial" w:cs="Arial"/>
                <w:sz w:val="20"/>
                <w:szCs w:val="20"/>
              </w:rPr>
            </w:pPr>
            <w:r w:rsidRPr="00D24210">
              <w:rPr>
                <w:rFonts w:ascii="Arial" w:hAnsi="Arial" w:cs="Arial"/>
                <w:sz w:val="20"/>
                <w:szCs w:val="20"/>
              </w:rPr>
              <w:t>Total</w:t>
            </w:r>
          </w:p>
        </w:tc>
        <w:tc>
          <w:tcPr>
            <w:tcW w:w="1484" w:type="dxa"/>
            <w:noWrap/>
            <w:hideMark/>
          </w:tcPr>
          <w:p w14:paraId="7DC8BD55"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9,832</w:t>
            </w:r>
          </w:p>
        </w:tc>
        <w:tc>
          <w:tcPr>
            <w:tcW w:w="1484" w:type="dxa"/>
            <w:noWrap/>
            <w:hideMark/>
          </w:tcPr>
          <w:p w14:paraId="19146DF4"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39,000</w:t>
            </w:r>
          </w:p>
        </w:tc>
        <w:tc>
          <w:tcPr>
            <w:tcW w:w="1484" w:type="dxa"/>
            <w:noWrap/>
            <w:hideMark/>
          </w:tcPr>
          <w:p w14:paraId="3FCAD7B9"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25.2%</w:t>
            </w:r>
          </w:p>
        </w:tc>
        <w:tc>
          <w:tcPr>
            <w:tcW w:w="1484" w:type="dxa"/>
            <w:noWrap/>
            <w:hideMark/>
          </w:tcPr>
          <w:p w14:paraId="63C2A2E1"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sz w:val="20"/>
                <w:szCs w:val="20"/>
              </w:rPr>
              <w:t>100.0%</w:t>
            </w:r>
          </w:p>
        </w:tc>
      </w:tr>
    </w:tbl>
    <w:p w14:paraId="4C266E96" w14:textId="77777777" w:rsidR="001D7E18" w:rsidRPr="00C3742A" w:rsidRDefault="001D7E18" w:rsidP="0014104A">
      <w:pPr>
        <w:spacing w:line="300" w:lineRule="auto"/>
        <w:jc w:val="center"/>
        <w:rPr>
          <w:rFonts w:ascii="Arial" w:hAnsi="Arial" w:cs="Arial"/>
          <w:sz w:val="20"/>
          <w:szCs w:val="20"/>
        </w:rPr>
      </w:pPr>
      <w:r w:rsidRPr="00C3742A">
        <w:rPr>
          <w:rFonts w:ascii="Arial" w:hAnsi="Arial" w:cs="Arial"/>
          <w:sz w:val="20"/>
          <w:szCs w:val="20"/>
        </w:rPr>
        <w:t>Source: Household survey</w:t>
      </w:r>
    </w:p>
    <w:p w14:paraId="796D539E" w14:textId="77777777" w:rsidR="001D7E18" w:rsidRPr="00D24210" w:rsidRDefault="001D7E18" w:rsidP="00172F56">
      <w:pPr>
        <w:pStyle w:val="BodyText"/>
        <w:spacing w:after="0" w:line="300" w:lineRule="auto"/>
        <w:jc w:val="both"/>
        <w:rPr>
          <w:rFonts w:eastAsiaTheme="majorEastAsia" w:cs="Arial"/>
        </w:rPr>
      </w:pPr>
    </w:p>
    <w:tbl>
      <w:tblPr>
        <w:tblStyle w:val="TableGrid10"/>
        <w:tblW w:w="8199" w:type="dxa"/>
        <w:jc w:val="center"/>
        <w:tblLayout w:type="fixed"/>
        <w:tblLook w:val="04A0" w:firstRow="1" w:lastRow="0" w:firstColumn="1" w:lastColumn="0" w:noHBand="0" w:noVBand="1"/>
      </w:tblPr>
      <w:tblGrid>
        <w:gridCol w:w="2119"/>
        <w:gridCol w:w="1412"/>
        <w:gridCol w:w="1556"/>
        <w:gridCol w:w="1556"/>
        <w:gridCol w:w="1556"/>
      </w:tblGrid>
      <w:tr w:rsidR="001D7E18" w:rsidRPr="00C3742A" w14:paraId="650AF534" w14:textId="77777777" w:rsidTr="00C3742A">
        <w:trPr>
          <w:trHeight w:val="288"/>
          <w:jc w:val="center"/>
        </w:trPr>
        <w:tc>
          <w:tcPr>
            <w:tcW w:w="8199" w:type="dxa"/>
            <w:gridSpan w:val="5"/>
          </w:tcPr>
          <w:p w14:paraId="722DE083" w14:textId="00B59EE0" w:rsidR="001D7E18" w:rsidRPr="00C3742A" w:rsidRDefault="00C3742A" w:rsidP="0014104A">
            <w:pPr>
              <w:keepNext/>
              <w:jc w:val="center"/>
              <w:rPr>
                <w:rFonts w:ascii="Arial" w:hAnsi="Arial" w:cs="Arial"/>
                <w:b/>
                <w:bCs/>
                <w:sz w:val="20"/>
                <w:szCs w:val="20"/>
              </w:rPr>
            </w:pPr>
            <w:r w:rsidRPr="00C3742A">
              <w:rPr>
                <w:rFonts w:ascii="Arial" w:hAnsi="Arial" w:cs="Arial"/>
                <w:b/>
                <w:bCs/>
                <w:sz w:val="20"/>
                <w:szCs w:val="20"/>
              </w:rPr>
              <w:t>Figure 5.</w:t>
            </w:r>
            <w:r w:rsidR="00AD29A6">
              <w:rPr>
                <w:rFonts w:ascii="Arial" w:hAnsi="Arial" w:cs="Arial"/>
                <w:b/>
                <w:bCs/>
                <w:sz w:val="20"/>
                <w:szCs w:val="20"/>
              </w:rPr>
              <w:t>9</w:t>
            </w:r>
            <w:r w:rsidRPr="00C3742A">
              <w:rPr>
                <w:rFonts w:ascii="Arial" w:hAnsi="Arial" w:cs="Arial"/>
                <w:b/>
                <w:bCs/>
                <w:sz w:val="20"/>
                <w:szCs w:val="20"/>
              </w:rPr>
              <w:t xml:space="preserve">: </w:t>
            </w:r>
            <w:r w:rsidR="001D7E18" w:rsidRPr="00C3742A">
              <w:rPr>
                <w:rFonts w:ascii="Arial" w:hAnsi="Arial" w:cs="Arial"/>
                <w:b/>
                <w:bCs/>
                <w:sz w:val="20"/>
                <w:szCs w:val="20"/>
              </w:rPr>
              <w:t>Current Tenure of Households Stating a wish to move but unable to do so</w:t>
            </w:r>
          </w:p>
        </w:tc>
      </w:tr>
      <w:tr w:rsidR="001D7E18" w:rsidRPr="00D24210" w14:paraId="3732EE6F" w14:textId="77777777" w:rsidTr="00172F56">
        <w:trPr>
          <w:trHeight w:val="288"/>
          <w:jc w:val="center"/>
        </w:trPr>
        <w:tc>
          <w:tcPr>
            <w:tcW w:w="0" w:type="dxa"/>
          </w:tcPr>
          <w:p w14:paraId="706DB038" w14:textId="77777777" w:rsidR="001D7E18" w:rsidRPr="00C3742A" w:rsidRDefault="001D7E18" w:rsidP="0014104A">
            <w:pPr>
              <w:keepNext/>
              <w:rPr>
                <w:rFonts w:ascii="Arial" w:hAnsi="Arial" w:cs="Arial"/>
                <w:sz w:val="20"/>
                <w:szCs w:val="20"/>
              </w:rPr>
            </w:pPr>
          </w:p>
        </w:tc>
        <w:tc>
          <w:tcPr>
            <w:tcW w:w="0" w:type="dxa"/>
            <w:noWrap/>
            <w:vAlign w:val="center"/>
            <w:hideMark/>
          </w:tcPr>
          <w:p w14:paraId="3B0E3680"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Number wishing to move (but unable)</w:t>
            </w:r>
          </w:p>
        </w:tc>
        <w:tc>
          <w:tcPr>
            <w:tcW w:w="0" w:type="dxa"/>
            <w:noWrap/>
            <w:vAlign w:val="center"/>
            <w:hideMark/>
          </w:tcPr>
          <w:p w14:paraId="2B4DA48B"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Estimated size of tenure group</w:t>
            </w:r>
          </w:p>
        </w:tc>
        <w:tc>
          <w:tcPr>
            <w:tcW w:w="0" w:type="dxa"/>
            <w:noWrap/>
            <w:vAlign w:val="center"/>
            <w:hideMark/>
          </w:tcPr>
          <w:p w14:paraId="5CAE2C61"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 of tenure group wishing to move</w:t>
            </w:r>
          </w:p>
        </w:tc>
        <w:tc>
          <w:tcPr>
            <w:tcW w:w="0" w:type="dxa"/>
            <w:noWrap/>
            <w:vAlign w:val="center"/>
            <w:hideMark/>
          </w:tcPr>
          <w:p w14:paraId="20E974CF"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 of those wishing to move in tenure group</w:t>
            </w:r>
          </w:p>
        </w:tc>
      </w:tr>
      <w:tr w:rsidR="001D7E18" w:rsidRPr="00D24210" w14:paraId="572E09D2" w14:textId="77777777" w:rsidTr="00C3742A">
        <w:trPr>
          <w:trHeight w:val="288"/>
          <w:jc w:val="center"/>
        </w:trPr>
        <w:tc>
          <w:tcPr>
            <w:tcW w:w="2119" w:type="dxa"/>
            <w:hideMark/>
          </w:tcPr>
          <w:p w14:paraId="37F1EBDF" w14:textId="77777777" w:rsidR="001D7E18" w:rsidRPr="00C3742A" w:rsidRDefault="001D7E18" w:rsidP="0014104A">
            <w:pPr>
              <w:keepNext/>
              <w:rPr>
                <w:rFonts w:ascii="Arial" w:hAnsi="Arial" w:cs="Arial"/>
                <w:sz w:val="20"/>
                <w:szCs w:val="20"/>
              </w:rPr>
            </w:pPr>
            <w:r w:rsidRPr="00C3742A">
              <w:rPr>
                <w:rFonts w:ascii="Arial" w:hAnsi="Arial" w:cs="Arial"/>
                <w:sz w:val="20"/>
                <w:szCs w:val="20"/>
              </w:rPr>
              <w:t>Owns outright</w:t>
            </w:r>
          </w:p>
        </w:tc>
        <w:tc>
          <w:tcPr>
            <w:tcW w:w="1412" w:type="dxa"/>
            <w:noWrap/>
            <w:vAlign w:val="center"/>
            <w:hideMark/>
          </w:tcPr>
          <w:p w14:paraId="56F291CB"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289</w:t>
            </w:r>
          </w:p>
        </w:tc>
        <w:tc>
          <w:tcPr>
            <w:tcW w:w="1556" w:type="dxa"/>
            <w:noWrap/>
            <w:vAlign w:val="center"/>
            <w:hideMark/>
          </w:tcPr>
          <w:p w14:paraId="32CFF309"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17,604</w:t>
            </w:r>
          </w:p>
        </w:tc>
        <w:tc>
          <w:tcPr>
            <w:tcW w:w="1556" w:type="dxa"/>
            <w:noWrap/>
            <w:vAlign w:val="center"/>
            <w:hideMark/>
          </w:tcPr>
          <w:p w14:paraId="6EAB7563"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1.6%</w:t>
            </w:r>
          </w:p>
        </w:tc>
        <w:tc>
          <w:tcPr>
            <w:tcW w:w="1556" w:type="dxa"/>
            <w:noWrap/>
            <w:vAlign w:val="center"/>
            <w:hideMark/>
          </w:tcPr>
          <w:p w14:paraId="42C33DFE"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10.8%</w:t>
            </w:r>
          </w:p>
        </w:tc>
      </w:tr>
      <w:tr w:rsidR="001D7E18" w:rsidRPr="00D24210" w14:paraId="0ADE62EE" w14:textId="77777777" w:rsidTr="00C3742A">
        <w:trPr>
          <w:trHeight w:val="288"/>
          <w:jc w:val="center"/>
        </w:trPr>
        <w:tc>
          <w:tcPr>
            <w:tcW w:w="2119" w:type="dxa"/>
            <w:hideMark/>
          </w:tcPr>
          <w:p w14:paraId="1C3BA13F" w14:textId="77777777" w:rsidR="001D7E18" w:rsidRPr="00C3742A" w:rsidRDefault="001D7E18" w:rsidP="0014104A">
            <w:pPr>
              <w:keepNext/>
              <w:rPr>
                <w:rFonts w:ascii="Arial" w:hAnsi="Arial" w:cs="Arial"/>
                <w:sz w:val="20"/>
                <w:szCs w:val="20"/>
              </w:rPr>
            </w:pPr>
            <w:r w:rsidRPr="00C3742A">
              <w:rPr>
                <w:rFonts w:ascii="Arial" w:hAnsi="Arial" w:cs="Arial"/>
                <w:sz w:val="20"/>
                <w:szCs w:val="20"/>
              </w:rPr>
              <w:t>Owns with mortgage</w:t>
            </w:r>
          </w:p>
        </w:tc>
        <w:tc>
          <w:tcPr>
            <w:tcW w:w="1412" w:type="dxa"/>
            <w:noWrap/>
            <w:vAlign w:val="center"/>
            <w:hideMark/>
          </w:tcPr>
          <w:p w14:paraId="36A5AD34"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336</w:t>
            </w:r>
          </w:p>
        </w:tc>
        <w:tc>
          <w:tcPr>
            <w:tcW w:w="1556" w:type="dxa"/>
            <w:noWrap/>
            <w:vAlign w:val="center"/>
            <w:hideMark/>
          </w:tcPr>
          <w:p w14:paraId="0CF26A07"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10,385</w:t>
            </w:r>
          </w:p>
        </w:tc>
        <w:tc>
          <w:tcPr>
            <w:tcW w:w="1556" w:type="dxa"/>
            <w:noWrap/>
            <w:vAlign w:val="center"/>
            <w:hideMark/>
          </w:tcPr>
          <w:p w14:paraId="4ADA429E"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3.2%</w:t>
            </w:r>
          </w:p>
        </w:tc>
        <w:tc>
          <w:tcPr>
            <w:tcW w:w="1556" w:type="dxa"/>
            <w:noWrap/>
            <w:vAlign w:val="center"/>
            <w:hideMark/>
          </w:tcPr>
          <w:p w14:paraId="323A8A74"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12.5%</w:t>
            </w:r>
          </w:p>
        </w:tc>
      </w:tr>
      <w:tr w:rsidR="001D7E18" w:rsidRPr="00D24210" w14:paraId="573383E2" w14:textId="77777777" w:rsidTr="00C3742A">
        <w:trPr>
          <w:trHeight w:val="288"/>
          <w:jc w:val="center"/>
        </w:trPr>
        <w:tc>
          <w:tcPr>
            <w:tcW w:w="2119" w:type="dxa"/>
            <w:hideMark/>
          </w:tcPr>
          <w:p w14:paraId="1085EF53" w14:textId="77777777" w:rsidR="001D7E18" w:rsidRPr="00C3742A" w:rsidRDefault="001D7E18" w:rsidP="0014104A">
            <w:pPr>
              <w:keepNext/>
              <w:rPr>
                <w:rFonts w:ascii="Arial" w:hAnsi="Arial" w:cs="Arial"/>
                <w:sz w:val="20"/>
                <w:szCs w:val="20"/>
              </w:rPr>
            </w:pPr>
            <w:r w:rsidRPr="00C3742A">
              <w:rPr>
                <w:rFonts w:ascii="Arial" w:hAnsi="Arial" w:cs="Arial"/>
                <w:sz w:val="20"/>
                <w:szCs w:val="20"/>
              </w:rPr>
              <w:t>Social rented</w:t>
            </w:r>
          </w:p>
        </w:tc>
        <w:tc>
          <w:tcPr>
            <w:tcW w:w="1412" w:type="dxa"/>
            <w:noWrap/>
            <w:vAlign w:val="center"/>
            <w:hideMark/>
          </w:tcPr>
          <w:p w14:paraId="7D3AF2BA"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468</w:t>
            </w:r>
          </w:p>
        </w:tc>
        <w:tc>
          <w:tcPr>
            <w:tcW w:w="1556" w:type="dxa"/>
            <w:noWrap/>
            <w:vAlign w:val="center"/>
            <w:hideMark/>
          </w:tcPr>
          <w:p w14:paraId="597ED6E2"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3,264</w:t>
            </w:r>
          </w:p>
        </w:tc>
        <w:tc>
          <w:tcPr>
            <w:tcW w:w="1556" w:type="dxa"/>
            <w:noWrap/>
            <w:vAlign w:val="center"/>
            <w:hideMark/>
          </w:tcPr>
          <w:p w14:paraId="72068C1E"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14.3%</w:t>
            </w:r>
          </w:p>
        </w:tc>
        <w:tc>
          <w:tcPr>
            <w:tcW w:w="1556" w:type="dxa"/>
            <w:noWrap/>
            <w:vAlign w:val="center"/>
            <w:hideMark/>
          </w:tcPr>
          <w:p w14:paraId="003A49F2"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17.4%</w:t>
            </w:r>
          </w:p>
        </w:tc>
      </w:tr>
      <w:tr w:rsidR="001D7E18" w:rsidRPr="00D24210" w14:paraId="64E85494" w14:textId="77777777" w:rsidTr="00C3742A">
        <w:trPr>
          <w:trHeight w:val="288"/>
          <w:jc w:val="center"/>
        </w:trPr>
        <w:tc>
          <w:tcPr>
            <w:tcW w:w="2119" w:type="dxa"/>
            <w:hideMark/>
          </w:tcPr>
          <w:p w14:paraId="6E574D11" w14:textId="77777777" w:rsidR="001D7E18" w:rsidRPr="00C3742A" w:rsidRDefault="001D7E18" w:rsidP="0014104A">
            <w:pPr>
              <w:keepNext/>
              <w:rPr>
                <w:rFonts w:ascii="Arial" w:hAnsi="Arial" w:cs="Arial"/>
                <w:sz w:val="20"/>
                <w:szCs w:val="20"/>
              </w:rPr>
            </w:pPr>
            <w:r w:rsidRPr="00C3742A">
              <w:rPr>
                <w:rFonts w:ascii="Arial" w:hAnsi="Arial" w:cs="Arial"/>
                <w:sz w:val="20"/>
                <w:szCs w:val="20"/>
              </w:rPr>
              <w:t>Private rented</w:t>
            </w:r>
          </w:p>
        </w:tc>
        <w:tc>
          <w:tcPr>
            <w:tcW w:w="1412" w:type="dxa"/>
            <w:noWrap/>
            <w:vAlign w:val="center"/>
            <w:hideMark/>
          </w:tcPr>
          <w:p w14:paraId="263476D8"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1,592</w:t>
            </w:r>
          </w:p>
        </w:tc>
        <w:tc>
          <w:tcPr>
            <w:tcW w:w="1556" w:type="dxa"/>
            <w:noWrap/>
            <w:vAlign w:val="center"/>
            <w:hideMark/>
          </w:tcPr>
          <w:p w14:paraId="45C00513"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7,746</w:t>
            </w:r>
          </w:p>
        </w:tc>
        <w:tc>
          <w:tcPr>
            <w:tcW w:w="1556" w:type="dxa"/>
            <w:noWrap/>
            <w:vAlign w:val="center"/>
            <w:hideMark/>
          </w:tcPr>
          <w:p w14:paraId="728F841D"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20.6%</w:t>
            </w:r>
          </w:p>
        </w:tc>
        <w:tc>
          <w:tcPr>
            <w:tcW w:w="1556" w:type="dxa"/>
            <w:noWrap/>
            <w:vAlign w:val="center"/>
            <w:hideMark/>
          </w:tcPr>
          <w:p w14:paraId="06CC410D"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59.3%</w:t>
            </w:r>
          </w:p>
        </w:tc>
      </w:tr>
      <w:tr w:rsidR="001D7E18" w:rsidRPr="00D24210" w14:paraId="55682C0F" w14:textId="77777777" w:rsidTr="00C3742A">
        <w:trPr>
          <w:trHeight w:val="288"/>
          <w:jc w:val="center"/>
        </w:trPr>
        <w:tc>
          <w:tcPr>
            <w:tcW w:w="2119" w:type="dxa"/>
            <w:hideMark/>
          </w:tcPr>
          <w:p w14:paraId="4001AF32" w14:textId="77777777" w:rsidR="001D7E18" w:rsidRPr="00C3742A" w:rsidRDefault="001D7E18" w:rsidP="0014104A">
            <w:pPr>
              <w:keepNext/>
              <w:rPr>
                <w:rFonts w:ascii="Arial" w:hAnsi="Arial" w:cs="Arial"/>
                <w:sz w:val="20"/>
                <w:szCs w:val="20"/>
              </w:rPr>
            </w:pPr>
            <w:r w:rsidRPr="00C3742A">
              <w:rPr>
                <w:rFonts w:ascii="Arial" w:hAnsi="Arial" w:cs="Arial"/>
                <w:sz w:val="20"/>
                <w:szCs w:val="20"/>
              </w:rPr>
              <w:t>Total</w:t>
            </w:r>
          </w:p>
        </w:tc>
        <w:tc>
          <w:tcPr>
            <w:tcW w:w="1412" w:type="dxa"/>
            <w:noWrap/>
            <w:vAlign w:val="center"/>
            <w:hideMark/>
          </w:tcPr>
          <w:p w14:paraId="1BAAED8E"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2,684</w:t>
            </w:r>
          </w:p>
        </w:tc>
        <w:tc>
          <w:tcPr>
            <w:tcW w:w="1556" w:type="dxa"/>
            <w:noWrap/>
            <w:vAlign w:val="center"/>
            <w:hideMark/>
          </w:tcPr>
          <w:p w14:paraId="076812A4"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39,000</w:t>
            </w:r>
          </w:p>
        </w:tc>
        <w:tc>
          <w:tcPr>
            <w:tcW w:w="1556" w:type="dxa"/>
            <w:noWrap/>
            <w:vAlign w:val="center"/>
            <w:hideMark/>
          </w:tcPr>
          <w:p w14:paraId="3E9FDDF1"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6.9%</w:t>
            </w:r>
          </w:p>
        </w:tc>
        <w:tc>
          <w:tcPr>
            <w:tcW w:w="1556" w:type="dxa"/>
            <w:noWrap/>
            <w:vAlign w:val="center"/>
            <w:hideMark/>
          </w:tcPr>
          <w:p w14:paraId="16124184" w14:textId="77777777" w:rsidR="001D7E18" w:rsidRPr="00C3742A" w:rsidRDefault="001D7E18" w:rsidP="0014104A">
            <w:pPr>
              <w:keepNext/>
              <w:jc w:val="center"/>
              <w:rPr>
                <w:rFonts w:ascii="Arial" w:hAnsi="Arial" w:cs="Arial"/>
                <w:sz w:val="20"/>
                <w:szCs w:val="20"/>
              </w:rPr>
            </w:pPr>
            <w:r w:rsidRPr="00C3742A">
              <w:rPr>
                <w:rFonts w:ascii="Arial" w:hAnsi="Arial" w:cs="Arial"/>
                <w:sz w:val="20"/>
                <w:szCs w:val="20"/>
              </w:rPr>
              <w:t>100.0%</w:t>
            </w:r>
          </w:p>
        </w:tc>
      </w:tr>
    </w:tbl>
    <w:p w14:paraId="186F23C1" w14:textId="77777777" w:rsidR="001D7E18" w:rsidRPr="00D24210" w:rsidRDefault="001D7E18" w:rsidP="0014104A">
      <w:pPr>
        <w:spacing w:line="300" w:lineRule="auto"/>
        <w:jc w:val="center"/>
        <w:rPr>
          <w:rFonts w:ascii="Arial" w:hAnsi="Arial" w:cs="Arial"/>
          <w:sz w:val="20"/>
          <w:szCs w:val="20"/>
        </w:rPr>
      </w:pPr>
      <w:r w:rsidRPr="00D24210">
        <w:rPr>
          <w:rFonts w:ascii="Arial" w:hAnsi="Arial" w:cs="Arial"/>
          <w:sz w:val="20"/>
          <w:szCs w:val="20"/>
        </w:rPr>
        <w:t>Source: Household survey</w:t>
      </w:r>
    </w:p>
    <w:p w14:paraId="50265929" w14:textId="77777777" w:rsidR="00C3742A" w:rsidRDefault="00C3742A" w:rsidP="00172F56">
      <w:pPr>
        <w:pStyle w:val="BodyText"/>
        <w:spacing w:after="0" w:line="300" w:lineRule="auto"/>
        <w:jc w:val="both"/>
        <w:rPr>
          <w:rFonts w:cs="Arial"/>
        </w:rPr>
      </w:pPr>
    </w:p>
    <w:p w14:paraId="7F0FBADF" w14:textId="2686E418" w:rsidR="001D7E18" w:rsidRDefault="001D7E18">
      <w:pPr>
        <w:pStyle w:val="11Bodytext"/>
        <w:numPr>
          <w:ilvl w:val="1"/>
          <w:numId w:val="40"/>
        </w:numPr>
        <w:spacing w:before="0" w:after="0" w:line="300" w:lineRule="auto"/>
        <w:ind w:left="720" w:hanging="720"/>
      </w:pPr>
      <w:r w:rsidRPr="00C3742A">
        <w:t>In terms of future tenure, households were asked what type of tenure they would like and also the tenure expected. The majority of households would like or expect to be (or remain) and owner-occupier although it is notable that a higher proportion of households expect to privately rent than would like to. Households who would like or expect owner-occupation were further asked about a range of affordable home ownership options with around a fifth saying they would be interested in that type of housing – this included discounted market sale (including First Homes, shared ownership and rent to buy housing).</w:t>
      </w:r>
    </w:p>
    <w:p w14:paraId="1FE9431D" w14:textId="77777777" w:rsidR="004E3CEE" w:rsidRPr="00C3742A" w:rsidRDefault="004E3CEE" w:rsidP="00172F56">
      <w:pPr>
        <w:pStyle w:val="11Bodytext"/>
        <w:numPr>
          <w:ilvl w:val="0"/>
          <w:numId w:val="0"/>
        </w:numPr>
        <w:spacing w:before="0" w:after="0" w:line="300" w:lineRule="auto"/>
      </w:pPr>
    </w:p>
    <w:tbl>
      <w:tblPr>
        <w:tblStyle w:val="TableGrid1"/>
        <w:tblW w:w="8199" w:type="dxa"/>
        <w:jc w:val="center"/>
        <w:tblLook w:val="04A0" w:firstRow="1" w:lastRow="0" w:firstColumn="1" w:lastColumn="0" w:noHBand="0" w:noVBand="1"/>
      </w:tblPr>
      <w:tblGrid>
        <w:gridCol w:w="2795"/>
        <w:gridCol w:w="2702"/>
        <w:gridCol w:w="2702"/>
      </w:tblGrid>
      <w:tr w:rsidR="001D7E18" w:rsidRPr="004E3CEE" w14:paraId="021D9426" w14:textId="77777777" w:rsidTr="008469E3">
        <w:trPr>
          <w:jc w:val="center"/>
        </w:trPr>
        <w:tc>
          <w:tcPr>
            <w:tcW w:w="8199" w:type="dxa"/>
            <w:gridSpan w:val="3"/>
          </w:tcPr>
          <w:p w14:paraId="1980ED55" w14:textId="1C6812E2" w:rsidR="001D7E18" w:rsidRPr="004E3CEE" w:rsidRDefault="004E3CEE" w:rsidP="0014104A">
            <w:pPr>
              <w:keepNext/>
              <w:spacing w:line="300" w:lineRule="auto"/>
              <w:jc w:val="center"/>
              <w:rPr>
                <w:rFonts w:ascii="Arial" w:hAnsi="Arial" w:cs="Arial"/>
                <w:b/>
                <w:bCs/>
                <w:sz w:val="20"/>
                <w:szCs w:val="20"/>
              </w:rPr>
            </w:pPr>
            <w:r w:rsidRPr="004E3CEE">
              <w:rPr>
                <w:rFonts w:ascii="Arial" w:hAnsi="Arial" w:cs="Arial"/>
                <w:b/>
                <w:bCs/>
                <w:sz w:val="20"/>
                <w:szCs w:val="20"/>
              </w:rPr>
              <w:t>Figure 5.</w:t>
            </w:r>
            <w:r w:rsidR="00AD29A6">
              <w:rPr>
                <w:rFonts w:ascii="Arial" w:hAnsi="Arial" w:cs="Arial"/>
                <w:b/>
                <w:bCs/>
                <w:sz w:val="20"/>
                <w:szCs w:val="20"/>
              </w:rPr>
              <w:t>10</w:t>
            </w:r>
            <w:r w:rsidRPr="004E3CEE">
              <w:rPr>
                <w:rFonts w:ascii="Arial" w:hAnsi="Arial" w:cs="Arial"/>
                <w:b/>
                <w:bCs/>
                <w:sz w:val="20"/>
                <w:szCs w:val="20"/>
              </w:rPr>
              <w:t xml:space="preserve">: </w:t>
            </w:r>
            <w:r w:rsidR="001D7E18" w:rsidRPr="004E3CEE">
              <w:rPr>
                <w:rFonts w:ascii="Arial" w:hAnsi="Arial" w:cs="Arial"/>
                <w:b/>
                <w:bCs/>
                <w:sz w:val="20"/>
                <w:szCs w:val="20"/>
              </w:rPr>
              <w:t>Tenure Households would Like and Expect (those stating a need/likelihood to move within 5-years)</w:t>
            </w:r>
          </w:p>
        </w:tc>
      </w:tr>
      <w:tr w:rsidR="001D7E18" w:rsidRPr="00D24210" w14:paraId="5B80AC6C" w14:textId="77777777" w:rsidTr="00172F56">
        <w:trPr>
          <w:jc w:val="center"/>
        </w:trPr>
        <w:tc>
          <w:tcPr>
            <w:tcW w:w="2795" w:type="dxa"/>
          </w:tcPr>
          <w:p w14:paraId="43C9271C" w14:textId="77777777" w:rsidR="001D7E18" w:rsidRPr="00D24210" w:rsidRDefault="001D7E18" w:rsidP="00172F56">
            <w:pPr>
              <w:keepNext/>
              <w:spacing w:before="60" w:after="60" w:line="300" w:lineRule="auto"/>
              <w:jc w:val="center"/>
              <w:rPr>
                <w:rFonts w:ascii="Arial" w:hAnsi="Arial" w:cs="Arial"/>
                <w:sz w:val="20"/>
                <w:szCs w:val="20"/>
              </w:rPr>
            </w:pPr>
          </w:p>
        </w:tc>
        <w:tc>
          <w:tcPr>
            <w:tcW w:w="2702" w:type="dxa"/>
            <w:vAlign w:val="center"/>
            <w:hideMark/>
          </w:tcPr>
          <w:p w14:paraId="16EE2495" w14:textId="77777777" w:rsidR="001D7E18" w:rsidRPr="00D24210" w:rsidRDefault="001D7E18" w:rsidP="0014104A">
            <w:pPr>
              <w:keepNext/>
              <w:spacing w:before="60" w:after="60" w:line="300" w:lineRule="auto"/>
              <w:jc w:val="center"/>
              <w:rPr>
                <w:rFonts w:ascii="Arial" w:hAnsi="Arial" w:cs="Arial"/>
                <w:sz w:val="20"/>
                <w:szCs w:val="20"/>
              </w:rPr>
            </w:pPr>
            <w:r w:rsidRPr="00D24210">
              <w:rPr>
                <w:rFonts w:ascii="Arial" w:hAnsi="Arial" w:cs="Arial"/>
                <w:sz w:val="20"/>
                <w:szCs w:val="20"/>
              </w:rPr>
              <w:t>Like</w:t>
            </w:r>
          </w:p>
        </w:tc>
        <w:tc>
          <w:tcPr>
            <w:tcW w:w="2702" w:type="dxa"/>
            <w:vAlign w:val="center"/>
            <w:hideMark/>
          </w:tcPr>
          <w:p w14:paraId="48FE3694" w14:textId="77777777" w:rsidR="001D7E18" w:rsidRPr="00D24210" w:rsidRDefault="001D7E18" w:rsidP="0014104A">
            <w:pPr>
              <w:keepNext/>
              <w:spacing w:before="60" w:after="60" w:line="300" w:lineRule="auto"/>
              <w:jc w:val="center"/>
              <w:rPr>
                <w:rFonts w:ascii="Arial" w:hAnsi="Arial" w:cs="Arial"/>
                <w:sz w:val="20"/>
                <w:szCs w:val="20"/>
              </w:rPr>
            </w:pPr>
            <w:r w:rsidRPr="00D24210">
              <w:rPr>
                <w:rFonts w:ascii="Arial" w:hAnsi="Arial" w:cs="Arial"/>
                <w:sz w:val="20"/>
                <w:szCs w:val="20"/>
              </w:rPr>
              <w:t>Expect</w:t>
            </w:r>
          </w:p>
        </w:tc>
      </w:tr>
      <w:tr w:rsidR="001D7E18" w:rsidRPr="00D24210" w14:paraId="7B096DE4" w14:textId="77777777" w:rsidTr="008469E3">
        <w:trPr>
          <w:jc w:val="center"/>
        </w:trPr>
        <w:tc>
          <w:tcPr>
            <w:tcW w:w="2795" w:type="dxa"/>
            <w:hideMark/>
          </w:tcPr>
          <w:p w14:paraId="72639136" w14:textId="77777777" w:rsidR="001D7E18" w:rsidRPr="00D24210" w:rsidRDefault="001D7E18" w:rsidP="0014104A">
            <w:pPr>
              <w:keepNext/>
              <w:spacing w:line="300" w:lineRule="auto"/>
              <w:rPr>
                <w:rFonts w:ascii="Arial" w:hAnsi="Arial" w:cs="Arial"/>
                <w:sz w:val="20"/>
                <w:szCs w:val="20"/>
              </w:rPr>
            </w:pPr>
            <w:r w:rsidRPr="00D24210">
              <w:rPr>
                <w:rFonts w:ascii="Arial" w:hAnsi="Arial" w:cs="Arial"/>
                <w:color w:val="000000"/>
                <w:sz w:val="20"/>
                <w:szCs w:val="20"/>
              </w:rPr>
              <w:t>Owner-occupation</w:t>
            </w:r>
          </w:p>
        </w:tc>
        <w:tc>
          <w:tcPr>
            <w:tcW w:w="2702" w:type="dxa"/>
            <w:hideMark/>
          </w:tcPr>
          <w:p w14:paraId="70C6A69F"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color w:val="000000"/>
                <w:sz w:val="20"/>
                <w:szCs w:val="20"/>
              </w:rPr>
              <w:t>64.0%</w:t>
            </w:r>
          </w:p>
        </w:tc>
        <w:tc>
          <w:tcPr>
            <w:tcW w:w="2702" w:type="dxa"/>
            <w:hideMark/>
          </w:tcPr>
          <w:p w14:paraId="0FF31215"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color w:val="000000"/>
                <w:sz w:val="20"/>
                <w:szCs w:val="20"/>
              </w:rPr>
              <w:t>59.7%</w:t>
            </w:r>
          </w:p>
        </w:tc>
      </w:tr>
      <w:tr w:rsidR="001D7E18" w:rsidRPr="00D24210" w14:paraId="69C40DA8" w14:textId="77777777" w:rsidTr="008469E3">
        <w:trPr>
          <w:jc w:val="center"/>
        </w:trPr>
        <w:tc>
          <w:tcPr>
            <w:tcW w:w="2795" w:type="dxa"/>
            <w:hideMark/>
          </w:tcPr>
          <w:p w14:paraId="33C9C1DC" w14:textId="77777777" w:rsidR="001D7E18" w:rsidRPr="00D24210" w:rsidRDefault="001D7E18" w:rsidP="0014104A">
            <w:pPr>
              <w:keepNext/>
              <w:spacing w:line="300" w:lineRule="auto"/>
              <w:rPr>
                <w:rFonts w:ascii="Arial" w:hAnsi="Arial" w:cs="Arial"/>
                <w:sz w:val="20"/>
                <w:szCs w:val="20"/>
              </w:rPr>
            </w:pPr>
            <w:r w:rsidRPr="00D24210">
              <w:rPr>
                <w:rFonts w:ascii="Arial" w:hAnsi="Arial" w:cs="Arial"/>
                <w:color w:val="000000"/>
                <w:sz w:val="20"/>
                <w:szCs w:val="20"/>
              </w:rPr>
              <w:t>Social rented</w:t>
            </w:r>
          </w:p>
        </w:tc>
        <w:tc>
          <w:tcPr>
            <w:tcW w:w="2702" w:type="dxa"/>
            <w:hideMark/>
          </w:tcPr>
          <w:p w14:paraId="5E1EDC7A"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color w:val="000000"/>
                <w:sz w:val="20"/>
                <w:szCs w:val="20"/>
              </w:rPr>
              <w:t>25.0%</w:t>
            </w:r>
          </w:p>
        </w:tc>
        <w:tc>
          <w:tcPr>
            <w:tcW w:w="2702" w:type="dxa"/>
            <w:hideMark/>
          </w:tcPr>
          <w:p w14:paraId="60FD2011"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color w:val="000000"/>
                <w:sz w:val="20"/>
                <w:szCs w:val="20"/>
              </w:rPr>
              <w:t>24.6%</w:t>
            </w:r>
          </w:p>
        </w:tc>
      </w:tr>
      <w:tr w:rsidR="001D7E18" w:rsidRPr="00D24210" w14:paraId="1E5EA39A" w14:textId="77777777" w:rsidTr="008469E3">
        <w:trPr>
          <w:jc w:val="center"/>
        </w:trPr>
        <w:tc>
          <w:tcPr>
            <w:tcW w:w="2795" w:type="dxa"/>
            <w:hideMark/>
          </w:tcPr>
          <w:p w14:paraId="214CCBF0" w14:textId="77777777" w:rsidR="001D7E18" w:rsidRPr="00D24210" w:rsidRDefault="001D7E18" w:rsidP="0014104A">
            <w:pPr>
              <w:keepNext/>
              <w:spacing w:line="300" w:lineRule="auto"/>
              <w:rPr>
                <w:rFonts w:ascii="Arial" w:hAnsi="Arial" w:cs="Arial"/>
                <w:sz w:val="20"/>
                <w:szCs w:val="20"/>
              </w:rPr>
            </w:pPr>
            <w:r w:rsidRPr="00D24210">
              <w:rPr>
                <w:rFonts w:ascii="Arial" w:hAnsi="Arial" w:cs="Arial"/>
                <w:color w:val="000000"/>
                <w:sz w:val="20"/>
                <w:szCs w:val="20"/>
              </w:rPr>
              <w:t>Private rented</w:t>
            </w:r>
          </w:p>
        </w:tc>
        <w:tc>
          <w:tcPr>
            <w:tcW w:w="2702" w:type="dxa"/>
            <w:hideMark/>
          </w:tcPr>
          <w:p w14:paraId="1A386ADD"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color w:val="000000"/>
                <w:sz w:val="20"/>
                <w:szCs w:val="20"/>
              </w:rPr>
              <w:t>9.5%</w:t>
            </w:r>
          </w:p>
        </w:tc>
        <w:tc>
          <w:tcPr>
            <w:tcW w:w="2702" w:type="dxa"/>
            <w:hideMark/>
          </w:tcPr>
          <w:p w14:paraId="01686E5D"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color w:val="000000"/>
                <w:sz w:val="20"/>
                <w:szCs w:val="20"/>
              </w:rPr>
              <w:t>14.0%</w:t>
            </w:r>
          </w:p>
        </w:tc>
      </w:tr>
      <w:tr w:rsidR="001D7E18" w:rsidRPr="00D24210" w14:paraId="3F05FA89" w14:textId="77777777" w:rsidTr="008469E3">
        <w:trPr>
          <w:jc w:val="center"/>
        </w:trPr>
        <w:tc>
          <w:tcPr>
            <w:tcW w:w="2795" w:type="dxa"/>
            <w:hideMark/>
          </w:tcPr>
          <w:p w14:paraId="2FB71F2B" w14:textId="77777777" w:rsidR="001D7E18" w:rsidRPr="00D24210" w:rsidRDefault="001D7E18" w:rsidP="0014104A">
            <w:pPr>
              <w:keepNext/>
              <w:spacing w:line="300" w:lineRule="auto"/>
              <w:rPr>
                <w:rFonts w:ascii="Arial" w:hAnsi="Arial" w:cs="Arial"/>
                <w:sz w:val="20"/>
                <w:szCs w:val="20"/>
              </w:rPr>
            </w:pPr>
            <w:r w:rsidRPr="00D24210">
              <w:rPr>
                <w:rFonts w:ascii="Arial" w:hAnsi="Arial" w:cs="Arial"/>
                <w:color w:val="000000"/>
                <w:sz w:val="20"/>
                <w:szCs w:val="20"/>
              </w:rPr>
              <w:t>Other</w:t>
            </w:r>
          </w:p>
        </w:tc>
        <w:tc>
          <w:tcPr>
            <w:tcW w:w="2702" w:type="dxa"/>
            <w:hideMark/>
          </w:tcPr>
          <w:p w14:paraId="1F3379E5"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color w:val="000000"/>
                <w:sz w:val="20"/>
                <w:szCs w:val="20"/>
              </w:rPr>
              <w:t>1.6%</w:t>
            </w:r>
          </w:p>
        </w:tc>
        <w:tc>
          <w:tcPr>
            <w:tcW w:w="2702" w:type="dxa"/>
            <w:hideMark/>
          </w:tcPr>
          <w:p w14:paraId="14D80A0B"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color w:val="000000"/>
                <w:sz w:val="20"/>
                <w:szCs w:val="20"/>
              </w:rPr>
              <w:t>1.8%</w:t>
            </w:r>
          </w:p>
        </w:tc>
      </w:tr>
      <w:tr w:rsidR="001D7E18" w:rsidRPr="00D24210" w14:paraId="7606926C" w14:textId="77777777" w:rsidTr="008469E3">
        <w:trPr>
          <w:jc w:val="center"/>
        </w:trPr>
        <w:tc>
          <w:tcPr>
            <w:tcW w:w="2795" w:type="dxa"/>
            <w:hideMark/>
          </w:tcPr>
          <w:p w14:paraId="6369343E" w14:textId="77777777" w:rsidR="001D7E18" w:rsidRPr="00D24210" w:rsidRDefault="001D7E18" w:rsidP="0014104A">
            <w:pPr>
              <w:keepNext/>
              <w:spacing w:line="300" w:lineRule="auto"/>
              <w:rPr>
                <w:rFonts w:ascii="Arial" w:hAnsi="Arial" w:cs="Arial"/>
                <w:sz w:val="20"/>
                <w:szCs w:val="20"/>
              </w:rPr>
            </w:pPr>
            <w:r w:rsidRPr="00D24210">
              <w:rPr>
                <w:rFonts w:ascii="Arial" w:hAnsi="Arial" w:cs="Arial"/>
                <w:color w:val="000000"/>
                <w:sz w:val="20"/>
                <w:szCs w:val="20"/>
              </w:rPr>
              <w:t>Total</w:t>
            </w:r>
          </w:p>
        </w:tc>
        <w:tc>
          <w:tcPr>
            <w:tcW w:w="2702" w:type="dxa"/>
            <w:hideMark/>
          </w:tcPr>
          <w:p w14:paraId="56062835"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color w:val="000000"/>
                <w:sz w:val="20"/>
                <w:szCs w:val="20"/>
              </w:rPr>
              <w:t>100.0%</w:t>
            </w:r>
          </w:p>
        </w:tc>
        <w:tc>
          <w:tcPr>
            <w:tcW w:w="2702" w:type="dxa"/>
            <w:hideMark/>
          </w:tcPr>
          <w:p w14:paraId="4541527E" w14:textId="77777777" w:rsidR="001D7E18" w:rsidRPr="00D24210" w:rsidRDefault="001D7E18" w:rsidP="0014104A">
            <w:pPr>
              <w:keepNext/>
              <w:spacing w:line="300" w:lineRule="auto"/>
              <w:jc w:val="center"/>
              <w:rPr>
                <w:rFonts w:ascii="Arial" w:hAnsi="Arial" w:cs="Arial"/>
                <w:sz w:val="20"/>
                <w:szCs w:val="20"/>
              </w:rPr>
            </w:pPr>
            <w:r w:rsidRPr="00D24210">
              <w:rPr>
                <w:rFonts w:ascii="Arial" w:hAnsi="Arial" w:cs="Arial"/>
                <w:color w:val="000000"/>
                <w:sz w:val="20"/>
                <w:szCs w:val="20"/>
              </w:rPr>
              <w:t>100.0%</w:t>
            </w:r>
          </w:p>
        </w:tc>
      </w:tr>
    </w:tbl>
    <w:p w14:paraId="752C3397" w14:textId="77777777" w:rsidR="001D7E18" w:rsidRPr="00D24210" w:rsidRDefault="001D7E18" w:rsidP="0014104A">
      <w:pPr>
        <w:spacing w:line="300" w:lineRule="auto"/>
        <w:jc w:val="center"/>
        <w:rPr>
          <w:rFonts w:ascii="Arial" w:hAnsi="Arial" w:cs="Arial"/>
          <w:sz w:val="20"/>
          <w:szCs w:val="20"/>
        </w:rPr>
      </w:pPr>
      <w:r w:rsidRPr="00D24210">
        <w:rPr>
          <w:rFonts w:ascii="Arial" w:hAnsi="Arial" w:cs="Arial"/>
          <w:sz w:val="20"/>
          <w:szCs w:val="20"/>
        </w:rPr>
        <w:t>Source: Household survey</w:t>
      </w:r>
    </w:p>
    <w:p w14:paraId="3BC41986" w14:textId="77777777" w:rsidR="001D7E18" w:rsidRPr="00D24210" w:rsidRDefault="001D7E18" w:rsidP="00172F56">
      <w:pPr>
        <w:pStyle w:val="BodyText"/>
        <w:spacing w:after="0" w:line="300" w:lineRule="auto"/>
        <w:jc w:val="both"/>
        <w:rPr>
          <w:rFonts w:eastAsiaTheme="majorEastAsia" w:cs="Arial"/>
        </w:rPr>
      </w:pPr>
    </w:p>
    <w:p w14:paraId="6D13F248" w14:textId="57007C98" w:rsidR="001D7E18" w:rsidRDefault="004E3CEE">
      <w:pPr>
        <w:pStyle w:val="11Bodytext"/>
        <w:numPr>
          <w:ilvl w:val="1"/>
          <w:numId w:val="40"/>
        </w:numPr>
        <w:spacing w:before="0" w:after="0" w:line="300" w:lineRule="auto"/>
        <w:ind w:left="720" w:hanging="720"/>
      </w:pPr>
      <w:r>
        <w:t>T</w:t>
      </w:r>
      <w:r w:rsidR="001D7E18" w:rsidRPr="004E3CEE">
        <w:t xml:space="preserve">he final analysis of those who need to move looks at the number of bedrooms they say they need and how many they expect to secure. The analysis below has been segmented by tenure </w:t>
      </w:r>
      <w:r>
        <w:t xml:space="preserve">(social and private rented sector only) </w:t>
      </w:r>
      <w:r w:rsidR="001D7E18" w:rsidRPr="004E3CEE">
        <w:t>with any households stating either a like or expect within any tenure group being included in that group (this does mean that some households will be included in more than one group).</w:t>
      </w:r>
    </w:p>
    <w:p w14:paraId="795E0ECC" w14:textId="77777777" w:rsidR="004E3CEE" w:rsidRDefault="004E3CEE" w:rsidP="00172F56">
      <w:pPr>
        <w:pStyle w:val="11Bodytext"/>
        <w:numPr>
          <w:ilvl w:val="0"/>
          <w:numId w:val="0"/>
        </w:numPr>
        <w:spacing w:before="0" w:after="0" w:line="300" w:lineRule="auto"/>
      </w:pPr>
    </w:p>
    <w:p w14:paraId="3142B4BC" w14:textId="7318647C" w:rsidR="001D7E18" w:rsidRPr="004E3CEE" w:rsidRDefault="001D7E18">
      <w:pPr>
        <w:pStyle w:val="11Bodytext"/>
        <w:numPr>
          <w:ilvl w:val="1"/>
          <w:numId w:val="40"/>
        </w:numPr>
        <w:spacing w:before="0" w:after="0" w:line="300" w:lineRule="auto"/>
        <w:ind w:left="720" w:hanging="720"/>
      </w:pPr>
      <w:r w:rsidRPr="004E3CEE">
        <w:t>In the social rented sector the need is focussed on 2-bedroom homes, although there is an appreciable demand for homes with 3</w:t>
      </w:r>
      <w:r w:rsidR="005C43E6">
        <w:t xml:space="preserve"> or more</w:t>
      </w:r>
      <w:r w:rsidRPr="004E3CEE">
        <w:t>-bedrooms (and also for 1-bedroom accommodation)</w:t>
      </w:r>
      <w:r w:rsidR="004E3CEE">
        <w:t xml:space="preserve"> and in</w:t>
      </w:r>
      <w:r w:rsidRPr="004E3CEE">
        <w:t xml:space="preserve"> the private rented sector, the demand is very much focussed on 2 and </w:t>
      </w:r>
      <w:r w:rsidR="004E3CEE">
        <w:t xml:space="preserve">to a lesser extent </w:t>
      </w:r>
      <w:r w:rsidRPr="004E3CEE">
        <w:t>3-bedroom homes.</w:t>
      </w:r>
    </w:p>
    <w:tbl>
      <w:tblPr>
        <w:tblStyle w:val="TableGrid1"/>
        <w:tblW w:w="8199" w:type="dxa"/>
        <w:jc w:val="center"/>
        <w:tblLook w:val="04A0" w:firstRow="1" w:lastRow="0" w:firstColumn="1" w:lastColumn="0" w:noHBand="0" w:noVBand="1"/>
      </w:tblPr>
      <w:tblGrid>
        <w:gridCol w:w="1639"/>
        <w:gridCol w:w="1640"/>
        <w:gridCol w:w="1640"/>
        <w:gridCol w:w="1640"/>
        <w:gridCol w:w="1640"/>
      </w:tblGrid>
      <w:tr w:rsidR="001D7E18" w:rsidRPr="004E3CEE" w14:paraId="46602690" w14:textId="77777777" w:rsidTr="004E3CEE">
        <w:trPr>
          <w:jc w:val="center"/>
        </w:trPr>
        <w:tc>
          <w:tcPr>
            <w:tcW w:w="8199" w:type="dxa"/>
            <w:gridSpan w:val="5"/>
          </w:tcPr>
          <w:p w14:paraId="671C5E72" w14:textId="2FEB137F" w:rsidR="001D7E18" w:rsidRPr="004E3CEE" w:rsidRDefault="004E3CEE" w:rsidP="0014104A">
            <w:pPr>
              <w:keepNext/>
              <w:autoSpaceDE w:val="0"/>
              <w:autoSpaceDN w:val="0"/>
              <w:adjustRightInd w:val="0"/>
              <w:spacing w:before="60" w:after="60" w:line="300" w:lineRule="auto"/>
              <w:jc w:val="center"/>
              <w:rPr>
                <w:rFonts w:ascii="Arial" w:hAnsi="Arial" w:cs="Arial"/>
                <w:b/>
                <w:bCs/>
                <w:sz w:val="20"/>
                <w:szCs w:val="20"/>
              </w:rPr>
            </w:pPr>
            <w:r w:rsidRPr="004E3CEE">
              <w:rPr>
                <w:rFonts w:ascii="Arial" w:hAnsi="Arial" w:cs="Arial"/>
                <w:b/>
                <w:bCs/>
                <w:sz w:val="20"/>
                <w:szCs w:val="20"/>
              </w:rPr>
              <w:t>Figure 5.</w:t>
            </w:r>
            <w:r w:rsidR="00AD29A6">
              <w:rPr>
                <w:rFonts w:ascii="Arial" w:hAnsi="Arial" w:cs="Arial"/>
                <w:b/>
                <w:bCs/>
                <w:sz w:val="20"/>
                <w:szCs w:val="20"/>
              </w:rPr>
              <w:t>11</w:t>
            </w:r>
            <w:r w:rsidRPr="004E3CEE">
              <w:rPr>
                <w:rFonts w:ascii="Arial" w:hAnsi="Arial" w:cs="Arial"/>
                <w:b/>
                <w:bCs/>
                <w:sz w:val="20"/>
                <w:szCs w:val="20"/>
              </w:rPr>
              <w:t xml:space="preserve">: </w:t>
            </w:r>
            <w:r w:rsidR="001D7E18" w:rsidRPr="004E3CEE">
              <w:rPr>
                <w:rFonts w:ascii="Arial" w:hAnsi="Arial" w:cs="Arial"/>
                <w:b/>
                <w:bCs/>
                <w:sz w:val="20"/>
                <w:szCs w:val="20"/>
              </w:rPr>
              <w:t xml:space="preserve">Number of bedrooms </w:t>
            </w:r>
            <w:r w:rsidR="0003185B">
              <w:rPr>
                <w:rFonts w:ascii="Arial" w:hAnsi="Arial" w:cs="Arial"/>
                <w:b/>
                <w:bCs/>
                <w:sz w:val="20"/>
                <w:szCs w:val="20"/>
              </w:rPr>
              <w:t>liked</w:t>
            </w:r>
            <w:r w:rsidR="001D7E18" w:rsidRPr="004E3CEE">
              <w:rPr>
                <w:rFonts w:ascii="Arial" w:hAnsi="Arial" w:cs="Arial"/>
                <w:b/>
                <w:bCs/>
                <w:sz w:val="20"/>
                <w:szCs w:val="20"/>
              </w:rPr>
              <w:t xml:space="preserve"> and expected by future tenure</w:t>
            </w:r>
          </w:p>
        </w:tc>
      </w:tr>
      <w:tr w:rsidR="004E3CEE" w:rsidRPr="00D24210" w14:paraId="5B5FBD91" w14:textId="77777777" w:rsidTr="004E3CEE">
        <w:trPr>
          <w:jc w:val="center"/>
        </w:trPr>
        <w:tc>
          <w:tcPr>
            <w:tcW w:w="1639" w:type="dxa"/>
          </w:tcPr>
          <w:p w14:paraId="71B43268" w14:textId="77777777" w:rsidR="004E3CEE" w:rsidRPr="00D24210" w:rsidRDefault="004E3CEE" w:rsidP="0014104A">
            <w:pPr>
              <w:keepNext/>
              <w:autoSpaceDE w:val="0"/>
              <w:autoSpaceDN w:val="0"/>
              <w:adjustRightInd w:val="0"/>
              <w:spacing w:line="300" w:lineRule="auto"/>
              <w:rPr>
                <w:rFonts w:ascii="Arial" w:hAnsi="Arial" w:cs="Arial"/>
                <w:sz w:val="20"/>
                <w:szCs w:val="20"/>
              </w:rPr>
            </w:pPr>
          </w:p>
        </w:tc>
        <w:tc>
          <w:tcPr>
            <w:tcW w:w="3280" w:type="dxa"/>
            <w:gridSpan w:val="2"/>
            <w:hideMark/>
          </w:tcPr>
          <w:p w14:paraId="5117CCB5"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Social rented</w:t>
            </w:r>
          </w:p>
        </w:tc>
        <w:tc>
          <w:tcPr>
            <w:tcW w:w="3280" w:type="dxa"/>
            <w:gridSpan w:val="2"/>
            <w:hideMark/>
          </w:tcPr>
          <w:p w14:paraId="19152601"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Private rented and other</w:t>
            </w:r>
          </w:p>
        </w:tc>
      </w:tr>
      <w:tr w:rsidR="004E3CEE" w:rsidRPr="00D24210" w14:paraId="1EB84DF4" w14:textId="77777777" w:rsidTr="004E3CEE">
        <w:trPr>
          <w:jc w:val="center"/>
        </w:trPr>
        <w:tc>
          <w:tcPr>
            <w:tcW w:w="1639" w:type="dxa"/>
          </w:tcPr>
          <w:p w14:paraId="02F84F47" w14:textId="77777777" w:rsidR="004E3CEE" w:rsidRPr="00D24210" w:rsidRDefault="004E3CEE" w:rsidP="0014104A">
            <w:pPr>
              <w:keepNext/>
              <w:autoSpaceDE w:val="0"/>
              <w:autoSpaceDN w:val="0"/>
              <w:adjustRightInd w:val="0"/>
              <w:spacing w:line="300" w:lineRule="auto"/>
              <w:rPr>
                <w:rFonts w:ascii="Arial" w:hAnsi="Arial" w:cs="Arial"/>
                <w:sz w:val="20"/>
                <w:szCs w:val="20"/>
              </w:rPr>
            </w:pPr>
          </w:p>
        </w:tc>
        <w:tc>
          <w:tcPr>
            <w:tcW w:w="1640" w:type="dxa"/>
            <w:hideMark/>
          </w:tcPr>
          <w:p w14:paraId="4687E63A" w14:textId="73A1B777" w:rsidR="004E3CEE" w:rsidRPr="00D24210" w:rsidRDefault="0003185B" w:rsidP="0014104A">
            <w:pPr>
              <w:keepNext/>
              <w:autoSpaceDE w:val="0"/>
              <w:autoSpaceDN w:val="0"/>
              <w:adjustRightInd w:val="0"/>
              <w:spacing w:line="300" w:lineRule="auto"/>
              <w:jc w:val="center"/>
              <w:rPr>
                <w:rFonts w:ascii="Arial" w:hAnsi="Arial" w:cs="Arial"/>
                <w:sz w:val="20"/>
                <w:szCs w:val="20"/>
              </w:rPr>
            </w:pPr>
            <w:r>
              <w:rPr>
                <w:rFonts w:ascii="Arial" w:hAnsi="Arial" w:cs="Arial"/>
                <w:sz w:val="20"/>
                <w:szCs w:val="20"/>
              </w:rPr>
              <w:t>Like</w:t>
            </w:r>
          </w:p>
        </w:tc>
        <w:tc>
          <w:tcPr>
            <w:tcW w:w="1640" w:type="dxa"/>
            <w:hideMark/>
          </w:tcPr>
          <w:p w14:paraId="6698223A"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Expect</w:t>
            </w:r>
          </w:p>
        </w:tc>
        <w:tc>
          <w:tcPr>
            <w:tcW w:w="1640" w:type="dxa"/>
            <w:hideMark/>
          </w:tcPr>
          <w:p w14:paraId="756603B4" w14:textId="5AB31953" w:rsidR="004E3CEE" w:rsidRPr="00D24210" w:rsidRDefault="0003185B" w:rsidP="0014104A">
            <w:pPr>
              <w:keepNext/>
              <w:autoSpaceDE w:val="0"/>
              <w:autoSpaceDN w:val="0"/>
              <w:adjustRightInd w:val="0"/>
              <w:spacing w:line="300" w:lineRule="auto"/>
              <w:jc w:val="center"/>
              <w:rPr>
                <w:rFonts w:ascii="Arial" w:hAnsi="Arial" w:cs="Arial"/>
                <w:sz w:val="20"/>
                <w:szCs w:val="20"/>
              </w:rPr>
            </w:pPr>
            <w:r>
              <w:rPr>
                <w:rFonts w:ascii="Arial" w:hAnsi="Arial" w:cs="Arial"/>
                <w:sz w:val="20"/>
                <w:szCs w:val="20"/>
              </w:rPr>
              <w:t>Like</w:t>
            </w:r>
          </w:p>
        </w:tc>
        <w:tc>
          <w:tcPr>
            <w:tcW w:w="1640" w:type="dxa"/>
            <w:hideMark/>
          </w:tcPr>
          <w:p w14:paraId="65A8FB29"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Expect</w:t>
            </w:r>
          </w:p>
        </w:tc>
      </w:tr>
      <w:tr w:rsidR="004E3CEE" w:rsidRPr="00D24210" w14:paraId="4A20B369" w14:textId="77777777" w:rsidTr="004E3CEE">
        <w:trPr>
          <w:jc w:val="center"/>
        </w:trPr>
        <w:tc>
          <w:tcPr>
            <w:tcW w:w="1639" w:type="dxa"/>
            <w:hideMark/>
          </w:tcPr>
          <w:p w14:paraId="1F935F5C" w14:textId="77777777" w:rsidR="004E3CEE" w:rsidRPr="00D24210" w:rsidRDefault="004E3CEE" w:rsidP="0014104A">
            <w:pPr>
              <w:keepNext/>
              <w:autoSpaceDE w:val="0"/>
              <w:autoSpaceDN w:val="0"/>
              <w:adjustRightInd w:val="0"/>
              <w:spacing w:line="300" w:lineRule="auto"/>
              <w:rPr>
                <w:rFonts w:ascii="Arial" w:hAnsi="Arial" w:cs="Arial"/>
                <w:sz w:val="20"/>
                <w:szCs w:val="20"/>
              </w:rPr>
            </w:pPr>
            <w:r w:rsidRPr="00D24210">
              <w:rPr>
                <w:rFonts w:ascii="Arial" w:hAnsi="Arial" w:cs="Arial"/>
                <w:sz w:val="20"/>
                <w:szCs w:val="20"/>
              </w:rPr>
              <w:t>1-bedroom</w:t>
            </w:r>
          </w:p>
        </w:tc>
        <w:tc>
          <w:tcPr>
            <w:tcW w:w="1640" w:type="dxa"/>
            <w:hideMark/>
          </w:tcPr>
          <w:p w14:paraId="26C20A01"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10.4%</w:t>
            </w:r>
          </w:p>
        </w:tc>
        <w:tc>
          <w:tcPr>
            <w:tcW w:w="1640" w:type="dxa"/>
            <w:hideMark/>
          </w:tcPr>
          <w:p w14:paraId="7D067D8F"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20.5%</w:t>
            </w:r>
          </w:p>
        </w:tc>
        <w:tc>
          <w:tcPr>
            <w:tcW w:w="1640" w:type="dxa"/>
            <w:hideMark/>
          </w:tcPr>
          <w:p w14:paraId="7D0BD5CD"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13.6%</w:t>
            </w:r>
          </w:p>
        </w:tc>
        <w:tc>
          <w:tcPr>
            <w:tcW w:w="1640" w:type="dxa"/>
            <w:hideMark/>
          </w:tcPr>
          <w:p w14:paraId="4A16073E"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31.4%</w:t>
            </w:r>
          </w:p>
        </w:tc>
      </w:tr>
      <w:tr w:rsidR="004E3CEE" w:rsidRPr="00D24210" w14:paraId="7E7CFEFE" w14:textId="77777777" w:rsidTr="004E3CEE">
        <w:trPr>
          <w:jc w:val="center"/>
        </w:trPr>
        <w:tc>
          <w:tcPr>
            <w:tcW w:w="1639" w:type="dxa"/>
            <w:hideMark/>
          </w:tcPr>
          <w:p w14:paraId="638F8D79" w14:textId="77777777" w:rsidR="004E3CEE" w:rsidRPr="00D24210" w:rsidRDefault="004E3CEE" w:rsidP="0014104A">
            <w:pPr>
              <w:keepNext/>
              <w:autoSpaceDE w:val="0"/>
              <w:autoSpaceDN w:val="0"/>
              <w:adjustRightInd w:val="0"/>
              <w:spacing w:line="300" w:lineRule="auto"/>
              <w:rPr>
                <w:rFonts w:ascii="Arial" w:hAnsi="Arial" w:cs="Arial"/>
                <w:sz w:val="20"/>
                <w:szCs w:val="20"/>
              </w:rPr>
            </w:pPr>
            <w:r w:rsidRPr="00D24210">
              <w:rPr>
                <w:rFonts w:ascii="Arial" w:hAnsi="Arial" w:cs="Arial"/>
                <w:sz w:val="20"/>
                <w:szCs w:val="20"/>
              </w:rPr>
              <w:t>2-bedrooms</w:t>
            </w:r>
          </w:p>
        </w:tc>
        <w:tc>
          <w:tcPr>
            <w:tcW w:w="1640" w:type="dxa"/>
            <w:hideMark/>
          </w:tcPr>
          <w:p w14:paraId="039F528E"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38.2%</w:t>
            </w:r>
          </w:p>
        </w:tc>
        <w:tc>
          <w:tcPr>
            <w:tcW w:w="1640" w:type="dxa"/>
            <w:hideMark/>
          </w:tcPr>
          <w:p w14:paraId="122EB70E"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48.9%</w:t>
            </w:r>
          </w:p>
        </w:tc>
        <w:tc>
          <w:tcPr>
            <w:tcW w:w="1640" w:type="dxa"/>
            <w:hideMark/>
          </w:tcPr>
          <w:p w14:paraId="253140AC"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42.7%</w:t>
            </w:r>
          </w:p>
        </w:tc>
        <w:tc>
          <w:tcPr>
            <w:tcW w:w="1640" w:type="dxa"/>
            <w:hideMark/>
          </w:tcPr>
          <w:p w14:paraId="6D8ABCE1"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44.4%</w:t>
            </w:r>
          </w:p>
        </w:tc>
      </w:tr>
      <w:tr w:rsidR="004E3CEE" w:rsidRPr="00D24210" w14:paraId="5E849931" w14:textId="77777777" w:rsidTr="004E3CEE">
        <w:trPr>
          <w:jc w:val="center"/>
        </w:trPr>
        <w:tc>
          <w:tcPr>
            <w:tcW w:w="1639" w:type="dxa"/>
            <w:hideMark/>
          </w:tcPr>
          <w:p w14:paraId="1C4F4ED6" w14:textId="77777777" w:rsidR="004E3CEE" w:rsidRPr="00D24210" w:rsidRDefault="004E3CEE" w:rsidP="0014104A">
            <w:pPr>
              <w:keepNext/>
              <w:autoSpaceDE w:val="0"/>
              <w:autoSpaceDN w:val="0"/>
              <w:adjustRightInd w:val="0"/>
              <w:spacing w:line="300" w:lineRule="auto"/>
              <w:rPr>
                <w:rFonts w:ascii="Arial" w:hAnsi="Arial" w:cs="Arial"/>
                <w:sz w:val="20"/>
                <w:szCs w:val="20"/>
              </w:rPr>
            </w:pPr>
            <w:r w:rsidRPr="00D24210">
              <w:rPr>
                <w:rFonts w:ascii="Arial" w:hAnsi="Arial" w:cs="Arial"/>
                <w:sz w:val="20"/>
                <w:szCs w:val="20"/>
              </w:rPr>
              <w:t>3-bedrooms</w:t>
            </w:r>
          </w:p>
        </w:tc>
        <w:tc>
          <w:tcPr>
            <w:tcW w:w="1640" w:type="dxa"/>
            <w:hideMark/>
          </w:tcPr>
          <w:p w14:paraId="7BB5B130"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42.5%</w:t>
            </w:r>
          </w:p>
        </w:tc>
        <w:tc>
          <w:tcPr>
            <w:tcW w:w="1640" w:type="dxa"/>
            <w:hideMark/>
          </w:tcPr>
          <w:p w14:paraId="045B7EDE"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24.2%</w:t>
            </w:r>
          </w:p>
        </w:tc>
        <w:tc>
          <w:tcPr>
            <w:tcW w:w="1640" w:type="dxa"/>
            <w:hideMark/>
          </w:tcPr>
          <w:p w14:paraId="451ECB03"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33.9%</w:t>
            </w:r>
          </w:p>
        </w:tc>
        <w:tc>
          <w:tcPr>
            <w:tcW w:w="1640" w:type="dxa"/>
            <w:hideMark/>
          </w:tcPr>
          <w:p w14:paraId="495F0D0D"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20.6%</w:t>
            </w:r>
          </w:p>
        </w:tc>
      </w:tr>
      <w:tr w:rsidR="004E3CEE" w:rsidRPr="00D24210" w14:paraId="0183C33A" w14:textId="77777777" w:rsidTr="004E3CEE">
        <w:trPr>
          <w:jc w:val="center"/>
        </w:trPr>
        <w:tc>
          <w:tcPr>
            <w:tcW w:w="1639" w:type="dxa"/>
            <w:hideMark/>
          </w:tcPr>
          <w:p w14:paraId="1FF5D51A" w14:textId="77777777" w:rsidR="004E3CEE" w:rsidRPr="00D24210" w:rsidRDefault="004E3CEE" w:rsidP="0014104A">
            <w:pPr>
              <w:keepNext/>
              <w:autoSpaceDE w:val="0"/>
              <w:autoSpaceDN w:val="0"/>
              <w:adjustRightInd w:val="0"/>
              <w:spacing w:line="300" w:lineRule="auto"/>
              <w:rPr>
                <w:rFonts w:ascii="Arial" w:hAnsi="Arial" w:cs="Arial"/>
                <w:sz w:val="20"/>
                <w:szCs w:val="20"/>
              </w:rPr>
            </w:pPr>
            <w:r w:rsidRPr="00D24210">
              <w:rPr>
                <w:rFonts w:ascii="Arial" w:hAnsi="Arial" w:cs="Arial"/>
                <w:sz w:val="20"/>
                <w:szCs w:val="20"/>
              </w:rPr>
              <w:t>4+-bedrooms</w:t>
            </w:r>
          </w:p>
        </w:tc>
        <w:tc>
          <w:tcPr>
            <w:tcW w:w="1640" w:type="dxa"/>
            <w:hideMark/>
          </w:tcPr>
          <w:p w14:paraId="5EDEB3F0"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8.9%</w:t>
            </w:r>
          </w:p>
        </w:tc>
        <w:tc>
          <w:tcPr>
            <w:tcW w:w="1640" w:type="dxa"/>
            <w:hideMark/>
          </w:tcPr>
          <w:p w14:paraId="20A9D4E2"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6.4%</w:t>
            </w:r>
          </w:p>
        </w:tc>
        <w:tc>
          <w:tcPr>
            <w:tcW w:w="1640" w:type="dxa"/>
            <w:hideMark/>
          </w:tcPr>
          <w:p w14:paraId="2E589BA6"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9.8%</w:t>
            </w:r>
          </w:p>
        </w:tc>
        <w:tc>
          <w:tcPr>
            <w:tcW w:w="1640" w:type="dxa"/>
            <w:hideMark/>
          </w:tcPr>
          <w:p w14:paraId="1857F5F7"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3.6%</w:t>
            </w:r>
          </w:p>
        </w:tc>
      </w:tr>
      <w:tr w:rsidR="004E3CEE" w:rsidRPr="00D24210" w14:paraId="407D9700" w14:textId="77777777" w:rsidTr="004E3CEE">
        <w:trPr>
          <w:jc w:val="center"/>
        </w:trPr>
        <w:tc>
          <w:tcPr>
            <w:tcW w:w="1639" w:type="dxa"/>
            <w:hideMark/>
          </w:tcPr>
          <w:p w14:paraId="36E527EA" w14:textId="77777777" w:rsidR="004E3CEE" w:rsidRPr="00D24210" w:rsidRDefault="004E3CEE" w:rsidP="0014104A">
            <w:pPr>
              <w:keepNext/>
              <w:autoSpaceDE w:val="0"/>
              <w:autoSpaceDN w:val="0"/>
              <w:adjustRightInd w:val="0"/>
              <w:spacing w:line="300" w:lineRule="auto"/>
              <w:rPr>
                <w:rFonts w:ascii="Arial" w:hAnsi="Arial" w:cs="Arial"/>
                <w:sz w:val="20"/>
                <w:szCs w:val="20"/>
              </w:rPr>
            </w:pPr>
            <w:r w:rsidRPr="00D24210">
              <w:rPr>
                <w:rFonts w:ascii="Arial" w:hAnsi="Arial" w:cs="Arial"/>
                <w:sz w:val="20"/>
                <w:szCs w:val="20"/>
              </w:rPr>
              <w:t>TOTAL</w:t>
            </w:r>
          </w:p>
        </w:tc>
        <w:tc>
          <w:tcPr>
            <w:tcW w:w="1640" w:type="dxa"/>
            <w:hideMark/>
          </w:tcPr>
          <w:p w14:paraId="452E7C6C"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100.0%</w:t>
            </w:r>
          </w:p>
        </w:tc>
        <w:tc>
          <w:tcPr>
            <w:tcW w:w="1640" w:type="dxa"/>
            <w:hideMark/>
          </w:tcPr>
          <w:p w14:paraId="23681EAB"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100.0%</w:t>
            </w:r>
          </w:p>
        </w:tc>
        <w:tc>
          <w:tcPr>
            <w:tcW w:w="1640" w:type="dxa"/>
            <w:hideMark/>
          </w:tcPr>
          <w:p w14:paraId="6C6D3B05"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100.0%</w:t>
            </w:r>
          </w:p>
        </w:tc>
        <w:tc>
          <w:tcPr>
            <w:tcW w:w="1640" w:type="dxa"/>
            <w:hideMark/>
          </w:tcPr>
          <w:p w14:paraId="357E11CC" w14:textId="77777777" w:rsidR="004E3CEE" w:rsidRPr="00D24210" w:rsidRDefault="004E3CEE"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100.0%</w:t>
            </w:r>
          </w:p>
        </w:tc>
      </w:tr>
    </w:tbl>
    <w:p w14:paraId="2D16B750" w14:textId="77777777" w:rsidR="001D7E18" w:rsidRPr="00D24210" w:rsidRDefault="001D7E18" w:rsidP="0014104A">
      <w:pPr>
        <w:spacing w:line="300" w:lineRule="auto"/>
        <w:jc w:val="center"/>
        <w:rPr>
          <w:rFonts w:ascii="Arial" w:hAnsi="Arial" w:cs="Arial"/>
          <w:sz w:val="20"/>
          <w:szCs w:val="20"/>
        </w:rPr>
      </w:pPr>
      <w:r w:rsidRPr="00D24210">
        <w:rPr>
          <w:rFonts w:ascii="Arial" w:hAnsi="Arial" w:cs="Arial"/>
          <w:sz w:val="20"/>
          <w:szCs w:val="20"/>
        </w:rPr>
        <w:t>Source: Household survey</w:t>
      </w:r>
    </w:p>
    <w:p w14:paraId="7D2031DE" w14:textId="77777777" w:rsidR="00330A02" w:rsidRDefault="00330A02" w:rsidP="0033047F">
      <w:pPr>
        <w:pStyle w:val="11Bodytext"/>
        <w:numPr>
          <w:ilvl w:val="0"/>
          <w:numId w:val="0"/>
        </w:numPr>
        <w:spacing w:before="0" w:after="0" w:line="300" w:lineRule="auto"/>
        <w:ind w:left="794" w:hanging="794"/>
        <w:rPr>
          <w:color w:val="auto"/>
        </w:rPr>
      </w:pPr>
    </w:p>
    <w:p w14:paraId="5725FD05" w14:textId="5B11E487" w:rsidR="00330A02" w:rsidRPr="007236BD" w:rsidRDefault="00330A02" w:rsidP="00172F56">
      <w:pPr>
        <w:spacing w:line="300" w:lineRule="auto"/>
        <w:jc w:val="both"/>
        <w:rPr>
          <w:rFonts w:ascii="Arial" w:hAnsi="Arial" w:cs="Arial"/>
          <w:b/>
          <w:lang w:eastAsia="ja-JP"/>
        </w:rPr>
      </w:pPr>
      <w:r>
        <w:rPr>
          <w:rFonts w:ascii="Arial" w:hAnsi="Arial" w:cs="Arial"/>
          <w:b/>
          <w:lang w:eastAsia="ja-JP"/>
        </w:rPr>
        <w:t>Future Housing Intentions – newly-forming households</w:t>
      </w:r>
    </w:p>
    <w:p w14:paraId="67688DE5" w14:textId="77777777" w:rsidR="00330A02" w:rsidRPr="00C7268E" w:rsidRDefault="00330A02" w:rsidP="00172F56">
      <w:pPr>
        <w:spacing w:line="300" w:lineRule="auto"/>
        <w:jc w:val="both"/>
        <w:rPr>
          <w:rFonts w:ascii="Arial" w:hAnsi="Arial" w:cs="Arial"/>
          <w:sz w:val="20"/>
          <w:szCs w:val="20"/>
          <w:lang w:eastAsia="ja-JP"/>
        </w:rPr>
      </w:pPr>
    </w:p>
    <w:p w14:paraId="3118654E" w14:textId="09D3DED6" w:rsidR="00330A02" w:rsidRPr="00330A02" w:rsidRDefault="00330A02">
      <w:pPr>
        <w:pStyle w:val="11Bodytext"/>
        <w:numPr>
          <w:ilvl w:val="1"/>
          <w:numId w:val="40"/>
        </w:numPr>
        <w:spacing w:before="0" w:after="0" w:line="300" w:lineRule="auto"/>
        <w:ind w:left="720" w:hanging="720"/>
        <w:rPr>
          <w:color w:val="auto"/>
        </w:rPr>
      </w:pPr>
      <w:r>
        <w:t>A similar set of questions were asked of households who  expect to form an independent home over the next five years</w:t>
      </w:r>
      <w:r w:rsidRPr="001D7E18">
        <w:t>.</w:t>
      </w:r>
      <w:r>
        <w:t xml:space="preserve"> In total, the survey identified 3,368 households as potentially moving over the next five years along with 541 who say they would like a place of their own but are unable to move for some reason. The table below shows when the 3,368 </w:t>
      </w:r>
      <w:r w:rsidR="00432414">
        <w:t>households</w:t>
      </w:r>
      <w:r>
        <w:t xml:space="preserve"> say they are likely to move. It is notable that a high proportion (41%</w:t>
      </w:r>
      <w:r w:rsidR="000A4507">
        <w:t>)</w:t>
      </w:r>
      <w:r>
        <w:t xml:space="preserve"> would</w:t>
      </w:r>
      <w:r w:rsidR="000A4507">
        <w:t xml:space="preserve"> be looking or expecting to move within the next year.</w:t>
      </w:r>
    </w:p>
    <w:p w14:paraId="24D48E4D" w14:textId="77777777" w:rsidR="00330A02" w:rsidRPr="001D7E18" w:rsidRDefault="00330A02" w:rsidP="00172F56">
      <w:pPr>
        <w:pStyle w:val="11Bodytext"/>
        <w:numPr>
          <w:ilvl w:val="0"/>
          <w:numId w:val="0"/>
        </w:numPr>
        <w:spacing w:before="0" w:after="0" w:line="300" w:lineRule="auto"/>
        <w:rPr>
          <w:color w:val="auto"/>
        </w:rPr>
      </w:pPr>
    </w:p>
    <w:tbl>
      <w:tblPr>
        <w:tblStyle w:val="TableGrid1"/>
        <w:tblW w:w="8199" w:type="dxa"/>
        <w:jc w:val="center"/>
        <w:tblLook w:val="04A0" w:firstRow="1" w:lastRow="0" w:firstColumn="1" w:lastColumn="0" w:noHBand="0" w:noVBand="1"/>
      </w:tblPr>
      <w:tblGrid>
        <w:gridCol w:w="2707"/>
        <w:gridCol w:w="2746"/>
        <w:gridCol w:w="2746"/>
      </w:tblGrid>
      <w:tr w:rsidR="00330A02" w:rsidRPr="001D7E18" w14:paraId="007A074D" w14:textId="77777777" w:rsidTr="008469E3">
        <w:trPr>
          <w:jc w:val="center"/>
        </w:trPr>
        <w:tc>
          <w:tcPr>
            <w:tcW w:w="8199" w:type="dxa"/>
            <w:gridSpan w:val="3"/>
          </w:tcPr>
          <w:p w14:paraId="0FF33662" w14:textId="6CB3F1EF" w:rsidR="00330A02" w:rsidRPr="000A4507" w:rsidRDefault="00330A02" w:rsidP="0014104A">
            <w:pPr>
              <w:keepNext/>
              <w:spacing w:before="60" w:after="60" w:line="300" w:lineRule="auto"/>
              <w:jc w:val="center"/>
              <w:rPr>
                <w:rFonts w:ascii="Arial" w:hAnsi="Arial" w:cs="Arial"/>
                <w:b/>
                <w:bCs/>
                <w:sz w:val="20"/>
                <w:szCs w:val="20"/>
              </w:rPr>
            </w:pPr>
            <w:r w:rsidRPr="000A4507">
              <w:rPr>
                <w:rFonts w:ascii="Arial" w:hAnsi="Arial" w:cs="Arial"/>
                <w:b/>
                <w:bCs/>
                <w:sz w:val="20"/>
                <w:szCs w:val="20"/>
              </w:rPr>
              <w:t>Figure 5.</w:t>
            </w:r>
            <w:r w:rsidR="00AD29A6">
              <w:rPr>
                <w:rFonts w:ascii="Arial" w:hAnsi="Arial" w:cs="Arial"/>
                <w:b/>
                <w:bCs/>
                <w:sz w:val="20"/>
                <w:szCs w:val="20"/>
              </w:rPr>
              <w:t>12</w:t>
            </w:r>
            <w:r w:rsidRPr="000A4507">
              <w:rPr>
                <w:rFonts w:ascii="Arial" w:hAnsi="Arial" w:cs="Arial"/>
                <w:b/>
                <w:bCs/>
                <w:sz w:val="20"/>
                <w:szCs w:val="20"/>
              </w:rPr>
              <w:t xml:space="preserve">: When households need or expect to move – newly-forming </w:t>
            </w:r>
            <w:r w:rsidR="00432414" w:rsidRPr="000A4507">
              <w:rPr>
                <w:rFonts w:ascii="Arial" w:hAnsi="Arial" w:cs="Arial"/>
                <w:b/>
                <w:bCs/>
                <w:sz w:val="20"/>
                <w:szCs w:val="20"/>
              </w:rPr>
              <w:t>households</w:t>
            </w:r>
          </w:p>
        </w:tc>
      </w:tr>
      <w:tr w:rsidR="00330A02" w14:paraId="4EBBDBDD" w14:textId="77777777" w:rsidTr="00172F56">
        <w:trPr>
          <w:jc w:val="center"/>
        </w:trPr>
        <w:tc>
          <w:tcPr>
            <w:tcW w:w="2707" w:type="dxa"/>
          </w:tcPr>
          <w:p w14:paraId="6476C334" w14:textId="77777777" w:rsidR="00330A02" w:rsidRPr="000A4507" w:rsidRDefault="00330A02" w:rsidP="0014104A">
            <w:pPr>
              <w:keepNext/>
              <w:spacing w:line="300" w:lineRule="auto"/>
              <w:rPr>
                <w:rFonts w:ascii="Arial" w:hAnsi="Arial" w:cs="Arial"/>
                <w:sz w:val="20"/>
                <w:szCs w:val="20"/>
              </w:rPr>
            </w:pPr>
          </w:p>
        </w:tc>
        <w:tc>
          <w:tcPr>
            <w:tcW w:w="2746" w:type="dxa"/>
            <w:vAlign w:val="center"/>
            <w:hideMark/>
          </w:tcPr>
          <w:p w14:paraId="3B2B7E81" w14:textId="77777777" w:rsidR="00330A02" w:rsidRPr="000A4507" w:rsidRDefault="00330A02" w:rsidP="0014104A">
            <w:pPr>
              <w:keepNext/>
              <w:spacing w:line="300" w:lineRule="auto"/>
              <w:jc w:val="center"/>
              <w:rPr>
                <w:rFonts w:ascii="Arial" w:hAnsi="Arial" w:cs="Arial"/>
                <w:sz w:val="20"/>
                <w:szCs w:val="20"/>
              </w:rPr>
            </w:pPr>
            <w:r w:rsidRPr="000A4507">
              <w:rPr>
                <w:rFonts w:ascii="Arial" w:hAnsi="Arial" w:cs="Arial"/>
                <w:sz w:val="20"/>
                <w:szCs w:val="20"/>
              </w:rPr>
              <w:t>Estimated number of households</w:t>
            </w:r>
          </w:p>
        </w:tc>
        <w:tc>
          <w:tcPr>
            <w:tcW w:w="2746" w:type="dxa"/>
            <w:vAlign w:val="center"/>
            <w:hideMark/>
          </w:tcPr>
          <w:p w14:paraId="0EA0ED4A" w14:textId="77777777" w:rsidR="00330A02" w:rsidRPr="000A4507" w:rsidRDefault="00330A02" w:rsidP="0014104A">
            <w:pPr>
              <w:keepNext/>
              <w:spacing w:line="300" w:lineRule="auto"/>
              <w:jc w:val="center"/>
              <w:rPr>
                <w:rFonts w:ascii="Arial" w:hAnsi="Arial" w:cs="Arial"/>
                <w:sz w:val="20"/>
                <w:szCs w:val="20"/>
              </w:rPr>
            </w:pPr>
            <w:r w:rsidRPr="000A4507">
              <w:rPr>
                <w:rFonts w:ascii="Arial" w:hAnsi="Arial" w:cs="Arial"/>
                <w:sz w:val="20"/>
                <w:szCs w:val="20"/>
              </w:rPr>
              <w:t>% of households</w:t>
            </w:r>
          </w:p>
        </w:tc>
      </w:tr>
      <w:tr w:rsidR="00330A02" w14:paraId="22DECFE9" w14:textId="77777777" w:rsidTr="008469E3">
        <w:trPr>
          <w:jc w:val="center"/>
        </w:trPr>
        <w:tc>
          <w:tcPr>
            <w:tcW w:w="2707" w:type="dxa"/>
            <w:hideMark/>
          </w:tcPr>
          <w:p w14:paraId="17EE9F07" w14:textId="77777777" w:rsidR="00330A02" w:rsidRPr="000A4507" w:rsidRDefault="00330A02" w:rsidP="0014104A">
            <w:pPr>
              <w:keepNext/>
              <w:spacing w:line="300" w:lineRule="auto"/>
              <w:rPr>
                <w:rFonts w:ascii="Arial" w:hAnsi="Arial" w:cs="Arial"/>
                <w:sz w:val="20"/>
                <w:szCs w:val="20"/>
              </w:rPr>
            </w:pPr>
            <w:r w:rsidRPr="000A4507">
              <w:rPr>
                <w:rFonts w:ascii="Arial" w:hAnsi="Arial" w:cs="Arial"/>
                <w:color w:val="000000"/>
                <w:sz w:val="20"/>
                <w:szCs w:val="20"/>
              </w:rPr>
              <w:t>Within a year</w:t>
            </w:r>
          </w:p>
        </w:tc>
        <w:tc>
          <w:tcPr>
            <w:tcW w:w="2746" w:type="dxa"/>
            <w:vAlign w:val="bottom"/>
            <w:hideMark/>
          </w:tcPr>
          <w:p w14:paraId="38579F0B" w14:textId="650F17E7" w:rsidR="00330A02" w:rsidRPr="000A4507" w:rsidRDefault="00330A02" w:rsidP="0014104A">
            <w:pPr>
              <w:keepNext/>
              <w:spacing w:line="300" w:lineRule="auto"/>
              <w:jc w:val="center"/>
              <w:rPr>
                <w:rFonts w:ascii="Arial" w:hAnsi="Arial" w:cs="Arial"/>
                <w:sz w:val="20"/>
                <w:szCs w:val="20"/>
              </w:rPr>
            </w:pPr>
            <w:r w:rsidRPr="000A4507">
              <w:rPr>
                <w:rFonts w:ascii="Arial" w:hAnsi="Arial" w:cs="Arial"/>
                <w:color w:val="000000"/>
                <w:sz w:val="20"/>
                <w:szCs w:val="20"/>
              </w:rPr>
              <w:t>1</w:t>
            </w:r>
            <w:r w:rsidR="000A4507" w:rsidRPr="000A4507">
              <w:rPr>
                <w:rFonts w:ascii="Arial" w:hAnsi="Arial" w:cs="Arial"/>
                <w:color w:val="000000"/>
                <w:sz w:val="20"/>
                <w:szCs w:val="20"/>
              </w:rPr>
              <w:t>,</w:t>
            </w:r>
            <w:r w:rsidRPr="000A4507">
              <w:rPr>
                <w:rFonts w:ascii="Arial" w:hAnsi="Arial" w:cs="Arial"/>
                <w:color w:val="000000"/>
                <w:sz w:val="20"/>
                <w:szCs w:val="20"/>
              </w:rPr>
              <w:t>391</w:t>
            </w:r>
          </w:p>
        </w:tc>
        <w:tc>
          <w:tcPr>
            <w:tcW w:w="2746" w:type="dxa"/>
            <w:vAlign w:val="bottom"/>
            <w:hideMark/>
          </w:tcPr>
          <w:p w14:paraId="147D3820" w14:textId="06A11D56" w:rsidR="00330A02" w:rsidRPr="000A4507" w:rsidRDefault="00330A02" w:rsidP="0014104A">
            <w:pPr>
              <w:keepNext/>
              <w:spacing w:line="300" w:lineRule="auto"/>
              <w:jc w:val="center"/>
              <w:rPr>
                <w:rFonts w:ascii="Arial" w:hAnsi="Arial" w:cs="Arial"/>
                <w:sz w:val="20"/>
                <w:szCs w:val="20"/>
              </w:rPr>
            </w:pPr>
            <w:r w:rsidRPr="000A4507">
              <w:rPr>
                <w:rFonts w:ascii="Arial" w:hAnsi="Arial" w:cs="Arial"/>
                <w:color w:val="000000"/>
                <w:sz w:val="20"/>
                <w:szCs w:val="20"/>
              </w:rPr>
              <w:t>41.3</w:t>
            </w:r>
            <w:r w:rsidR="000A4507">
              <w:rPr>
                <w:rFonts w:ascii="Arial" w:hAnsi="Arial" w:cs="Arial"/>
                <w:color w:val="000000"/>
                <w:sz w:val="20"/>
                <w:szCs w:val="20"/>
              </w:rPr>
              <w:t>%</w:t>
            </w:r>
          </w:p>
        </w:tc>
      </w:tr>
      <w:tr w:rsidR="00330A02" w14:paraId="24BC9D81" w14:textId="77777777" w:rsidTr="008469E3">
        <w:trPr>
          <w:jc w:val="center"/>
        </w:trPr>
        <w:tc>
          <w:tcPr>
            <w:tcW w:w="2707" w:type="dxa"/>
            <w:hideMark/>
          </w:tcPr>
          <w:p w14:paraId="58DADE88" w14:textId="77777777" w:rsidR="00330A02" w:rsidRPr="000A4507" w:rsidRDefault="00330A02" w:rsidP="0014104A">
            <w:pPr>
              <w:keepNext/>
              <w:spacing w:line="300" w:lineRule="auto"/>
              <w:rPr>
                <w:rFonts w:ascii="Arial" w:hAnsi="Arial" w:cs="Arial"/>
                <w:sz w:val="20"/>
                <w:szCs w:val="20"/>
              </w:rPr>
            </w:pPr>
            <w:r w:rsidRPr="000A4507">
              <w:rPr>
                <w:rFonts w:ascii="Arial" w:hAnsi="Arial" w:cs="Arial"/>
                <w:color w:val="000000"/>
                <w:sz w:val="20"/>
                <w:szCs w:val="20"/>
              </w:rPr>
              <w:t>1-2 years</w:t>
            </w:r>
          </w:p>
        </w:tc>
        <w:tc>
          <w:tcPr>
            <w:tcW w:w="2746" w:type="dxa"/>
            <w:vAlign w:val="bottom"/>
            <w:hideMark/>
          </w:tcPr>
          <w:p w14:paraId="5F97ECC8" w14:textId="4979F9DD" w:rsidR="00330A02" w:rsidRPr="000A4507" w:rsidRDefault="00330A02" w:rsidP="0014104A">
            <w:pPr>
              <w:keepNext/>
              <w:spacing w:line="300" w:lineRule="auto"/>
              <w:jc w:val="center"/>
              <w:rPr>
                <w:rFonts w:ascii="Arial" w:hAnsi="Arial" w:cs="Arial"/>
                <w:sz w:val="20"/>
                <w:szCs w:val="20"/>
              </w:rPr>
            </w:pPr>
            <w:r w:rsidRPr="000A4507">
              <w:rPr>
                <w:rFonts w:ascii="Arial" w:hAnsi="Arial" w:cs="Arial"/>
                <w:color w:val="000000"/>
                <w:sz w:val="20"/>
                <w:szCs w:val="20"/>
              </w:rPr>
              <w:t>758</w:t>
            </w:r>
          </w:p>
        </w:tc>
        <w:tc>
          <w:tcPr>
            <w:tcW w:w="2746" w:type="dxa"/>
            <w:vAlign w:val="bottom"/>
            <w:hideMark/>
          </w:tcPr>
          <w:p w14:paraId="6263ABA4" w14:textId="6DEF1A9F" w:rsidR="00330A02" w:rsidRPr="000A4507" w:rsidRDefault="00330A02" w:rsidP="0014104A">
            <w:pPr>
              <w:keepNext/>
              <w:spacing w:line="300" w:lineRule="auto"/>
              <w:jc w:val="center"/>
              <w:rPr>
                <w:rFonts w:ascii="Arial" w:hAnsi="Arial" w:cs="Arial"/>
                <w:sz w:val="20"/>
                <w:szCs w:val="20"/>
              </w:rPr>
            </w:pPr>
            <w:r w:rsidRPr="000A4507">
              <w:rPr>
                <w:rFonts w:ascii="Arial" w:hAnsi="Arial" w:cs="Arial"/>
                <w:color w:val="000000"/>
                <w:sz w:val="20"/>
                <w:szCs w:val="20"/>
              </w:rPr>
              <w:t>22.5</w:t>
            </w:r>
            <w:r w:rsidR="000A4507">
              <w:rPr>
                <w:rFonts w:ascii="Arial" w:hAnsi="Arial" w:cs="Arial"/>
                <w:color w:val="000000"/>
                <w:sz w:val="20"/>
                <w:szCs w:val="20"/>
              </w:rPr>
              <w:t>%</w:t>
            </w:r>
          </w:p>
        </w:tc>
      </w:tr>
      <w:tr w:rsidR="00330A02" w14:paraId="2CE4AF22" w14:textId="77777777" w:rsidTr="008469E3">
        <w:trPr>
          <w:jc w:val="center"/>
        </w:trPr>
        <w:tc>
          <w:tcPr>
            <w:tcW w:w="2707" w:type="dxa"/>
            <w:hideMark/>
          </w:tcPr>
          <w:p w14:paraId="72F3190E" w14:textId="77777777" w:rsidR="00330A02" w:rsidRPr="000A4507" w:rsidRDefault="00330A02" w:rsidP="0014104A">
            <w:pPr>
              <w:keepNext/>
              <w:spacing w:line="300" w:lineRule="auto"/>
              <w:rPr>
                <w:rFonts w:ascii="Arial" w:hAnsi="Arial" w:cs="Arial"/>
                <w:sz w:val="20"/>
                <w:szCs w:val="20"/>
              </w:rPr>
            </w:pPr>
            <w:r w:rsidRPr="000A4507">
              <w:rPr>
                <w:rFonts w:ascii="Arial" w:hAnsi="Arial" w:cs="Arial"/>
                <w:color w:val="000000"/>
                <w:sz w:val="20"/>
                <w:szCs w:val="20"/>
              </w:rPr>
              <w:t>2-5 years</w:t>
            </w:r>
          </w:p>
        </w:tc>
        <w:tc>
          <w:tcPr>
            <w:tcW w:w="2746" w:type="dxa"/>
            <w:vAlign w:val="bottom"/>
            <w:hideMark/>
          </w:tcPr>
          <w:p w14:paraId="73151AF4" w14:textId="0F14EFC2" w:rsidR="00330A02" w:rsidRPr="000A4507" w:rsidRDefault="00330A02" w:rsidP="0014104A">
            <w:pPr>
              <w:keepNext/>
              <w:spacing w:line="300" w:lineRule="auto"/>
              <w:jc w:val="center"/>
              <w:rPr>
                <w:rFonts w:ascii="Arial" w:hAnsi="Arial" w:cs="Arial"/>
                <w:sz w:val="20"/>
                <w:szCs w:val="20"/>
              </w:rPr>
            </w:pPr>
            <w:r w:rsidRPr="000A4507">
              <w:rPr>
                <w:rFonts w:ascii="Arial" w:hAnsi="Arial" w:cs="Arial"/>
                <w:color w:val="000000"/>
                <w:sz w:val="20"/>
                <w:szCs w:val="20"/>
              </w:rPr>
              <w:t>1</w:t>
            </w:r>
            <w:r w:rsidR="000A4507" w:rsidRPr="000A4507">
              <w:rPr>
                <w:rFonts w:ascii="Arial" w:hAnsi="Arial" w:cs="Arial"/>
                <w:color w:val="000000"/>
                <w:sz w:val="20"/>
                <w:szCs w:val="20"/>
              </w:rPr>
              <w:t>,</w:t>
            </w:r>
            <w:r w:rsidRPr="000A4507">
              <w:rPr>
                <w:rFonts w:ascii="Arial" w:hAnsi="Arial" w:cs="Arial"/>
                <w:color w:val="000000"/>
                <w:sz w:val="20"/>
                <w:szCs w:val="20"/>
              </w:rPr>
              <w:t>219</w:t>
            </w:r>
          </w:p>
        </w:tc>
        <w:tc>
          <w:tcPr>
            <w:tcW w:w="2746" w:type="dxa"/>
            <w:vAlign w:val="bottom"/>
            <w:hideMark/>
          </w:tcPr>
          <w:p w14:paraId="0BB80000" w14:textId="08DD3050" w:rsidR="00330A02" w:rsidRPr="000A4507" w:rsidRDefault="00330A02" w:rsidP="0014104A">
            <w:pPr>
              <w:keepNext/>
              <w:spacing w:line="300" w:lineRule="auto"/>
              <w:jc w:val="center"/>
              <w:rPr>
                <w:rFonts w:ascii="Arial" w:hAnsi="Arial" w:cs="Arial"/>
                <w:sz w:val="20"/>
                <w:szCs w:val="20"/>
              </w:rPr>
            </w:pPr>
            <w:r w:rsidRPr="000A4507">
              <w:rPr>
                <w:rFonts w:ascii="Arial" w:hAnsi="Arial" w:cs="Arial"/>
                <w:color w:val="000000"/>
                <w:sz w:val="20"/>
                <w:szCs w:val="20"/>
              </w:rPr>
              <w:t>36.2</w:t>
            </w:r>
            <w:r w:rsidR="000A4507">
              <w:rPr>
                <w:rFonts w:ascii="Arial" w:hAnsi="Arial" w:cs="Arial"/>
                <w:color w:val="000000"/>
                <w:sz w:val="20"/>
                <w:szCs w:val="20"/>
              </w:rPr>
              <w:t>%</w:t>
            </w:r>
          </w:p>
        </w:tc>
      </w:tr>
      <w:tr w:rsidR="00330A02" w:rsidRPr="00D24210" w14:paraId="30355832" w14:textId="77777777" w:rsidTr="008469E3">
        <w:trPr>
          <w:jc w:val="center"/>
        </w:trPr>
        <w:tc>
          <w:tcPr>
            <w:tcW w:w="2707" w:type="dxa"/>
          </w:tcPr>
          <w:p w14:paraId="2E955D6F" w14:textId="77777777" w:rsidR="00330A02" w:rsidRPr="000A4507" w:rsidRDefault="00330A02" w:rsidP="0014104A">
            <w:pPr>
              <w:keepNext/>
              <w:spacing w:line="300" w:lineRule="auto"/>
              <w:rPr>
                <w:rFonts w:ascii="Arial" w:hAnsi="Arial" w:cs="Arial"/>
                <w:color w:val="000000"/>
                <w:sz w:val="20"/>
                <w:szCs w:val="20"/>
              </w:rPr>
            </w:pPr>
            <w:r w:rsidRPr="000A4507">
              <w:rPr>
                <w:rFonts w:ascii="Arial" w:hAnsi="Arial" w:cs="Arial"/>
                <w:color w:val="000000"/>
                <w:sz w:val="20"/>
                <w:szCs w:val="20"/>
              </w:rPr>
              <w:t>Total</w:t>
            </w:r>
          </w:p>
        </w:tc>
        <w:tc>
          <w:tcPr>
            <w:tcW w:w="2746" w:type="dxa"/>
            <w:vAlign w:val="bottom"/>
          </w:tcPr>
          <w:p w14:paraId="332E459D" w14:textId="15595AF4" w:rsidR="00330A02" w:rsidRPr="000A4507" w:rsidRDefault="00330A02" w:rsidP="0014104A">
            <w:pPr>
              <w:keepNext/>
              <w:spacing w:line="300" w:lineRule="auto"/>
              <w:jc w:val="center"/>
              <w:rPr>
                <w:rFonts w:ascii="Arial" w:hAnsi="Arial" w:cs="Arial"/>
                <w:color w:val="000000"/>
                <w:sz w:val="20"/>
                <w:szCs w:val="20"/>
              </w:rPr>
            </w:pPr>
            <w:r w:rsidRPr="000A4507">
              <w:rPr>
                <w:rFonts w:ascii="Arial" w:hAnsi="Arial" w:cs="Arial"/>
                <w:color w:val="000000"/>
                <w:sz w:val="20"/>
                <w:szCs w:val="20"/>
              </w:rPr>
              <w:t>3</w:t>
            </w:r>
            <w:r w:rsidR="000A4507" w:rsidRPr="000A4507">
              <w:rPr>
                <w:rFonts w:ascii="Arial" w:hAnsi="Arial" w:cs="Arial"/>
                <w:color w:val="000000"/>
                <w:sz w:val="20"/>
                <w:szCs w:val="20"/>
              </w:rPr>
              <w:t>,</w:t>
            </w:r>
            <w:r w:rsidRPr="000A4507">
              <w:rPr>
                <w:rFonts w:ascii="Arial" w:hAnsi="Arial" w:cs="Arial"/>
                <w:color w:val="000000"/>
                <w:sz w:val="20"/>
                <w:szCs w:val="20"/>
              </w:rPr>
              <w:t>368</w:t>
            </w:r>
          </w:p>
        </w:tc>
        <w:tc>
          <w:tcPr>
            <w:tcW w:w="2746" w:type="dxa"/>
            <w:vAlign w:val="bottom"/>
          </w:tcPr>
          <w:p w14:paraId="11316D28" w14:textId="5898C472" w:rsidR="00330A02" w:rsidRPr="000A4507" w:rsidRDefault="00330A02" w:rsidP="0014104A">
            <w:pPr>
              <w:keepNext/>
              <w:spacing w:line="300" w:lineRule="auto"/>
              <w:jc w:val="center"/>
              <w:rPr>
                <w:rFonts w:ascii="Arial" w:hAnsi="Arial" w:cs="Arial"/>
                <w:color w:val="000000"/>
                <w:sz w:val="20"/>
                <w:szCs w:val="20"/>
              </w:rPr>
            </w:pPr>
            <w:r w:rsidRPr="000A4507">
              <w:rPr>
                <w:rFonts w:ascii="Arial" w:hAnsi="Arial" w:cs="Arial"/>
                <w:color w:val="000000"/>
                <w:sz w:val="20"/>
                <w:szCs w:val="20"/>
              </w:rPr>
              <w:t>100</w:t>
            </w:r>
            <w:r w:rsidR="000A4507">
              <w:rPr>
                <w:rFonts w:ascii="Arial" w:hAnsi="Arial" w:cs="Arial"/>
                <w:color w:val="000000"/>
                <w:sz w:val="20"/>
                <w:szCs w:val="20"/>
              </w:rPr>
              <w:t>.0%</w:t>
            </w:r>
          </w:p>
        </w:tc>
      </w:tr>
    </w:tbl>
    <w:p w14:paraId="098546A4" w14:textId="77777777" w:rsidR="00330A02" w:rsidRPr="00D24210" w:rsidRDefault="00330A02" w:rsidP="0014104A">
      <w:pPr>
        <w:spacing w:line="300" w:lineRule="auto"/>
        <w:jc w:val="center"/>
        <w:rPr>
          <w:rFonts w:ascii="Arial" w:hAnsi="Arial" w:cs="Arial"/>
          <w:sz w:val="20"/>
          <w:szCs w:val="20"/>
        </w:rPr>
      </w:pPr>
      <w:r w:rsidRPr="00D24210">
        <w:rPr>
          <w:rFonts w:ascii="Arial" w:hAnsi="Arial" w:cs="Arial"/>
          <w:sz w:val="20"/>
          <w:szCs w:val="20"/>
        </w:rPr>
        <w:t>Source: Household survey</w:t>
      </w:r>
    </w:p>
    <w:p w14:paraId="58F3B833" w14:textId="77777777" w:rsidR="00330A02" w:rsidRDefault="00330A02" w:rsidP="00172F56">
      <w:pPr>
        <w:pStyle w:val="BodyText"/>
        <w:spacing w:after="0" w:line="300" w:lineRule="auto"/>
        <w:jc w:val="both"/>
        <w:rPr>
          <w:rFonts w:cs="Arial"/>
        </w:rPr>
      </w:pPr>
    </w:p>
    <w:p w14:paraId="18EE6654" w14:textId="012D7256" w:rsidR="00330A02" w:rsidRPr="001D7E18" w:rsidRDefault="000A4507">
      <w:pPr>
        <w:pStyle w:val="11Bodytext"/>
        <w:numPr>
          <w:ilvl w:val="1"/>
          <w:numId w:val="40"/>
        </w:numPr>
        <w:spacing w:before="0" w:after="0" w:line="300" w:lineRule="auto"/>
        <w:ind w:left="720" w:hanging="720"/>
        <w:rPr>
          <w:color w:val="auto"/>
        </w:rPr>
      </w:pPr>
      <w:r>
        <w:t xml:space="preserve">The table below shows the locations where potential newly-forming households currently live. This data shows that the rural areas tend to have higher </w:t>
      </w:r>
      <w:r w:rsidR="00432414">
        <w:t>proportions</w:t>
      </w:r>
      <w:r>
        <w:t xml:space="preserve"> of potential new </w:t>
      </w:r>
      <w:r w:rsidR="00432414">
        <w:t>households</w:t>
      </w:r>
      <w:r>
        <w:t>, with the lowest figure being seen in the Fylde-Blackpool Periphery</w:t>
      </w:r>
      <w:r w:rsidR="00330A02" w:rsidRPr="001D7E18">
        <w:t>.</w:t>
      </w:r>
      <w:r>
        <w:t xml:space="preserve"> The difference between locations is likely to a large degree to be driven by the demographic profile in different areas, with rural locations having a higher proportion of households with grown-up children.</w:t>
      </w:r>
    </w:p>
    <w:p w14:paraId="0CD86A47" w14:textId="77777777" w:rsidR="00330A02" w:rsidRPr="00D24210" w:rsidRDefault="00330A02" w:rsidP="00172F56">
      <w:pPr>
        <w:pStyle w:val="BodyText"/>
        <w:spacing w:after="0" w:line="300" w:lineRule="auto"/>
        <w:jc w:val="both"/>
        <w:rPr>
          <w:rFonts w:cs="Arial"/>
        </w:rPr>
      </w:pPr>
    </w:p>
    <w:tbl>
      <w:tblPr>
        <w:tblStyle w:val="TableGrid1"/>
        <w:tblW w:w="8199" w:type="dxa"/>
        <w:jc w:val="center"/>
        <w:tblLayout w:type="fixed"/>
        <w:tblLook w:val="04A0" w:firstRow="1" w:lastRow="0" w:firstColumn="1" w:lastColumn="0" w:noHBand="0" w:noVBand="1"/>
      </w:tblPr>
      <w:tblGrid>
        <w:gridCol w:w="2049"/>
        <w:gridCol w:w="2050"/>
        <w:gridCol w:w="2050"/>
        <w:gridCol w:w="2050"/>
      </w:tblGrid>
      <w:tr w:rsidR="00330A02" w:rsidRPr="0019008E" w14:paraId="5C4716A0" w14:textId="77777777" w:rsidTr="008469E3">
        <w:trPr>
          <w:trHeight w:val="288"/>
          <w:jc w:val="center"/>
        </w:trPr>
        <w:tc>
          <w:tcPr>
            <w:tcW w:w="8199" w:type="dxa"/>
            <w:gridSpan w:val="4"/>
            <w:noWrap/>
            <w:vAlign w:val="center"/>
          </w:tcPr>
          <w:p w14:paraId="6571DD63" w14:textId="0A5BDD6B" w:rsidR="00330A02" w:rsidRPr="0019008E" w:rsidRDefault="00330A02" w:rsidP="0014104A">
            <w:pPr>
              <w:keepNext/>
              <w:spacing w:before="60" w:after="60" w:line="300" w:lineRule="auto"/>
              <w:jc w:val="center"/>
              <w:rPr>
                <w:rFonts w:ascii="Arial" w:eastAsia="Times New Roman" w:hAnsi="Arial" w:cs="Arial"/>
                <w:b/>
                <w:bCs/>
                <w:color w:val="000000"/>
                <w:sz w:val="20"/>
                <w:szCs w:val="20"/>
                <w:lang w:eastAsia="en-GB"/>
              </w:rPr>
            </w:pPr>
            <w:r w:rsidRPr="0019008E">
              <w:rPr>
                <w:rFonts w:ascii="Arial" w:hAnsi="Arial" w:cs="Arial"/>
                <w:b/>
                <w:bCs/>
                <w:sz w:val="20"/>
                <w:szCs w:val="20"/>
              </w:rPr>
              <w:t>Figure 5.</w:t>
            </w:r>
            <w:r w:rsidR="00AD29A6">
              <w:rPr>
                <w:rFonts w:ascii="Arial" w:hAnsi="Arial" w:cs="Arial"/>
                <w:b/>
                <w:bCs/>
                <w:sz w:val="20"/>
                <w:szCs w:val="20"/>
              </w:rPr>
              <w:t>1</w:t>
            </w:r>
            <w:r w:rsidRPr="0019008E">
              <w:rPr>
                <w:rFonts w:ascii="Arial" w:hAnsi="Arial" w:cs="Arial"/>
                <w:b/>
                <w:bCs/>
                <w:sz w:val="20"/>
                <w:szCs w:val="20"/>
              </w:rPr>
              <w:t xml:space="preserve">3: </w:t>
            </w:r>
            <w:r w:rsidRPr="0019008E">
              <w:rPr>
                <w:rFonts w:ascii="Arial" w:eastAsia="Times New Roman" w:hAnsi="Arial" w:cs="Arial"/>
                <w:b/>
                <w:bCs/>
                <w:color w:val="000000"/>
                <w:sz w:val="20"/>
                <w:szCs w:val="20"/>
                <w:lang w:eastAsia="en-GB"/>
              </w:rPr>
              <w:t>Future movers and sub-area</w:t>
            </w:r>
          </w:p>
        </w:tc>
      </w:tr>
      <w:tr w:rsidR="00330A02" w:rsidRPr="00D24210" w14:paraId="62C7988D" w14:textId="77777777" w:rsidTr="008469E3">
        <w:trPr>
          <w:trHeight w:val="288"/>
          <w:jc w:val="center"/>
        </w:trPr>
        <w:tc>
          <w:tcPr>
            <w:tcW w:w="2049" w:type="dxa"/>
            <w:noWrap/>
          </w:tcPr>
          <w:p w14:paraId="2E3BD50A" w14:textId="77777777" w:rsidR="00330A02" w:rsidRPr="00D24210" w:rsidRDefault="00330A02" w:rsidP="0014104A">
            <w:pPr>
              <w:keepNext/>
              <w:spacing w:before="60" w:after="60" w:line="300" w:lineRule="auto"/>
              <w:rPr>
                <w:rFonts w:ascii="Arial" w:eastAsia="Times New Roman" w:hAnsi="Arial" w:cs="Arial"/>
                <w:color w:val="000000"/>
                <w:sz w:val="20"/>
                <w:szCs w:val="20"/>
                <w:lang w:eastAsia="en-GB"/>
              </w:rPr>
            </w:pPr>
          </w:p>
        </w:tc>
        <w:tc>
          <w:tcPr>
            <w:tcW w:w="2050" w:type="dxa"/>
            <w:noWrap/>
          </w:tcPr>
          <w:p w14:paraId="48689D1A" w14:textId="77777777" w:rsidR="00330A02" w:rsidRPr="00D24210" w:rsidRDefault="00330A02" w:rsidP="0014104A">
            <w:pPr>
              <w:keepNext/>
              <w:spacing w:before="60" w:after="60"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Future movers</w:t>
            </w:r>
          </w:p>
        </w:tc>
        <w:tc>
          <w:tcPr>
            <w:tcW w:w="2050" w:type="dxa"/>
            <w:noWrap/>
          </w:tcPr>
          <w:p w14:paraId="705FB852" w14:textId="77777777" w:rsidR="00330A02" w:rsidRPr="00D24210" w:rsidRDefault="00330A02" w:rsidP="0014104A">
            <w:pPr>
              <w:keepNext/>
              <w:spacing w:before="60" w:after="60"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Total households</w:t>
            </w:r>
          </w:p>
        </w:tc>
        <w:tc>
          <w:tcPr>
            <w:tcW w:w="2050" w:type="dxa"/>
            <w:noWrap/>
          </w:tcPr>
          <w:p w14:paraId="232F25BD" w14:textId="77777777" w:rsidR="00330A02" w:rsidRPr="00D24210" w:rsidRDefault="00330A02" w:rsidP="0014104A">
            <w:pPr>
              <w:keepNext/>
              <w:spacing w:before="60" w:after="60" w:line="300" w:lineRule="auto"/>
              <w:jc w:val="center"/>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w:t>
            </w:r>
          </w:p>
        </w:tc>
      </w:tr>
      <w:tr w:rsidR="000A4507" w:rsidRPr="00D24210" w14:paraId="4A7584AE" w14:textId="77777777" w:rsidTr="008469E3">
        <w:trPr>
          <w:trHeight w:val="288"/>
          <w:jc w:val="center"/>
        </w:trPr>
        <w:tc>
          <w:tcPr>
            <w:tcW w:w="2049" w:type="dxa"/>
            <w:noWrap/>
            <w:hideMark/>
          </w:tcPr>
          <w:p w14:paraId="1E3451B6" w14:textId="0F2AA7E6" w:rsidR="000A4507" w:rsidRPr="00D24210" w:rsidRDefault="00432414" w:rsidP="0014104A">
            <w:pPr>
              <w:keepNext/>
              <w:spacing w:line="30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Annes</w:t>
            </w:r>
          </w:p>
        </w:tc>
        <w:tc>
          <w:tcPr>
            <w:tcW w:w="2050" w:type="dxa"/>
            <w:noWrap/>
            <w:vAlign w:val="bottom"/>
            <w:hideMark/>
          </w:tcPr>
          <w:p w14:paraId="582F6997" w14:textId="7FCC788A"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1,084</w:t>
            </w:r>
          </w:p>
        </w:tc>
        <w:tc>
          <w:tcPr>
            <w:tcW w:w="2050" w:type="dxa"/>
            <w:noWrap/>
            <w:vAlign w:val="bottom"/>
            <w:hideMark/>
          </w:tcPr>
          <w:p w14:paraId="2DF2A1B8" w14:textId="477AA360"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13,811</w:t>
            </w:r>
          </w:p>
        </w:tc>
        <w:tc>
          <w:tcPr>
            <w:tcW w:w="2050" w:type="dxa"/>
            <w:noWrap/>
            <w:vAlign w:val="bottom"/>
            <w:hideMark/>
          </w:tcPr>
          <w:p w14:paraId="5032DDD8" w14:textId="454E2863"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7.8%</w:t>
            </w:r>
          </w:p>
        </w:tc>
      </w:tr>
      <w:tr w:rsidR="000A4507" w:rsidRPr="00D24210" w14:paraId="43C951E0" w14:textId="77777777" w:rsidTr="008469E3">
        <w:trPr>
          <w:trHeight w:val="288"/>
          <w:jc w:val="center"/>
        </w:trPr>
        <w:tc>
          <w:tcPr>
            <w:tcW w:w="2049" w:type="dxa"/>
            <w:noWrap/>
            <w:hideMark/>
          </w:tcPr>
          <w:p w14:paraId="196FDF8E" w14:textId="77777777" w:rsidR="000A4507" w:rsidRPr="00D24210" w:rsidRDefault="000A4507"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Lytham</w:t>
            </w:r>
          </w:p>
        </w:tc>
        <w:tc>
          <w:tcPr>
            <w:tcW w:w="2050" w:type="dxa"/>
            <w:noWrap/>
            <w:vAlign w:val="bottom"/>
            <w:hideMark/>
          </w:tcPr>
          <w:p w14:paraId="73E003FA" w14:textId="0439A11C"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751</w:t>
            </w:r>
          </w:p>
        </w:tc>
        <w:tc>
          <w:tcPr>
            <w:tcW w:w="2050" w:type="dxa"/>
            <w:noWrap/>
            <w:vAlign w:val="bottom"/>
            <w:hideMark/>
          </w:tcPr>
          <w:p w14:paraId="74059344" w14:textId="6DF8F0C2"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8,498</w:t>
            </w:r>
          </w:p>
        </w:tc>
        <w:tc>
          <w:tcPr>
            <w:tcW w:w="2050" w:type="dxa"/>
            <w:noWrap/>
            <w:vAlign w:val="bottom"/>
            <w:hideMark/>
          </w:tcPr>
          <w:p w14:paraId="14EF84E0" w14:textId="69894156"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8.8%</w:t>
            </w:r>
          </w:p>
        </w:tc>
      </w:tr>
      <w:tr w:rsidR="000A4507" w:rsidRPr="00D24210" w14:paraId="57FCF993" w14:textId="77777777" w:rsidTr="008469E3">
        <w:trPr>
          <w:trHeight w:val="288"/>
          <w:jc w:val="center"/>
        </w:trPr>
        <w:tc>
          <w:tcPr>
            <w:tcW w:w="2049" w:type="dxa"/>
            <w:noWrap/>
            <w:hideMark/>
          </w:tcPr>
          <w:p w14:paraId="1D56E9AD" w14:textId="77777777" w:rsidR="000A4507" w:rsidRPr="00D24210" w:rsidRDefault="000A4507"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Warton</w:t>
            </w:r>
          </w:p>
        </w:tc>
        <w:tc>
          <w:tcPr>
            <w:tcW w:w="2050" w:type="dxa"/>
            <w:noWrap/>
            <w:vAlign w:val="bottom"/>
            <w:hideMark/>
          </w:tcPr>
          <w:p w14:paraId="2A4F4985" w14:textId="7C239C25"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160</w:t>
            </w:r>
          </w:p>
        </w:tc>
        <w:tc>
          <w:tcPr>
            <w:tcW w:w="2050" w:type="dxa"/>
            <w:noWrap/>
            <w:vAlign w:val="bottom"/>
            <w:hideMark/>
          </w:tcPr>
          <w:p w14:paraId="3EC44B95" w14:textId="58747D60"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2,144</w:t>
            </w:r>
          </w:p>
        </w:tc>
        <w:tc>
          <w:tcPr>
            <w:tcW w:w="2050" w:type="dxa"/>
            <w:noWrap/>
            <w:vAlign w:val="bottom"/>
            <w:hideMark/>
          </w:tcPr>
          <w:p w14:paraId="0B946BEC" w14:textId="3838122F"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7.5%</w:t>
            </w:r>
          </w:p>
        </w:tc>
      </w:tr>
      <w:tr w:rsidR="000A4507" w:rsidRPr="00D24210" w14:paraId="6790AA4D" w14:textId="77777777" w:rsidTr="008469E3">
        <w:trPr>
          <w:trHeight w:val="288"/>
          <w:jc w:val="center"/>
        </w:trPr>
        <w:tc>
          <w:tcPr>
            <w:tcW w:w="2049" w:type="dxa"/>
            <w:noWrap/>
            <w:hideMark/>
          </w:tcPr>
          <w:p w14:paraId="1EFF6920" w14:textId="77777777" w:rsidR="000A4507" w:rsidRPr="00D24210" w:rsidRDefault="000A4507"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FB Periphery</w:t>
            </w:r>
          </w:p>
        </w:tc>
        <w:tc>
          <w:tcPr>
            <w:tcW w:w="2050" w:type="dxa"/>
            <w:noWrap/>
            <w:vAlign w:val="bottom"/>
            <w:hideMark/>
          </w:tcPr>
          <w:p w14:paraId="4770B99B" w14:textId="5C249D98"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25</w:t>
            </w:r>
          </w:p>
        </w:tc>
        <w:tc>
          <w:tcPr>
            <w:tcW w:w="2050" w:type="dxa"/>
            <w:noWrap/>
            <w:vAlign w:val="bottom"/>
            <w:hideMark/>
          </w:tcPr>
          <w:p w14:paraId="4A8D4600" w14:textId="44F64E77"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1,129</w:t>
            </w:r>
          </w:p>
        </w:tc>
        <w:tc>
          <w:tcPr>
            <w:tcW w:w="2050" w:type="dxa"/>
            <w:noWrap/>
            <w:vAlign w:val="bottom"/>
            <w:hideMark/>
          </w:tcPr>
          <w:p w14:paraId="28C34DE9" w14:textId="32DA8D32"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2.2%</w:t>
            </w:r>
          </w:p>
        </w:tc>
      </w:tr>
      <w:tr w:rsidR="000A4507" w:rsidRPr="00D24210" w14:paraId="698788C0" w14:textId="77777777" w:rsidTr="008469E3">
        <w:trPr>
          <w:trHeight w:val="288"/>
          <w:jc w:val="center"/>
        </w:trPr>
        <w:tc>
          <w:tcPr>
            <w:tcW w:w="2049" w:type="dxa"/>
            <w:noWrap/>
            <w:hideMark/>
          </w:tcPr>
          <w:p w14:paraId="33E230D4" w14:textId="77777777" w:rsidR="000A4507" w:rsidRPr="00D24210" w:rsidRDefault="000A4507"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Kirkham</w:t>
            </w:r>
          </w:p>
        </w:tc>
        <w:tc>
          <w:tcPr>
            <w:tcW w:w="2050" w:type="dxa"/>
            <w:noWrap/>
            <w:vAlign w:val="bottom"/>
            <w:hideMark/>
          </w:tcPr>
          <w:p w14:paraId="0777FB3A" w14:textId="6D55D185"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382</w:t>
            </w:r>
          </w:p>
        </w:tc>
        <w:tc>
          <w:tcPr>
            <w:tcW w:w="2050" w:type="dxa"/>
            <w:noWrap/>
            <w:vAlign w:val="bottom"/>
            <w:hideMark/>
          </w:tcPr>
          <w:p w14:paraId="20ED9B1E" w14:textId="7BC312F1"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3,285</w:t>
            </w:r>
          </w:p>
        </w:tc>
        <w:tc>
          <w:tcPr>
            <w:tcW w:w="2050" w:type="dxa"/>
            <w:noWrap/>
            <w:vAlign w:val="bottom"/>
            <w:hideMark/>
          </w:tcPr>
          <w:p w14:paraId="56648678" w14:textId="61447101"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11.6%</w:t>
            </w:r>
          </w:p>
        </w:tc>
      </w:tr>
      <w:tr w:rsidR="000A4507" w:rsidRPr="00D24210" w14:paraId="2D24B520" w14:textId="77777777" w:rsidTr="008469E3">
        <w:trPr>
          <w:trHeight w:val="288"/>
          <w:jc w:val="center"/>
        </w:trPr>
        <w:tc>
          <w:tcPr>
            <w:tcW w:w="2049" w:type="dxa"/>
            <w:noWrap/>
            <w:hideMark/>
          </w:tcPr>
          <w:p w14:paraId="0F9621D1" w14:textId="77777777" w:rsidR="000A4507" w:rsidRPr="00D24210" w:rsidRDefault="000A4507"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Wesham</w:t>
            </w:r>
          </w:p>
        </w:tc>
        <w:tc>
          <w:tcPr>
            <w:tcW w:w="2050" w:type="dxa"/>
            <w:noWrap/>
            <w:vAlign w:val="bottom"/>
            <w:hideMark/>
          </w:tcPr>
          <w:p w14:paraId="0D9C1044" w14:textId="143EDB50"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189</w:t>
            </w:r>
          </w:p>
        </w:tc>
        <w:tc>
          <w:tcPr>
            <w:tcW w:w="2050" w:type="dxa"/>
            <w:noWrap/>
            <w:vAlign w:val="bottom"/>
            <w:hideMark/>
          </w:tcPr>
          <w:p w14:paraId="3728C32A" w14:textId="504DB6C7"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1,942</w:t>
            </w:r>
          </w:p>
        </w:tc>
        <w:tc>
          <w:tcPr>
            <w:tcW w:w="2050" w:type="dxa"/>
            <w:noWrap/>
            <w:vAlign w:val="bottom"/>
            <w:hideMark/>
          </w:tcPr>
          <w:p w14:paraId="31D40085" w14:textId="05796C28"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9.7%</w:t>
            </w:r>
          </w:p>
        </w:tc>
      </w:tr>
      <w:tr w:rsidR="000A4507" w:rsidRPr="00D24210" w14:paraId="7766A9B0" w14:textId="77777777" w:rsidTr="008469E3">
        <w:trPr>
          <w:trHeight w:val="288"/>
          <w:jc w:val="center"/>
        </w:trPr>
        <w:tc>
          <w:tcPr>
            <w:tcW w:w="2049" w:type="dxa"/>
            <w:noWrap/>
            <w:hideMark/>
          </w:tcPr>
          <w:p w14:paraId="7445590D" w14:textId="77777777" w:rsidR="000A4507" w:rsidRPr="00D24210" w:rsidRDefault="000A4507"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Freckleton</w:t>
            </w:r>
          </w:p>
        </w:tc>
        <w:tc>
          <w:tcPr>
            <w:tcW w:w="2050" w:type="dxa"/>
            <w:noWrap/>
            <w:vAlign w:val="bottom"/>
            <w:hideMark/>
          </w:tcPr>
          <w:p w14:paraId="23762C0E" w14:textId="3CE26E10"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247</w:t>
            </w:r>
          </w:p>
        </w:tc>
        <w:tc>
          <w:tcPr>
            <w:tcW w:w="2050" w:type="dxa"/>
            <w:noWrap/>
            <w:vAlign w:val="bottom"/>
            <w:hideMark/>
          </w:tcPr>
          <w:p w14:paraId="0784D0F5" w14:textId="3C72CB93"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2,678</w:t>
            </w:r>
          </w:p>
        </w:tc>
        <w:tc>
          <w:tcPr>
            <w:tcW w:w="2050" w:type="dxa"/>
            <w:noWrap/>
            <w:vAlign w:val="bottom"/>
            <w:hideMark/>
          </w:tcPr>
          <w:p w14:paraId="0D50FF81" w14:textId="4FEE9345"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9.2%</w:t>
            </w:r>
          </w:p>
        </w:tc>
      </w:tr>
      <w:tr w:rsidR="000A4507" w:rsidRPr="00D24210" w14:paraId="209A7859" w14:textId="77777777" w:rsidTr="008469E3">
        <w:trPr>
          <w:trHeight w:val="288"/>
          <w:jc w:val="center"/>
        </w:trPr>
        <w:tc>
          <w:tcPr>
            <w:tcW w:w="2049" w:type="dxa"/>
            <w:noWrap/>
            <w:hideMark/>
          </w:tcPr>
          <w:p w14:paraId="3888BD20" w14:textId="77777777" w:rsidR="000A4507" w:rsidRPr="00D24210" w:rsidRDefault="000A4507"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Rural North</w:t>
            </w:r>
          </w:p>
        </w:tc>
        <w:tc>
          <w:tcPr>
            <w:tcW w:w="2050" w:type="dxa"/>
            <w:noWrap/>
            <w:vAlign w:val="bottom"/>
            <w:hideMark/>
          </w:tcPr>
          <w:p w14:paraId="70CC3596" w14:textId="78E46ACC"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285</w:t>
            </w:r>
          </w:p>
        </w:tc>
        <w:tc>
          <w:tcPr>
            <w:tcW w:w="2050" w:type="dxa"/>
            <w:noWrap/>
            <w:vAlign w:val="bottom"/>
            <w:hideMark/>
          </w:tcPr>
          <w:p w14:paraId="6530A7D6" w14:textId="16E9DEF3"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2,840</w:t>
            </w:r>
          </w:p>
        </w:tc>
        <w:tc>
          <w:tcPr>
            <w:tcW w:w="2050" w:type="dxa"/>
            <w:noWrap/>
            <w:vAlign w:val="bottom"/>
            <w:hideMark/>
          </w:tcPr>
          <w:p w14:paraId="16A3AFC3" w14:textId="1204F00F"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10.0%</w:t>
            </w:r>
          </w:p>
        </w:tc>
      </w:tr>
      <w:tr w:rsidR="000A4507" w:rsidRPr="00D24210" w14:paraId="4ECB17B2" w14:textId="77777777" w:rsidTr="008469E3">
        <w:trPr>
          <w:trHeight w:val="288"/>
          <w:jc w:val="center"/>
        </w:trPr>
        <w:tc>
          <w:tcPr>
            <w:tcW w:w="2049" w:type="dxa"/>
            <w:noWrap/>
            <w:hideMark/>
          </w:tcPr>
          <w:p w14:paraId="6107C420" w14:textId="77777777" w:rsidR="000A4507" w:rsidRPr="00D24210" w:rsidRDefault="000A4507"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Rural West</w:t>
            </w:r>
          </w:p>
        </w:tc>
        <w:tc>
          <w:tcPr>
            <w:tcW w:w="2050" w:type="dxa"/>
            <w:noWrap/>
            <w:vAlign w:val="bottom"/>
            <w:hideMark/>
          </w:tcPr>
          <w:p w14:paraId="01FBD8A5" w14:textId="055DCFF6"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106</w:t>
            </w:r>
          </w:p>
        </w:tc>
        <w:tc>
          <w:tcPr>
            <w:tcW w:w="2050" w:type="dxa"/>
            <w:noWrap/>
            <w:vAlign w:val="bottom"/>
            <w:hideMark/>
          </w:tcPr>
          <w:p w14:paraId="35B2DD53" w14:textId="3E85241C"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1,325</w:t>
            </w:r>
          </w:p>
        </w:tc>
        <w:tc>
          <w:tcPr>
            <w:tcW w:w="2050" w:type="dxa"/>
            <w:noWrap/>
            <w:vAlign w:val="bottom"/>
            <w:hideMark/>
          </w:tcPr>
          <w:p w14:paraId="29E19984" w14:textId="36746124"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8.0%</w:t>
            </w:r>
          </w:p>
        </w:tc>
      </w:tr>
      <w:tr w:rsidR="000A4507" w:rsidRPr="00D24210" w14:paraId="76EE4CC3" w14:textId="77777777" w:rsidTr="008469E3">
        <w:trPr>
          <w:trHeight w:val="288"/>
          <w:jc w:val="center"/>
        </w:trPr>
        <w:tc>
          <w:tcPr>
            <w:tcW w:w="2049" w:type="dxa"/>
            <w:noWrap/>
            <w:hideMark/>
          </w:tcPr>
          <w:p w14:paraId="6058F116" w14:textId="77777777" w:rsidR="000A4507" w:rsidRPr="00D24210" w:rsidRDefault="000A4507"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Rural East</w:t>
            </w:r>
          </w:p>
        </w:tc>
        <w:tc>
          <w:tcPr>
            <w:tcW w:w="2050" w:type="dxa"/>
            <w:noWrap/>
            <w:vAlign w:val="bottom"/>
            <w:hideMark/>
          </w:tcPr>
          <w:p w14:paraId="4F25C8A2" w14:textId="31E4F956"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139</w:t>
            </w:r>
          </w:p>
        </w:tc>
        <w:tc>
          <w:tcPr>
            <w:tcW w:w="2050" w:type="dxa"/>
            <w:noWrap/>
            <w:vAlign w:val="bottom"/>
            <w:hideMark/>
          </w:tcPr>
          <w:p w14:paraId="778EE16A" w14:textId="45701D2A"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1,348</w:t>
            </w:r>
          </w:p>
        </w:tc>
        <w:tc>
          <w:tcPr>
            <w:tcW w:w="2050" w:type="dxa"/>
            <w:noWrap/>
            <w:vAlign w:val="bottom"/>
            <w:hideMark/>
          </w:tcPr>
          <w:p w14:paraId="3F6A954C" w14:textId="335DA480"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10.3%</w:t>
            </w:r>
          </w:p>
        </w:tc>
      </w:tr>
      <w:tr w:rsidR="000A4507" w:rsidRPr="00D24210" w14:paraId="32E2CBF5" w14:textId="77777777" w:rsidTr="008469E3">
        <w:trPr>
          <w:trHeight w:val="288"/>
          <w:jc w:val="center"/>
        </w:trPr>
        <w:tc>
          <w:tcPr>
            <w:tcW w:w="2049" w:type="dxa"/>
            <w:noWrap/>
            <w:hideMark/>
          </w:tcPr>
          <w:p w14:paraId="2F03D1F9" w14:textId="77777777" w:rsidR="000A4507" w:rsidRPr="00D24210" w:rsidRDefault="000A4507" w:rsidP="0014104A">
            <w:pPr>
              <w:keepNext/>
              <w:spacing w:line="300" w:lineRule="auto"/>
              <w:rPr>
                <w:rFonts w:ascii="Arial" w:eastAsia="Times New Roman" w:hAnsi="Arial" w:cs="Arial"/>
                <w:color w:val="000000"/>
                <w:sz w:val="20"/>
                <w:szCs w:val="20"/>
                <w:lang w:eastAsia="en-GB"/>
              </w:rPr>
            </w:pPr>
            <w:r w:rsidRPr="00D24210">
              <w:rPr>
                <w:rFonts w:ascii="Arial" w:eastAsia="Times New Roman" w:hAnsi="Arial" w:cs="Arial"/>
                <w:color w:val="000000"/>
                <w:sz w:val="20"/>
                <w:szCs w:val="20"/>
                <w:lang w:eastAsia="en-GB"/>
              </w:rPr>
              <w:t>TOTAL</w:t>
            </w:r>
          </w:p>
        </w:tc>
        <w:tc>
          <w:tcPr>
            <w:tcW w:w="2050" w:type="dxa"/>
            <w:noWrap/>
            <w:vAlign w:val="bottom"/>
            <w:hideMark/>
          </w:tcPr>
          <w:p w14:paraId="409AFE1F" w14:textId="07C61B75"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3,368</w:t>
            </w:r>
          </w:p>
        </w:tc>
        <w:tc>
          <w:tcPr>
            <w:tcW w:w="2050" w:type="dxa"/>
            <w:noWrap/>
            <w:vAlign w:val="bottom"/>
            <w:hideMark/>
          </w:tcPr>
          <w:p w14:paraId="1513BBBD" w14:textId="71F461AA"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39,000</w:t>
            </w:r>
          </w:p>
        </w:tc>
        <w:tc>
          <w:tcPr>
            <w:tcW w:w="2050" w:type="dxa"/>
            <w:noWrap/>
            <w:vAlign w:val="bottom"/>
            <w:hideMark/>
          </w:tcPr>
          <w:p w14:paraId="3115F849" w14:textId="7159D037" w:rsidR="000A4507" w:rsidRPr="000A4507" w:rsidRDefault="000A4507" w:rsidP="0014104A">
            <w:pPr>
              <w:keepNext/>
              <w:spacing w:line="300" w:lineRule="auto"/>
              <w:jc w:val="center"/>
              <w:rPr>
                <w:rFonts w:ascii="Arial" w:eastAsia="Times New Roman" w:hAnsi="Arial" w:cs="Arial"/>
                <w:color w:val="000000"/>
                <w:sz w:val="20"/>
                <w:szCs w:val="20"/>
                <w:lang w:eastAsia="en-GB"/>
              </w:rPr>
            </w:pPr>
            <w:r w:rsidRPr="000A4507">
              <w:rPr>
                <w:rFonts w:ascii="Arial" w:hAnsi="Arial" w:cs="Arial"/>
                <w:color w:val="000000"/>
                <w:sz w:val="20"/>
                <w:szCs w:val="20"/>
              </w:rPr>
              <w:t>8.6%</w:t>
            </w:r>
          </w:p>
        </w:tc>
      </w:tr>
    </w:tbl>
    <w:p w14:paraId="41B73BC3" w14:textId="77777777" w:rsidR="00330A02" w:rsidRPr="00D24210" w:rsidRDefault="00330A02" w:rsidP="0014104A">
      <w:pPr>
        <w:spacing w:line="300" w:lineRule="auto"/>
        <w:jc w:val="center"/>
        <w:rPr>
          <w:rFonts w:ascii="Arial" w:hAnsi="Arial" w:cs="Arial"/>
          <w:sz w:val="20"/>
          <w:szCs w:val="20"/>
        </w:rPr>
      </w:pPr>
      <w:r w:rsidRPr="00D24210">
        <w:rPr>
          <w:rFonts w:ascii="Arial" w:hAnsi="Arial" w:cs="Arial"/>
          <w:sz w:val="20"/>
          <w:szCs w:val="20"/>
        </w:rPr>
        <w:t>Source: Household survey</w:t>
      </w:r>
    </w:p>
    <w:p w14:paraId="2D7C85CD" w14:textId="77777777" w:rsidR="00330A02" w:rsidRDefault="00330A02" w:rsidP="00172F56">
      <w:pPr>
        <w:pStyle w:val="BodyText"/>
        <w:spacing w:after="0" w:line="300" w:lineRule="auto"/>
        <w:jc w:val="both"/>
        <w:rPr>
          <w:rFonts w:cs="Arial"/>
        </w:rPr>
      </w:pPr>
    </w:p>
    <w:p w14:paraId="2BD525C0" w14:textId="65486049" w:rsidR="000A4507" w:rsidRDefault="00330A02">
      <w:pPr>
        <w:pStyle w:val="11Bodytext"/>
        <w:numPr>
          <w:ilvl w:val="1"/>
          <w:numId w:val="40"/>
        </w:numPr>
        <w:spacing w:before="0" w:after="0" w:line="300" w:lineRule="auto"/>
        <w:ind w:left="720" w:hanging="720"/>
      </w:pPr>
      <w:r>
        <w:t>The figure below shows the reasons households say they need or expect to move</w:t>
      </w:r>
      <w:r w:rsidR="000A4507">
        <w:t xml:space="preserve"> – the list of options is different to that offered on the survey form to existing </w:t>
      </w:r>
      <w:r w:rsidR="00432414">
        <w:t>households</w:t>
      </w:r>
      <w:r>
        <w:t>.</w:t>
      </w:r>
      <w:r w:rsidR="008476B8">
        <w:t xml:space="preserve"> By far the main reason cited was to move to their </w:t>
      </w:r>
      <w:r w:rsidR="00432414">
        <w:t>own</w:t>
      </w:r>
      <w:r w:rsidR="008476B8">
        <w:t xml:space="preserve"> place to live on their own.</w:t>
      </w:r>
    </w:p>
    <w:p w14:paraId="084DDC61" w14:textId="77777777" w:rsidR="008476B8" w:rsidRPr="00D24210" w:rsidRDefault="008476B8" w:rsidP="00172F56">
      <w:pPr>
        <w:pStyle w:val="BodyText"/>
        <w:spacing w:after="0" w:line="300" w:lineRule="auto"/>
        <w:jc w:val="both"/>
        <w:rPr>
          <w:rFonts w:cs="Arial"/>
        </w:rPr>
      </w:pPr>
    </w:p>
    <w:tbl>
      <w:tblPr>
        <w:tblStyle w:val="TableTheme"/>
        <w:tblW w:w="8199" w:type="dxa"/>
        <w:jc w:val="center"/>
        <w:tblLook w:val="04A0" w:firstRow="1" w:lastRow="0" w:firstColumn="1" w:lastColumn="0" w:noHBand="0" w:noVBand="1"/>
      </w:tblPr>
      <w:tblGrid>
        <w:gridCol w:w="8199"/>
      </w:tblGrid>
      <w:tr w:rsidR="00330A02" w:rsidRPr="00C3742A" w14:paraId="2475750D" w14:textId="77777777" w:rsidTr="008469E3">
        <w:trPr>
          <w:jc w:val="center"/>
        </w:trPr>
        <w:tc>
          <w:tcPr>
            <w:tcW w:w="8199" w:type="dxa"/>
          </w:tcPr>
          <w:p w14:paraId="3EBAEF27" w14:textId="4C6AABCE" w:rsidR="00330A02" w:rsidRPr="00C3742A" w:rsidRDefault="00330A02" w:rsidP="0014104A">
            <w:pPr>
              <w:pStyle w:val="BodyText"/>
              <w:keepNext/>
              <w:spacing w:after="0" w:line="300" w:lineRule="auto"/>
              <w:jc w:val="center"/>
              <w:rPr>
                <w:rFonts w:cs="Arial"/>
                <w:b/>
                <w:bCs/>
              </w:rPr>
            </w:pPr>
            <w:r w:rsidRPr="00C3742A">
              <w:rPr>
                <w:rFonts w:cs="Arial"/>
                <w:b/>
                <w:bCs/>
              </w:rPr>
              <w:t>Figure 5.</w:t>
            </w:r>
            <w:r w:rsidR="00AD29A6">
              <w:rPr>
                <w:rFonts w:cs="Arial"/>
                <w:b/>
                <w:bCs/>
              </w:rPr>
              <w:t>1</w:t>
            </w:r>
            <w:r w:rsidRPr="00C3742A">
              <w:rPr>
                <w:rFonts w:cs="Arial"/>
                <w:b/>
                <w:bCs/>
              </w:rPr>
              <w:t>4: Reasons for households needing or expecting to move home</w:t>
            </w:r>
            <w:r w:rsidR="008476B8">
              <w:rPr>
                <w:rFonts w:cs="Arial"/>
                <w:b/>
                <w:bCs/>
              </w:rPr>
              <w:t xml:space="preserve"> – newly-forming households</w:t>
            </w:r>
          </w:p>
        </w:tc>
      </w:tr>
      <w:tr w:rsidR="00330A02" w14:paraId="3F345ABC" w14:textId="77777777" w:rsidTr="008469E3">
        <w:trPr>
          <w:jc w:val="center"/>
        </w:trPr>
        <w:tc>
          <w:tcPr>
            <w:tcW w:w="8199" w:type="dxa"/>
          </w:tcPr>
          <w:p w14:paraId="49182AF2" w14:textId="77777777" w:rsidR="00330A02" w:rsidRDefault="00330A02" w:rsidP="00172F56">
            <w:pPr>
              <w:pStyle w:val="BodyText"/>
              <w:keepNext/>
              <w:spacing w:after="0" w:line="300" w:lineRule="auto"/>
              <w:jc w:val="center"/>
              <w:rPr>
                <w:rFonts w:cs="Arial"/>
              </w:rPr>
            </w:pPr>
            <w:r w:rsidRPr="00D24210">
              <w:rPr>
                <w:rFonts w:cs="Arial"/>
                <w:noProof/>
              </w:rPr>
              <w:drawing>
                <wp:inline distT="0" distB="0" distL="0" distR="0" wp14:anchorId="2A818A35" wp14:editId="242A4355">
                  <wp:extent cx="5040000" cy="2880000"/>
                  <wp:effectExtent l="0" t="0" r="825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5689A973" w14:textId="77777777" w:rsidR="00330A02" w:rsidRPr="00D24210" w:rsidRDefault="00330A02" w:rsidP="0014104A">
      <w:pPr>
        <w:spacing w:line="300" w:lineRule="auto"/>
        <w:jc w:val="center"/>
        <w:rPr>
          <w:rFonts w:ascii="Arial" w:hAnsi="Arial" w:cs="Arial"/>
          <w:sz w:val="20"/>
          <w:szCs w:val="20"/>
        </w:rPr>
      </w:pPr>
      <w:r w:rsidRPr="00D24210">
        <w:rPr>
          <w:rFonts w:ascii="Arial" w:hAnsi="Arial" w:cs="Arial"/>
          <w:sz w:val="20"/>
          <w:szCs w:val="20"/>
        </w:rPr>
        <w:t>Source: Household survey</w:t>
      </w:r>
    </w:p>
    <w:p w14:paraId="7A3681BB" w14:textId="77777777" w:rsidR="00330A02" w:rsidRDefault="00330A02" w:rsidP="00172F56">
      <w:pPr>
        <w:pStyle w:val="BodyText"/>
        <w:spacing w:after="0" w:line="300" w:lineRule="auto"/>
        <w:jc w:val="both"/>
        <w:rPr>
          <w:rFonts w:cs="Arial"/>
        </w:rPr>
      </w:pPr>
    </w:p>
    <w:p w14:paraId="4BDF0D72" w14:textId="67EAF9C8" w:rsidR="00330A02" w:rsidRDefault="00330A02">
      <w:pPr>
        <w:pStyle w:val="11Bodytext"/>
        <w:numPr>
          <w:ilvl w:val="1"/>
          <w:numId w:val="40"/>
        </w:numPr>
        <w:spacing w:before="0" w:after="0" w:line="300" w:lineRule="auto"/>
        <w:ind w:left="720" w:hanging="720"/>
      </w:pPr>
      <w:r w:rsidRPr="00C3742A">
        <w:t xml:space="preserve">In terms of future tenure, households were asked what type of tenure they would like and also the tenure expected. The majority of households would like or expect to be </w:t>
      </w:r>
      <w:r w:rsidR="00C3017D">
        <w:t>an</w:t>
      </w:r>
      <w:r w:rsidRPr="00C3742A">
        <w:t xml:space="preserve"> owner-occupier although it is notable that a higher proportion of households </w:t>
      </w:r>
      <w:r w:rsidR="00C3017D">
        <w:t xml:space="preserve">would like this tenure than expect to secure it. </w:t>
      </w:r>
      <w:r w:rsidRPr="00C3742A">
        <w:t xml:space="preserve">Households who would like or expect owner-occupation were further asked about a range of affordable home ownership options with </w:t>
      </w:r>
      <w:r w:rsidR="00C3017D">
        <w:t>over half</w:t>
      </w:r>
      <w:r w:rsidRPr="00C3742A">
        <w:t xml:space="preserve"> saying they would be interested in that type of housing – this included discounted market sale (including First Homes, shared ownership and rent to buy housing).</w:t>
      </w:r>
    </w:p>
    <w:tbl>
      <w:tblPr>
        <w:tblStyle w:val="TableGrid1"/>
        <w:tblW w:w="8199" w:type="dxa"/>
        <w:jc w:val="center"/>
        <w:tblLook w:val="04A0" w:firstRow="1" w:lastRow="0" w:firstColumn="1" w:lastColumn="0" w:noHBand="0" w:noVBand="1"/>
      </w:tblPr>
      <w:tblGrid>
        <w:gridCol w:w="2795"/>
        <w:gridCol w:w="2702"/>
        <w:gridCol w:w="2702"/>
      </w:tblGrid>
      <w:tr w:rsidR="00330A02" w:rsidRPr="004E3CEE" w14:paraId="51E4D003" w14:textId="77777777" w:rsidTr="008469E3">
        <w:trPr>
          <w:jc w:val="center"/>
        </w:trPr>
        <w:tc>
          <w:tcPr>
            <w:tcW w:w="8199" w:type="dxa"/>
            <w:gridSpan w:val="3"/>
          </w:tcPr>
          <w:p w14:paraId="55FFD03E" w14:textId="199C085A" w:rsidR="00330A02" w:rsidRPr="004E3CEE" w:rsidRDefault="00330A02" w:rsidP="0014104A">
            <w:pPr>
              <w:keepNext/>
              <w:spacing w:line="300" w:lineRule="auto"/>
              <w:jc w:val="center"/>
              <w:rPr>
                <w:rFonts w:ascii="Arial" w:hAnsi="Arial" w:cs="Arial"/>
                <w:b/>
                <w:bCs/>
                <w:sz w:val="20"/>
                <w:szCs w:val="20"/>
              </w:rPr>
            </w:pPr>
            <w:r w:rsidRPr="004E3CEE">
              <w:rPr>
                <w:rFonts w:ascii="Arial" w:hAnsi="Arial" w:cs="Arial"/>
                <w:b/>
                <w:bCs/>
                <w:sz w:val="20"/>
                <w:szCs w:val="20"/>
              </w:rPr>
              <w:t>Figure 5.</w:t>
            </w:r>
            <w:r w:rsidR="00AD29A6">
              <w:rPr>
                <w:rFonts w:ascii="Arial" w:hAnsi="Arial" w:cs="Arial"/>
                <w:b/>
                <w:bCs/>
                <w:sz w:val="20"/>
                <w:szCs w:val="20"/>
              </w:rPr>
              <w:t>15</w:t>
            </w:r>
            <w:r w:rsidRPr="004E3CEE">
              <w:rPr>
                <w:rFonts w:ascii="Arial" w:hAnsi="Arial" w:cs="Arial"/>
                <w:b/>
                <w:bCs/>
                <w:sz w:val="20"/>
                <w:szCs w:val="20"/>
              </w:rPr>
              <w:t>: Tenure Households would Like and Expect (those stating a need/likelihood to move within 5-years)</w:t>
            </w:r>
          </w:p>
        </w:tc>
      </w:tr>
      <w:tr w:rsidR="00330A02" w:rsidRPr="00D24210" w14:paraId="009368CA" w14:textId="77777777" w:rsidTr="008469E3">
        <w:trPr>
          <w:jc w:val="center"/>
        </w:trPr>
        <w:tc>
          <w:tcPr>
            <w:tcW w:w="2795" w:type="dxa"/>
          </w:tcPr>
          <w:p w14:paraId="520CD5BC" w14:textId="77777777" w:rsidR="00330A02" w:rsidRPr="00D24210" w:rsidRDefault="00330A02" w:rsidP="00172F56">
            <w:pPr>
              <w:keepNext/>
              <w:spacing w:before="60" w:after="60" w:line="300" w:lineRule="auto"/>
              <w:jc w:val="center"/>
              <w:rPr>
                <w:rFonts w:ascii="Arial" w:hAnsi="Arial" w:cs="Arial"/>
                <w:sz w:val="20"/>
                <w:szCs w:val="20"/>
              </w:rPr>
            </w:pPr>
          </w:p>
        </w:tc>
        <w:tc>
          <w:tcPr>
            <w:tcW w:w="2702" w:type="dxa"/>
            <w:hideMark/>
          </w:tcPr>
          <w:p w14:paraId="5170748C" w14:textId="77777777" w:rsidR="00330A02" w:rsidRPr="00D24210" w:rsidRDefault="00330A02" w:rsidP="0014104A">
            <w:pPr>
              <w:keepNext/>
              <w:spacing w:before="60" w:after="60" w:line="300" w:lineRule="auto"/>
              <w:jc w:val="center"/>
              <w:rPr>
                <w:rFonts w:ascii="Arial" w:hAnsi="Arial" w:cs="Arial"/>
                <w:sz w:val="20"/>
                <w:szCs w:val="20"/>
              </w:rPr>
            </w:pPr>
            <w:r w:rsidRPr="00D24210">
              <w:rPr>
                <w:rFonts w:ascii="Arial" w:hAnsi="Arial" w:cs="Arial"/>
                <w:sz w:val="20"/>
                <w:szCs w:val="20"/>
              </w:rPr>
              <w:t>Like</w:t>
            </w:r>
          </w:p>
        </w:tc>
        <w:tc>
          <w:tcPr>
            <w:tcW w:w="2702" w:type="dxa"/>
            <w:hideMark/>
          </w:tcPr>
          <w:p w14:paraId="6234043C" w14:textId="77777777" w:rsidR="00330A02" w:rsidRPr="00D24210" w:rsidRDefault="00330A02" w:rsidP="0014104A">
            <w:pPr>
              <w:keepNext/>
              <w:spacing w:before="60" w:after="60" w:line="300" w:lineRule="auto"/>
              <w:jc w:val="center"/>
              <w:rPr>
                <w:rFonts w:ascii="Arial" w:hAnsi="Arial" w:cs="Arial"/>
                <w:sz w:val="20"/>
                <w:szCs w:val="20"/>
              </w:rPr>
            </w:pPr>
            <w:r w:rsidRPr="00D24210">
              <w:rPr>
                <w:rFonts w:ascii="Arial" w:hAnsi="Arial" w:cs="Arial"/>
                <w:sz w:val="20"/>
                <w:szCs w:val="20"/>
              </w:rPr>
              <w:t>Expect</w:t>
            </w:r>
          </w:p>
        </w:tc>
      </w:tr>
      <w:tr w:rsidR="008B2A2D" w:rsidRPr="00D24210" w14:paraId="7E04227E" w14:textId="77777777" w:rsidTr="008469E3">
        <w:trPr>
          <w:jc w:val="center"/>
        </w:trPr>
        <w:tc>
          <w:tcPr>
            <w:tcW w:w="2795" w:type="dxa"/>
            <w:hideMark/>
          </w:tcPr>
          <w:p w14:paraId="3227AB95" w14:textId="77777777" w:rsidR="008B2A2D" w:rsidRPr="00D24210" w:rsidRDefault="008B2A2D" w:rsidP="0014104A">
            <w:pPr>
              <w:keepNext/>
              <w:spacing w:line="300" w:lineRule="auto"/>
              <w:rPr>
                <w:rFonts w:ascii="Arial" w:hAnsi="Arial" w:cs="Arial"/>
                <w:sz w:val="20"/>
                <w:szCs w:val="20"/>
              </w:rPr>
            </w:pPr>
            <w:r w:rsidRPr="00D24210">
              <w:rPr>
                <w:rFonts w:ascii="Arial" w:hAnsi="Arial" w:cs="Arial"/>
                <w:color w:val="000000"/>
                <w:sz w:val="20"/>
                <w:szCs w:val="20"/>
              </w:rPr>
              <w:t>Owner-occupation</w:t>
            </w:r>
          </w:p>
        </w:tc>
        <w:tc>
          <w:tcPr>
            <w:tcW w:w="2702" w:type="dxa"/>
            <w:vAlign w:val="bottom"/>
            <w:hideMark/>
          </w:tcPr>
          <w:p w14:paraId="36EE2E53" w14:textId="304D3CF8" w:rsidR="008B2A2D" w:rsidRPr="008B2A2D" w:rsidRDefault="008B2A2D" w:rsidP="0014104A">
            <w:pPr>
              <w:keepNext/>
              <w:spacing w:line="300" w:lineRule="auto"/>
              <w:jc w:val="center"/>
              <w:rPr>
                <w:rFonts w:ascii="Arial" w:hAnsi="Arial" w:cs="Arial"/>
                <w:sz w:val="20"/>
                <w:szCs w:val="20"/>
              </w:rPr>
            </w:pPr>
            <w:r w:rsidRPr="008B2A2D">
              <w:rPr>
                <w:rFonts w:ascii="Arial" w:hAnsi="Arial" w:cs="Arial"/>
                <w:color w:val="000000"/>
                <w:sz w:val="20"/>
                <w:szCs w:val="20"/>
              </w:rPr>
              <w:t>65.6%</w:t>
            </w:r>
          </w:p>
        </w:tc>
        <w:tc>
          <w:tcPr>
            <w:tcW w:w="2702" w:type="dxa"/>
            <w:vAlign w:val="bottom"/>
            <w:hideMark/>
          </w:tcPr>
          <w:p w14:paraId="6A73F829" w14:textId="1C2013A2" w:rsidR="008B2A2D" w:rsidRPr="008B2A2D" w:rsidRDefault="008B2A2D" w:rsidP="0014104A">
            <w:pPr>
              <w:keepNext/>
              <w:spacing w:line="300" w:lineRule="auto"/>
              <w:jc w:val="center"/>
              <w:rPr>
                <w:rFonts w:ascii="Arial" w:hAnsi="Arial" w:cs="Arial"/>
                <w:sz w:val="20"/>
                <w:szCs w:val="20"/>
              </w:rPr>
            </w:pPr>
            <w:r w:rsidRPr="008B2A2D">
              <w:rPr>
                <w:rFonts w:ascii="Arial" w:hAnsi="Arial" w:cs="Arial"/>
                <w:color w:val="000000"/>
                <w:sz w:val="20"/>
                <w:szCs w:val="20"/>
              </w:rPr>
              <w:t>52.9%</w:t>
            </w:r>
          </w:p>
        </w:tc>
      </w:tr>
      <w:tr w:rsidR="008B2A2D" w:rsidRPr="00D24210" w14:paraId="7B3DE0DF" w14:textId="77777777" w:rsidTr="008469E3">
        <w:trPr>
          <w:jc w:val="center"/>
        </w:trPr>
        <w:tc>
          <w:tcPr>
            <w:tcW w:w="2795" w:type="dxa"/>
            <w:hideMark/>
          </w:tcPr>
          <w:p w14:paraId="7FAC47A9" w14:textId="77777777" w:rsidR="008B2A2D" w:rsidRPr="00D24210" w:rsidRDefault="008B2A2D" w:rsidP="0014104A">
            <w:pPr>
              <w:keepNext/>
              <w:spacing w:line="300" w:lineRule="auto"/>
              <w:rPr>
                <w:rFonts w:ascii="Arial" w:hAnsi="Arial" w:cs="Arial"/>
                <w:sz w:val="20"/>
                <w:szCs w:val="20"/>
              </w:rPr>
            </w:pPr>
            <w:r w:rsidRPr="00D24210">
              <w:rPr>
                <w:rFonts w:ascii="Arial" w:hAnsi="Arial" w:cs="Arial"/>
                <w:color w:val="000000"/>
                <w:sz w:val="20"/>
                <w:szCs w:val="20"/>
              </w:rPr>
              <w:t>Social rented</w:t>
            </w:r>
          </w:p>
        </w:tc>
        <w:tc>
          <w:tcPr>
            <w:tcW w:w="2702" w:type="dxa"/>
            <w:vAlign w:val="bottom"/>
            <w:hideMark/>
          </w:tcPr>
          <w:p w14:paraId="0F462365" w14:textId="64F40406" w:rsidR="008B2A2D" w:rsidRPr="008B2A2D" w:rsidRDefault="008B2A2D" w:rsidP="0014104A">
            <w:pPr>
              <w:keepNext/>
              <w:spacing w:line="300" w:lineRule="auto"/>
              <w:jc w:val="center"/>
              <w:rPr>
                <w:rFonts w:ascii="Arial" w:hAnsi="Arial" w:cs="Arial"/>
                <w:sz w:val="20"/>
                <w:szCs w:val="20"/>
              </w:rPr>
            </w:pPr>
            <w:r w:rsidRPr="008B2A2D">
              <w:rPr>
                <w:rFonts w:ascii="Arial" w:hAnsi="Arial" w:cs="Arial"/>
                <w:color w:val="000000"/>
                <w:sz w:val="20"/>
                <w:szCs w:val="20"/>
              </w:rPr>
              <w:t>9.3%</w:t>
            </w:r>
          </w:p>
        </w:tc>
        <w:tc>
          <w:tcPr>
            <w:tcW w:w="2702" w:type="dxa"/>
            <w:vAlign w:val="bottom"/>
            <w:hideMark/>
          </w:tcPr>
          <w:p w14:paraId="10C89D0E" w14:textId="60371410" w:rsidR="008B2A2D" w:rsidRPr="008B2A2D" w:rsidRDefault="008B2A2D" w:rsidP="0014104A">
            <w:pPr>
              <w:keepNext/>
              <w:spacing w:line="300" w:lineRule="auto"/>
              <w:jc w:val="center"/>
              <w:rPr>
                <w:rFonts w:ascii="Arial" w:hAnsi="Arial" w:cs="Arial"/>
                <w:sz w:val="20"/>
                <w:szCs w:val="20"/>
              </w:rPr>
            </w:pPr>
            <w:r w:rsidRPr="008B2A2D">
              <w:rPr>
                <w:rFonts w:ascii="Arial" w:hAnsi="Arial" w:cs="Arial"/>
                <w:color w:val="000000"/>
                <w:sz w:val="20"/>
                <w:szCs w:val="20"/>
              </w:rPr>
              <w:t>7.2%</w:t>
            </w:r>
          </w:p>
        </w:tc>
      </w:tr>
      <w:tr w:rsidR="008B2A2D" w:rsidRPr="00D24210" w14:paraId="6FE20BDE" w14:textId="77777777" w:rsidTr="008469E3">
        <w:trPr>
          <w:jc w:val="center"/>
        </w:trPr>
        <w:tc>
          <w:tcPr>
            <w:tcW w:w="2795" w:type="dxa"/>
            <w:hideMark/>
          </w:tcPr>
          <w:p w14:paraId="0FE8D376" w14:textId="77777777" w:rsidR="008B2A2D" w:rsidRPr="00D24210" w:rsidRDefault="008B2A2D" w:rsidP="0014104A">
            <w:pPr>
              <w:keepNext/>
              <w:spacing w:line="300" w:lineRule="auto"/>
              <w:rPr>
                <w:rFonts w:ascii="Arial" w:hAnsi="Arial" w:cs="Arial"/>
                <w:sz w:val="20"/>
                <w:szCs w:val="20"/>
              </w:rPr>
            </w:pPr>
            <w:r w:rsidRPr="00D24210">
              <w:rPr>
                <w:rFonts w:ascii="Arial" w:hAnsi="Arial" w:cs="Arial"/>
                <w:color w:val="000000"/>
                <w:sz w:val="20"/>
                <w:szCs w:val="20"/>
              </w:rPr>
              <w:t>Private rented</w:t>
            </w:r>
          </w:p>
        </w:tc>
        <w:tc>
          <w:tcPr>
            <w:tcW w:w="2702" w:type="dxa"/>
            <w:vAlign w:val="bottom"/>
            <w:hideMark/>
          </w:tcPr>
          <w:p w14:paraId="72050080" w14:textId="58AFA850" w:rsidR="008B2A2D" w:rsidRPr="008B2A2D" w:rsidRDefault="008B2A2D" w:rsidP="0014104A">
            <w:pPr>
              <w:keepNext/>
              <w:spacing w:line="300" w:lineRule="auto"/>
              <w:jc w:val="center"/>
              <w:rPr>
                <w:rFonts w:ascii="Arial" w:hAnsi="Arial" w:cs="Arial"/>
                <w:sz w:val="20"/>
                <w:szCs w:val="20"/>
              </w:rPr>
            </w:pPr>
            <w:r w:rsidRPr="008B2A2D">
              <w:rPr>
                <w:rFonts w:ascii="Arial" w:hAnsi="Arial" w:cs="Arial"/>
                <w:color w:val="000000"/>
                <w:sz w:val="20"/>
                <w:szCs w:val="20"/>
              </w:rPr>
              <w:t>15.4%</w:t>
            </w:r>
          </w:p>
        </w:tc>
        <w:tc>
          <w:tcPr>
            <w:tcW w:w="2702" w:type="dxa"/>
            <w:vAlign w:val="bottom"/>
            <w:hideMark/>
          </w:tcPr>
          <w:p w14:paraId="44F115E7" w14:textId="4EC9149C" w:rsidR="008B2A2D" w:rsidRPr="008B2A2D" w:rsidRDefault="008B2A2D" w:rsidP="0014104A">
            <w:pPr>
              <w:keepNext/>
              <w:spacing w:line="300" w:lineRule="auto"/>
              <w:jc w:val="center"/>
              <w:rPr>
                <w:rFonts w:ascii="Arial" w:hAnsi="Arial" w:cs="Arial"/>
                <w:sz w:val="20"/>
                <w:szCs w:val="20"/>
              </w:rPr>
            </w:pPr>
            <w:r w:rsidRPr="008B2A2D">
              <w:rPr>
                <w:rFonts w:ascii="Arial" w:hAnsi="Arial" w:cs="Arial"/>
                <w:color w:val="000000"/>
                <w:sz w:val="20"/>
                <w:szCs w:val="20"/>
              </w:rPr>
              <w:t>28.7%</w:t>
            </w:r>
          </w:p>
        </w:tc>
      </w:tr>
      <w:tr w:rsidR="008B2A2D" w:rsidRPr="00D24210" w14:paraId="019CB366" w14:textId="77777777" w:rsidTr="008469E3">
        <w:trPr>
          <w:jc w:val="center"/>
        </w:trPr>
        <w:tc>
          <w:tcPr>
            <w:tcW w:w="2795" w:type="dxa"/>
            <w:hideMark/>
          </w:tcPr>
          <w:p w14:paraId="4DEE3264" w14:textId="77777777" w:rsidR="008B2A2D" w:rsidRPr="00D24210" w:rsidRDefault="008B2A2D" w:rsidP="0014104A">
            <w:pPr>
              <w:keepNext/>
              <w:spacing w:line="300" w:lineRule="auto"/>
              <w:rPr>
                <w:rFonts w:ascii="Arial" w:hAnsi="Arial" w:cs="Arial"/>
                <w:sz w:val="20"/>
                <w:szCs w:val="20"/>
              </w:rPr>
            </w:pPr>
            <w:r w:rsidRPr="00D24210">
              <w:rPr>
                <w:rFonts w:ascii="Arial" w:hAnsi="Arial" w:cs="Arial"/>
                <w:color w:val="000000"/>
                <w:sz w:val="20"/>
                <w:szCs w:val="20"/>
              </w:rPr>
              <w:t>Other</w:t>
            </w:r>
          </w:p>
        </w:tc>
        <w:tc>
          <w:tcPr>
            <w:tcW w:w="2702" w:type="dxa"/>
            <w:vAlign w:val="bottom"/>
            <w:hideMark/>
          </w:tcPr>
          <w:p w14:paraId="46101226" w14:textId="16F6F1D2" w:rsidR="008B2A2D" w:rsidRPr="008B2A2D" w:rsidRDefault="008B2A2D" w:rsidP="0014104A">
            <w:pPr>
              <w:keepNext/>
              <w:spacing w:line="300" w:lineRule="auto"/>
              <w:jc w:val="center"/>
              <w:rPr>
                <w:rFonts w:ascii="Arial" w:hAnsi="Arial" w:cs="Arial"/>
                <w:sz w:val="20"/>
                <w:szCs w:val="20"/>
              </w:rPr>
            </w:pPr>
            <w:r w:rsidRPr="008B2A2D">
              <w:rPr>
                <w:rFonts w:ascii="Arial" w:hAnsi="Arial" w:cs="Arial"/>
                <w:color w:val="000000"/>
                <w:sz w:val="20"/>
                <w:szCs w:val="20"/>
              </w:rPr>
              <w:t>9.8%</w:t>
            </w:r>
          </w:p>
        </w:tc>
        <w:tc>
          <w:tcPr>
            <w:tcW w:w="2702" w:type="dxa"/>
            <w:vAlign w:val="bottom"/>
            <w:hideMark/>
          </w:tcPr>
          <w:p w14:paraId="71952441" w14:textId="30B29A01" w:rsidR="008B2A2D" w:rsidRPr="008B2A2D" w:rsidRDefault="008B2A2D" w:rsidP="0014104A">
            <w:pPr>
              <w:keepNext/>
              <w:spacing w:line="300" w:lineRule="auto"/>
              <w:jc w:val="center"/>
              <w:rPr>
                <w:rFonts w:ascii="Arial" w:hAnsi="Arial" w:cs="Arial"/>
                <w:sz w:val="20"/>
                <w:szCs w:val="20"/>
              </w:rPr>
            </w:pPr>
            <w:r w:rsidRPr="008B2A2D">
              <w:rPr>
                <w:rFonts w:ascii="Arial" w:hAnsi="Arial" w:cs="Arial"/>
                <w:color w:val="000000"/>
                <w:sz w:val="20"/>
                <w:szCs w:val="20"/>
              </w:rPr>
              <w:t>11.3%</w:t>
            </w:r>
          </w:p>
        </w:tc>
      </w:tr>
      <w:tr w:rsidR="00330A02" w:rsidRPr="00D24210" w14:paraId="46581DCD" w14:textId="77777777" w:rsidTr="008469E3">
        <w:trPr>
          <w:jc w:val="center"/>
        </w:trPr>
        <w:tc>
          <w:tcPr>
            <w:tcW w:w="2795" w:type="dxa"/>
            <w:hideMark/>
          </w:tcPr>
          <w:p w14:paraId="739B052D" w14:textId="77777777" w:rsidR="00330A02" w:rsidRPr="00D24210" w:rsidRDefault="00330A02" w:rsidP="0014104A">
            <w:pPr>
              <w:keepNext/>
              <w:spacing w:line="300" w:lineRule="auto"/>
              <w:rPr>
                <w:rFonts w:ascii="Arial" w:hAnsi="Arial" w:cs="Arial"/>
                <w:sz w:val="20"/>
                <w:szCs w:val="20"/>
              </w:rPr>
            </w:pPr>
            <w:r w:rsidRPr="00D24210">
              <w:rPr>
                <w:rFonts w:ascii="Arial" w:hAnsi="Arial" w:cs="Arial"/>
                <w:color w:val="000000"/>
                <w:sz w:val="20"/>
                <w:szCs w:val="20"/>
              </w:rPr>
              <w:t>Total</w:t>
            </w:r>
          </w:p>
        </w:tc>
        <w:tc>
          <w:tcPr>
            <w:tcW w:w="2702" w:type="dxa"/>
            <w:hideMark/>
          </w:tcPr>
          <w:p w14:paraId="1D22873D" w14:textId="77777777" w:rsidR="00330A02" w:rsidRPr="00D24210" w:rsidRDefault="00330A02" w:rsidP="0014104A">
            <w:pPr>
              <w:keepNext/>
              <w:spacing w:line="300" w:lineRule="auto"/>
              <w:jc w:val="center"/>
              <w:rPr>
                <w:rFonts w:ascii="Arial" w:hAnsi="Arial" w:cs="Arial"/>
                <w:sz w:val="20"/>
                <w:szCs w:val="20"/>
              </w:rPr>
            </w:pPr>
            <w:r w:rsidRPr="00D24210">
              <w:rPr>
                <w:rFonts w:ascii="Arial" w:hAnsi="Arial" w:cs="Arial"/>
                <w:color w:val="000000"/>
                <w:sz w:val="20"/>
                <w:szCs w:val="20"/>
              </w:rPr>
              <w:t>100.0%</w:t>
            </w:r>
          </w:p>
        </w:tc>
        <w:tc>
          <w:tcPr>
            <w:tcW w:w="2702" w:type="dxa"/>
            <w:hideMark/>
          </w:tcPr>
          <w:p w14:paraId="50AADFCA" w14:textId="77777777" w:rsidR="00330A02" w:rsidRPr="00D24210" w:rsidRDefault="00330A02" w:rsidP="0014104A">
            <w:pPr>
              <w:keepNext/>
              <w:spacing w:line="300" w:lineRule="auto"/>
              <w:jc w:val="center"/>
              <w:rPr>
                <w:rFonts w:ascii="Arial" w:hAnsi="Arial" w:cs="Arial"/>
                <w:sz w:val="20"/>
                <w:szCs w:val="20"/>
              </w:rPr>
            </w:pPr>
            <w:r w:rsidRPr="00D24210">
              <w:rPr>
                <w:rFonts w:ascii="Arial" w:hAnsi="Arial" w:cs="Arial"/>
                <w:color w:val="000000"/>
                <w:sz w:val="20"/>
                <w:szCs w:val="20"/>
              </w:rPr>
              <w:t>100.0%</w:t>
            </w:r>
          </w:p>
        </w:tc>
      </w:tr>
    </w:tbl>
    <w:p w14:paraId="3D7C1E02" w14:textId="77777777" w:rsidR="00330A02" w:rsidRPr="00D24210" w:rsidRDefault="00330A02" w:rsidP="0014104A">
      <w:pPr>
        <w:spacing w:line="300" w:lineRule="auto"/>
        <w:jc w:val="center"/>
        <w:rPr>
          <w:rFonts w:ascii="Arial" w:hAnsi="Arial" w:cs="Arial"/>
          <w:sz w:val="20"/>
          <w:szCs w:val="20"/>
        </w:rPr>
      </w:pPr>
      <w:r w:rsidRPr="00D24210">
        <w:rPr>
          <w:rFonts w:ascii="Arial" w:hAnsi="Arial" w:cs="Arial"/>
          <w:sz w:val="20"/>
          <w:szCs w:val="20"/>
        </w:rPr>
        <w:t>Source: Household survey</w:t>
      </w:r>
    </w:p>
    <w:p w14:paraId="5D981914" w14:textId="77777777" w:rsidR="00330A02" w:rsidRPr="00D24210" w:rsidRDefault="00330A02" w:rsidP="00172F56">
      <w:pPr>
        <w:pStyle w:val="BodyText"/>
        <w:spacing w:after="0" w:line="300" w:lineRule="auto"/>
        <w:jc w:val="both"/>
        <w:rPr>
          <w:rFonts w:eastAsiaTheme="majorEastAsia" w:cs="Arial"/>
        </w:rPr>
      </w:pPr>
    </w:p>
    <w:p w14:paraId="2F06F2C0" w14:textId="20187FE7" w:rsidR="00330A02" w:rsidRDefault="00330A02">
      <w:pPr>
        <w:pStyle w:val="11Bodytext"/>
        <w:numPr>
          <w:ilvl w:val="1"/>
          <w:numId w:val="40"/>
        </w:numPr>
        <w:spacing w:before="0" w:after="0" w:line="300" w:lineRule="auto"/>
        <w:ind w:left="720" w:hanging="720"/>
      </w:pPr>
      <w:r>
        <w:t>T</w:t>
      </w:r>
      <w:r w:rsidRPr="004E3CEE">
        <w:t xml:space="preserve">he final analysis of those who need to move looks at the number of bedrooms they say they need and how many they expect to secure. The analysis below has been segmented by tenure </w:t>
      </w:r>
      <w:r>
        <w:t xml:space="preserve">(social and private rented sector only) </w:t>
      </w:r>
      <w:r w:rsidRPr="004E3CEE">
        <w:t>with any households stating either a like or expect within any tenure group being included in that group (this does mean that some households will be included in more than one group).</w:t>
      </w:r>
    </w:p>
    <w:p w14:paraId="389B8B77" w14:textId="77777777" w:rsidR="00330A02" w:rsidRDefault="00330A02" w:rsidP="00172F56">
      <w:pPr>
        <w:pStyle w:val="11Bodytext"/>
        <w:numPr>
          <w:ilvl w:val="0"/>
          <w:numId w:val="0"/>
        </w:numPr>
        <w:spacing w:before="0" w:after="0" w:line="300" w:lineRule="auto"/>
      </w:pPr>
    </w:p>
    <w:p w14:paraId="4242144B" w14:textId="6CDEE49D" w:rsidR="00330A02" w:rsidRDefault="00330A02">
      <w:pPr>
        <w:pStyle w:val="11Bodytext"/>
        <w:numPr>
          <w:ilvl w:val="1"/>
          <w:numId w:val="40"/>
        </w:numPr>
        <w:spacing w:before="0" w:after="0" w:line="300" w:lineRule="auto"/>
        <w:ind w:left="720" w:hanging="720"/>
      </w:pPr>
      <w:r w:rsidRPr="004E3CEE">
        <w:t xml:space="preserve">In the social rented sector the need is focussed on 2-bedroom homes, although there is an appreciable </w:t>
      </w:r>
      <w:r w:rsidR="00CC789D">
        <w:t>expectation</w:t>
      </w:r>
      <w:r w:rsidRPr="004E3CEE">
        <w:t xml:space="preserve"> for homes with </w:t>
      </w:r>
      <w:r w:rsidR="00CC789D">
        <w:t>1</w:t>
      </w:r>
      <w:r w:rsidRPr="004E3CEE">
        <w:t>-bedroom</w:t>
      </w:r>
      <w:r>
        <w:t xml:space="preserve"> and in</w:t>
      </w:r>
      <w:r w:rsidRPr="004E3CEE">
        <w:t xml:space="preserve"> the private rented sector, the demand is very much focussed on 2-bedroom homes.</w:t>
      </w:r>
    </w:p>
    <w:p w14:paraId="38E28D50" w14:textId="77777777" w:rsidR="00CC789D" w:rsidRPr="004E3CEE" w:rsidRDefault="00CC789D" w:rsidP="00172F56">
      <w:pPr>
        <w:pStyle w:val="11Bodytext"/>
        <w:numPr>
          <w:ilvl w:val="0"/>
          <w:numId w:val="0"/>
        </w:numPr>
        <w:spacing w:before="0" w:after="0" w:line="300" w:lineRule="auto"/>
      </w:pPr>
    </w:p>
    <w:tbl>
      <w:tblPr>
        <w:tblStyle w:val="TableGrid1"/>
        <w:tblW w:w="8199" w:type="dxa"/>
        <w:jc w:val="center"/>
        <w:tblLook w:val="04A0" w:firstRow="1" w:lastRow="0" w:firstColumn="1" w:lastColumn="0" w:noHBand="0" w:noVBand="1"/>
      </w:tblPr>
      <w:tblGrid>
        <w:gridCol w:w="1639"/>
        <w:gridCol w:w="1640"/>
        <w:gridCol w:w="1640"/>
        <w:gridCol w:w="1640"/>
        <w:gridCol w:w="1640"/>
      </w:tblGrid>
      <w:tr w:rsidR="00330A02" w:rsidRPr="004E3CEE" w14:paraId="429DB89E" w14:textId="77777777" w:rsidTr="008469E3">
        <w:trPr>
          <w:jc w:val="center"/>
        </w:trPr>
        <w:tc>
          <w:tcPr>
            <w:tcW w:w="8199" w:type="dxa"/>
            <w:gridSpan w:val="5"/>
          </w:tcPr>
          <w:p w14:paraId="7C1166B2" w14:textId="0865E616" w:rsidR="00330A02" w:rsidRPr="004E3CEE" w:rsidRDefault="00330A02" w:rsidP="0014104A">
            <w:pPr>
              <w:keepNext/>
              <w:autoSpaceDE w:val="0"/>
              <w:autoSpaceDN w:val="0"/>
              <w:adjustRightInd w:val="0"/>
              <w:spacing w:before="60" w:after="60" w:line="300" w:lineRule="auto"/>
              <w:jc w:val="center"/>
              <w:rPr>
                <w:rFonts w:ascii="Arial" w:hAnsi="Arial" w:cs="Arial"/>
                <w:b/>
                <w:bCs/>
                <w:sz w:val="20"/>
                <w:szCs w:val="20"/>
              </w:rPr>
            </w:pPr>
            <w:r w:rsidRPr="004E3CEE">
              <w:rPr>
                <w:rFonts w:ascii="Arial" w:hAnsi="Arial" w:cs="Arial"/>
                <w:b/>
                <w:bCs/>
                <w:sz w:val="20"/>
                <w:szCs w:val="20"/>
              </w:rPr>
              <w:t>Figure 5.</w:t>
            </w:r>
            <w:r w:rsidR="00AD29A6">
              <w:rPr>
                <w:rFonts w:ascii="Arial" w:hAnsi="Arial" w:cs="Arial"/>
                <w:b/>
                <w:bCs/>
                <w:sz w:val="20"/>
                <w:szCs w:val="20"/>
              </w:rPr>
              <w:t>16</w:t>
            </w:r>
            <w:r w:rsidRPr="004E3CEE">
              <w:rPr>
                <w:rFonts w:ascii="Arial" w:hAnsi="Arial" w:cs="Arial"/>
                <w:b/>
                <w:bCs/>
                <w:sz w:val="20"/>
                <w:szCs w:val="20"/>
              </w:rPr>
              <w:t xml:space="preserve">: Number of bedrooms </w:t>
            </w:r>
            <w:r w:rsidR="0003185B">
              <w:rPr>
                <w:rFonts w:ascii="Arial" w:hAnsi="Arial" w:cs="Arial"/>
                <w:b/>
                <w:bCs/>
                <w:sz w:val="20"/>
                <w:szCs w:val="20"/>
              </w:rPr>
              <w:t>liked</w:t>
            </w:r>
            <w:r w:rsidRPr="004E3CEE">
              <w:rPr>
                <w:rFonts w:ascii="Arial" w:hAnsi="Arial" w:cs="Arial"/>
                <w:b/>
                <w:bCs/>
                <w:sz w:val="20"/>
                <w:szCs w:val="20"/>
              </w:rPr>
              <w:t xml:space="preserve"> and expected by future tenure</w:t>
            </w:r>
          </w:p>
        </w:tc>
      </w:tr>
      <w:tr w:rsidR="00330A02" w:rsidRPr="00D24210" w14:paraId="507C4326" w14:textId="77777777" w:rsidTr="008469E3">
        <w:trPr>
          <w:jc w:val="center"/>
        </w:trPr>
        <w:tc>
          <w:tcPr>
            <w:tcW w:w="1639" w:type="dxa"/>
          </w:tcPr>
          <w:p w14:paraId="37C06C47" w14:textId="77777777" w:rsidR="00330A02" w:rsidRPr="00D24210" w:rsidRDefault="00330A02" w:rsidP="0014104A">
            <w:pPr>
              <w:keepNext/>
              <w:autoSpaceDE w:val="0"/>
              <w:autoSpaceDN w:val="0"/>
              <w:adjustRightInd w:val="0"/>
              <w:spacing w:line="300" w:lineRule="auto"/>
              <w:rPr>
                <w:rFonts w:ascii="Arial" w:hAnsi="Arial" w:cs="Arial"/>
                <w:sz w:val="20"/>
                <w:szCs w:val="20"/>
              </w:rPr>
            </w:pPr>
          </w:p>
        </w:tc>
        <w:tc>
          <w:tcPr>
            <w:tcW w:w="3280" w:type="dxa"/>
            <w:gridSpan w:val="2"/>
            <w:hideMark/>
          </w:tcPr>
          <w:p w14:paraId="6C06A254" w14:textId="77777777" w:rsidR="00330A02" w:rsidRPr="00D24210" w:rsidRDefault="00330A02"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Social rented</w:t>
            </w:r>
          </w:p>
        </w:tc>
        <w:tc>
          <w:tcPr>
            <w:tcW w:w="3280" w:type="dxa"/>
            <w:gridSpan w:val="2"/>
            <w:hideMark/>
          </w:tcPr>
          <w:p w14:paraId="558E55BE" w14:textId="77777777" w:rsidR="00330A02" w:rsidRPr="00D24210" w:rsidRDefault="00330A02"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Private rented and other</w:t>
            </w:r>
          </w:p>
        </w:tc>
      </w:tr>
      <w:tr w:rsidR="00330A02" w:rsidRPr="00D24210" w14:paraId="1471C857" w14:textId="77777777" w:rsidTr="008469E3">
        <w:trPr>
          <w:jc w:val="center"/>
        </w:trPr>
        <w:tc>
          <w:tcPr>
            <w:tcW w:w="1639" w:type="dxa"/>
          </w:tcPr>
          <w:p w14:paraId="4A28DC93" w14:textId="77777777" w:rsidR="00330A02" w:rsidRPr="00D24210" w:rsidRDefault="00330A02" w:rsidP="0014104A">
            <w:pPr>
              <w:keepNext/>
              <w:autoSpaceDE w:val="0"/>
              <w:autoSpaceDN w:val="0"/>
              <w:adjustRightInd w:val="0"/>
              <w:spacing w:line="300" w:lineRule="auto"/>
              <w:rPr>
                <w:rFonts w:ascii="Arial" w:hAnsi="Arial" w:cs="Arial"/>
                <w:sz w:val="20"/>
                <w:szCs w:val="20"/>
              </w:rPr>
            </w:pPr>
          </w:p>
        </w:tc>
        <w:tc>
          <w:tcPr>
            <w:tcW w:w="1640" w:type="dxa"/>
            <w:hideMark/>
          </w:tcPr>
          <w:p w14:paraId="1CA2D017" w14:textId="00BAF2D3" w:rsidR="00330A02" w:rsidRPr="00D24210" w:rsidRDefault="0003185B" w:rsidP="0014104A">
            <w:pPr>
              <w:keepNext/>
              <w:autoSpaceDE w:val="0"/>
              <w:autoSpaceDN w:val="0"/>
              <w:adjustRightInd w:val="0"/>
              <w:spacing w:line="300" w:lineRule="auto"/>
              <w:jc w:val="center"/>
              <w:rPr>
                <w:rFonts w:ascii="Arial" w:hAnsi="Arial" w:cs="Arial"/>
                <w:sz w:val="20"/>
                <w:szCs w:val="20"/>
              </w:rPr>
            </w:pPr>
            <w:r>
              <w:rPr>
                <w:rFonts w:ascii="Arial" w:hAnsi="Arial" w:cs="Arial"/>
                <w:sz w:val="20"/>
                <w:szCs w:val="20"/>
              </w:rPr>
              <w:t>Like</w:t>
            </w:r>
          </w:p>
        </w:tc>
        <w:tc>
          <w:tcPr>
            <w:tcW w:w="1640" w:type="dxa"/>
            <w:hideMark/>
          </w:tcPr>
          <w:p w14:paraId="2D15D048" w14:textId="77777777" w:rsidR="00330A02" w:rsidRPr="00D24210" w:rsidRDefault="00330A02"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Expect</w:t>
            </w:r>
          </w:p>
        </w:tc>
        <w:tc>
          <w:tcPr>
            <w:tcW w:w="1640" w:type="dxa"/>
            <w:hideMark/>
          </w:tcPr>
          <w:p w14:paraId="38E43066" w14:textId="1B9F9ECF" w:rsidR="00330A02" w:rsidRPr="00D24210" w:rsidRDefault="0003185B" w:rsidP="0014104A">
            <w:pPr>
              <w:keepNext/>
              <w:autoSpaceDE w:val="0"/>
              <w:autoSpaceDN w:val="0"/>
              <w:adjustRightInd w:val="0"/>
              <w:spacing w:line="300" w:lineRule="auto"/>
              <w:jc w:val="center"/>
              <w:rPr>
                <w:rFonts w:ascii="Arial" w:hAnsi="Arial" w:cs="Arial"/>
                <w:sz w:val="20"/>
                <w:szCs w:val="20"/>
              </w:rPr>
            </w:pPr>
            <w:r>
              <w:rPr>
                <w:rFonts w:ascii="Arial" w:hAnsi="Arial" w:cs="Arial"/>
                <w:sz w:val="20"/>
                <w:szCs w:val="20"/>
              </w:rPr>
              <w:t>Like</w:t>
            </w:r>
          </w:p>
        </w:tc>
        <w:tc>
          <w:tcPr>
            <w:tcW w:w="1640" w:type="dxa"/>
            <w:hideMark/>
          </w:tcPr>
          <w:p w14:paraId="25219585" w14:textId="77777777" w:rsidR="00330A02" w:rsidRPr="00D24210" w:rsidRDefault="00330A02" w:rsidP="0014104A">
            <w:pPr>
              <w:keepNext/>
              <w:autoSpaceDE w:val="0"/>
              <w:autoSpaceDN w:val="0"/>
              <w:adjustRightInd w:val="0"/>
              <w:spacing w:line="300" w:lineRule="auto"/>
              <w:jc w:val="center"/>
              <w:rPr>
                <w:rFonts w:ascii="Arial" w:hAnsi="Arial" w:cs="Arial"/>
                <w:sz w:val="20"/>
                <w:szCs w:val="20"/>
              </w:rPr>
            </w:pPr>
            <w:r w:rsidRPr="00D24210">
              <w:rPr>
                <w:rFonts w:ascii="Arial" w:hAnsi="Arial" w:cs="Arial"/>
                <w:sz w:val="20"/>
                <w:szCs w:val="20"/>
              </w:rPr>
              <w:t>Expect</w:t>
            </w:r>
          </w:p>
        </w:tc>
      </w:tr>
      <w:tr w:rsidR="00CC789D" w:rsidRPr="00D24210" w14:paraId="27F6D9B4" w14:textId="77777777" w:rsidTr="008469E3">
        <w:trPr>
          <w:jc w:val="center"/>
        </w:trPr>
        <w:tc>
          <w:tcPr>
            <w:tcW w:w="1639" w:type="dxa"/>
            <w:hideMark/>
          </w:tcPr>
          <w:p w14:paraId="6C1F6DD8" w14:textId="77777777" w:rsidR="00CC789D" w:rsidRPr="00D24210" w:rsidRDefault="00CC789D" w:rsidP="0014104A">
            <w:pPr>
              <w:keepNext/>
              <w:autoSpaceDE w:val="0"/>
              <w:autoSpaceDN w:val="0"/>
              <w:adjustRightInd w:val="0"/>
              <w:spacing w:line="300" w:lineRule="auto"/>
              <w:rPr>
                <w:rFonts w:ascii="Arial" w:hAnsi="Arial" w:cs="Arial"/>
                <w:sz w:val="20"/>
                <w:szCs w:val="20"/>
              </w:rPr>
            </w:pPr>
            <w:r w:rsidRPr="00D24210">
              <w:rPr>
                <w:rFonts w:ascii="Arial" w:hAnsi="Arial" w:cs="Arial"/>
                <w:sz w:val="20"/>
                <w:szCs w:val="20"/>
              </w:rPr>
              <w:t>1-bedroom</w:t>
            </w:r>
          </w:p>
        </w:tc>
        <w:tc>
          <w:tcPr>
            <w:tcW w:w="1640" w:type="dxa"/>
          </w:tcPr>
          <w:p w14:paraId="0CC5F92C" w14:textId="27BE3036"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sz w:val="20"/>
                <w:szCs w:val="20"/>
              </w:rPr>
              <w:t>0.0%</w:t>
            </w:r>
          </w:p>
        </w:tc>
        <w:tc>
          <w:tcPr>
            <w:tcW w:w="1640" w:type="dxa"/>
            <w:vAlign w:val="bottom"/>
          </w:tcPr>
          <w:p w14:paraId="21F4D0A6" w14:textId="2774BBB6"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color w:val="000000"/>
                <w:sz w:val="20"/>
                <w:szCs w:val="20"/>
              </w:rPr>
              <w:t>40.1%</w:t>
            </w:r>
          </w:p>
        </w:tc>
        <w:tc>
          <w:tcPr>
            <w:tcW w:w="1640" w:type="dxa"/>
            <w:vAlign w:val="bottom"/>
            <w:hideMark/>
          </w:tcPr>
          <w:p w14:paraId="47F5249B" w14:textId="01E8EE8C"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color w:val="000000"/>
                <w:sz w:val="20"/>
                <w:szCs w:val="20"/>
              </w:rPr>
              <w:t>21.9</w:t>
            </w:r>
            <w:r>
              <w:rPr>
                <w:rFonts w:ascii="Arial" w:hAnsi="Arial" w:cs="Arial"/>
                <w:color w:val="000000"/>
                <w:sz w:val="20"/>
                <w:szCs w:val="20"/>
              </w:rPr>
              <w:t>%</w:t>
            </w:r>
          </w:p>
        </w:tc>
        <w:tc>
          <w:tcPr>
            <w:tcW w:w="1640" w:type="dxa"/>
            <w:vAlign w:val="bottom"/>
            <w:hideMark/>
          </w:tcPr>
          <w:p w14:paraId="228A1FE8" w14:textId="4A94E77A"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color w:val="000000"/>
                <w:sz w:val="20"/>
                <w:szCs w:val="20"/>
              </w:rPr>
              <w:t>36.5</w:t>
            </w:r>
            <w:r>
              <w:rPr>
                <w:rFonts w:ascii="Arial" w:hAnsi="Arial" w:cs="Arial"/>
                <w:color w:val="000000"/>
                <w:sz w:val="20"/>
                <w:szCs w:val="20"/>
              </w:rPr>
              <w:t>%</w:t>
            </w:r>
          </w:p>
        </w:tc>
      </w:tr>
      <w:tr w:rsidR="00CC789D" w:rsidRPr="00D24210" w14:paraId="39ECE4FB" w14:textId="77777777" w:rsidTr="008469E3">
        <w:trPr>
          <w:jc w:val="center"/>
        </w:trPr>
        <w:tc>
          <w:tcPr>
            <w:tcW w:w="1639" w:type="dxa"/>
            <w:hideMark/>
          </w:tcPr>
          <w:p w14:paraId="440AA0BD" w14:textId="77777777" w:rsidR="00CC789D" w:rsidRPr="00D24210" w:rsidRDefault="00CC789D" w:rsidP="0014104A">
            <w:pPr>
              <w:keepNext/>
              <w:autoSpaceDE w:val="0"/>
              <w:autoSpaceDN w:val="0"/>
              <w:adjustRightInd w:val="0"/>
              <w:spacing w:line="300" w:lineRule="auto"/>
              <w:rPr>
                <w:rFonts w:ascii="Arial" w:hAnsi="Arial" w:cs="Arial"/>
                <w:sz w:val="20"/>
                <w:szCs w:val="20"/>
              </w:rPr>
            </w:pPr>
            <w:r w:rsidRPr="00D24210">
              <w:rPr>
                <w:rFonts w:ascii="Arial" w:hAnsi="Arial" w:cs="Arial"/>
                <w:sz w:val="20"/>
                <w:szCs w:val="20"/>
              </w:rPr>
              <w:t>2-bedrooms</w:t>
            </w:r>
          </w:p>
        </w:tc>
        <w:tc>
          <w:tcPr>
            <w:tcW w:w="1640" w:type="dxa"/>
            <w:hideMark/>
          </w:tcPr>
          <w:p w14:paraId="66C53E09" w14:textId="516DFF3D"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sz w:val="20"/>
                <w:szCs w:val="20"/>
              </w:rPr>
              <w:t>75.3%</w:t>
            </w:r>
          </w:p>
        </w:tc>
        <w:tc>
          <w:tcPr>
            <w:tcW w:w="1640" w:type="dxa"/>
            <w:vAlign w:val="bottom"/>
            <w:hideMark/>
          </w:tcPr>
          <w:p w14:paraId="37E9D522" w14:textId="445203DE"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color w:val="000000"/>
                <w:sz w:val="20"/>
                <w:szCs w:val="20"/>
              </w:rPr>
              <w:t>37.4%</w:t>
            </w:r>
          </w:p>
        </w:tc>
        <w:tc>
          <w:tcPr>
            <w:tcW w:w="1640" w:type="dxa"/>
            <w:vAlign w:val="bottom"/>
            <w:hideMark/>
          </w:tcPr>
          <w:p w14:paraId="20A2487A" w14:textId="60142396"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color w:val="000000"/>
                <w:sz w:val="20"/>
                <w:szCs w:val="20"/>
              </w:rPr>
              <w:t>58.4</w:t>
            </w:r>
            <w:r>
              <w:rPr>
                <w:rFonts w:ascii="Arial" w:hAnsi="Arial" w:cs="Arial"/>
                <w:color w:val="000000"/>
                <w:sz w:val="20"/>
                <w:szCs w:val="20"/>
              </w:rPr>
              <w:t>%</w:t>
            </w:r>
          </w:p>
        </w:tc>
        <w:tc>
          <w:tcPr>
            <w:tcW w:w="1640" w:type="dxa"/>
            <w:vAlign w:val="bottom"/>
            <w:hideMark/>
          </w:tcPr>
          <w:p w14:paraId="0CC342F8" w14:textId="0B1F4B35"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color w:val="000000"/>
                <w:sz w:val="20"/>
                <w:szCs w:val="20"/>
              </w:rPr>
              <w:t>56.5</w:t>
            </w:r>
            <w:r>
              <w:rPr>
                <w:rFonts w:ascii="Arial" w:hAnsi="Arial" w:cs="Arial"/>
                <w:color w:val="000000"/>
                <w:sz w:val="20"/>
                <w:szCs w:val="20"/>
              </w:rPr>
              <w:t>%</w:t>
            </w:r>
          </w:p>
        </w:tc>
      </w:tr>
      <w:tr w:rsidR="00CC789D" w:rsidRPr="00D24210" w14:paraId="17BD7B0B" w14:textId="77777777" w:rsidTr="008469E3">
        <w:trPr>
          <w:jc w:val="center"/>
        </w:trPr>
        <w:tc>
          <w:tcPr>
            <w:tcW w:w="1639" w:type="dxa"/>
            <w:hideMark/>
          </w:tcPr>
          <w:p w14:paraId="50195690" w14:textId="77777777" w:rsidR="00CC789D" w:rsidRPr="00D24210" w:rsidRDefault="00CC789D" w:rsidP="0014104A">
            <w:pPr>
              <w:keepNext/>
              <w:autoSpaceDE w:val="0"/>
              <w:autoSpaceDN w:val="0"/>
              <w:adjustRightInd w:val="0"/>
              <w:spacing w:line="300" w:lineRule="auto"/>
              <w:rPr>
                <w:rFonts w:ascii="Arial" w:hAnsi="Arial" w:cs="Arial"/>
                <w:sz w:val="20"/>
                <w:szCs w:val="20"/>
              </w:rPr>
            </w:pPr>
            <w:r w:rsidRPr="00D24210">
              <w:rPr>
                <w:rFonts w:ascii="Arial" w:hAnsi="Arial" w:cs="Arial"/>
                <w:sz w:val="20"/>
                <w:szCs w:val="20"/>
              </w:rPr>
              <w:t>3-bedrooms</w:t>
            </w:r>
          </w:p>
        </w:tc>
        <w:tc>
          <w:tcPr>
            <w:tcW w:w="1640" w:type="dxa"/>
            <w:hideMark/>
          </w:tcPr>
          <w:p w14:paraId="771AA2EF" w14:textId="6881D60C"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sz w:val="20"/>
                <w:szCs w:val="20"/>
              </w:rPr>
              <w:t>24.7%</w:t>
            </w:r>
          </w:p>
        </w:tc>
        <w:tc>
          <w:tcPr>
            <w:tcW w:w="1640" w:type="dxa"/>
            <w:vAlign w:val="bottom"/>
            <w:hideMark/>
          </w:tcPr>
          <w:p w14:paraId="53E995BF" w14:textId="196B31D2"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color w:val="000000"/>
                <w:sz w:val="20"/>
                <w:szCs w:val="20"/>
              </w:rPr>
              <w:t>22.6%</w:t>
            </w:r>
          </w:p>
        </w:tc>
        <w:tc>
          <w:tcPr>
            <w:tcW w:w="1640" w:type="dxa"/>
            <w:vAlign w:val="bottom"/>
            <w:hideMark/>
          </w:tcPr>
          <w:p w14:paraId="4322A205" w14:textId="7FA60A35"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color w:val="000000"/>
                <w:sz w:val="20"/>
                <w:szCs w:val="20"/>
              </w:rPr>
              <w:t>17.2</w:t>
            </w:r>
            <w:r>
              <w:rPr>
                <w:rFonts w:ascii="Arial" w:hAnsi="Arial" w:cs="Arial"/>
                <w:color w:val="000000"/>
                <w:sz w:val="20"/>
                <w:szCs w:val="20"/>
              </w:rPr>
              <w:t>%</w:t>
            </w:r>
          </w:p>
        </w:tc>
        <w:tc>
          <w:tcPr>
            <w:tcW w:w="1640" w:type="dxa"/>
            <w:vAlign w:val="bottom"/>
            <w:hideMark/>
          </w:tcPr>
          <w:p w14:paraId="22AE674B" w14:textId="04E0409F"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color w:val="000000"/>
                <w:sz w:val="20"/>
                <w:szCs w:val="20"/>
              </w:rPr>
              <w:t>7.0%</w:t>
            </w:r>
          </w:p>
        </w:tc>
      </w:tr>
      <w:tr w:rsidR="00CC789D" w:rsidRPr="00D24210" w14:paraId="62D60DE0" w14:textId="77777777" w:rsidTr="008469E3">
        <w:trPr>
          <w:jc w:val="center"/>
        </w:trPr>
        <w:tc>
          <w:tcPr>
            <w:tcW w:w="1639" w:type="dxa"/>
            <w:hideMark/>
          </w:tcPr>
          <w:p w14:paraId="5B2623D2" w14:textId="77777777" w:rsidR="00CC789D" w:rsidRPr="00D24210" w:rsidRDefault="00CC789D" w:rsidP="0014104A">
            <w:pPr>
              <w:keepNext/>
              <w:autoSpaceDE w:val="0"/>
              <w:autoSpaceDN w:val="0"/>
              <w:adjustRightInd w:val="0"/>
              <w:spacing w:line="300" w:lineRule="auto"/>
              <w:rPr>
                <w:rFonts w:ascii="Arial" w:hAnsi="Arial" w:cs="Arial"/>
                <w:sz w:val="20"/>
                <w:szCs w:val="20"/>
              </w:rPr>
            </w:pPr>
            <w:r w:rsidRPr="00D24210">
              <w:rPr>
                <w:rFonts w:ascii="Arial" w:hAnsi="Arial" w:cs="Arial"/>
                <w:sz w:val="20"/>
                <w:szCs w:val="20"/>
              </w:rPr>
              <w:t>4+-bedrooms</w:t>
            </w:r>
          </w:p>
        </w:tc>
        <w:tc>
          <w:tcPr>
            <w:tcW w:w="1640" w:type="dxa"/>
            <w:hideMark/>
          </w:tcPr>
          <w:p w14:paraId="61390C6C" w14:textId="7817023D"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sz w:val="20"/>
                <w:szCs w:val="20"/>
              </w:rPr>
              <w:t>0.0%</w:t>
            </w:r>
          </w:p>
        </w:tc>
        <w:tc>
          <w:tcPr>
            <w:tcW w:w="1640" w:type="dxa"/>
            <w:hideMark/>
          </w:tcPr>
          <w:p w14:paraId="649E82F8" w14:textId="13E5FD31"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sz w:val="20"/>
                <w:szCs w:val="20"/>
              </w:rPr>
              <w:t>0.0%</w:t>
            </w:r>
          </w:p>
        </w:tc>
        <w:tc>
          <w:tcPr>
            <w:tcW w:w="1640" w:type="dxa"/>
            <w:vAlign w:val="bottom"/>
            <w:hideMark/>
          </w:tcPr>
          <w:p w14:paraId="301347F9" w14:textId="1FE2867F"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color w:val="000000"/>
                <w:sz w:val="20"/>
                <w:szCs w:val="20"/>
              </w:rPr>
              <w:t>2.5</w:t>
            </w:r>
            <w:r>
              <w:rPr>
                <w:rFonts w:ascii="Arial" w:hAnsi="Arial" w:cs="Arial"/>
                <w:color w:val="000000"/>
                <w:sz w:val="20"/>
                <w:szCs w:val="20"/>
              </w:rPr>
              <w:t>%</w:t>
            </w:r>
          </w:p>
        </w:tc>
        <w:tc>
          <w:tcPr>
            <w:tcW w:w="1640" w:type="dxa"/>
            <w:hideMark/>
          </w:tcPr>
          <w:p w14:paraId="6EBCFA2A" w14:textId="4973504B" w:rsidR="00CC789D" w:rsidRPr="00CC789D" w:rsidRDefault="00CC789D"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sz w:val="20"/>
                <w:szCs w:val="20"/>
              </w:rPr>
              <w:t>0.0%</w:t>
            </w:r>
          </w:p>
        </w:tc>
      </w:tr>
      <w:tr w:rsidR="00330A02" w:rsidRPr="00D24210" w14:paraId="6883EB8C" w14:textId="77777777" w:rsidTr="008469E3">
        <w:trPr>
          <w:jc w:val="center"/>
        </w:trPr>
        <w:tc>
          <w:tcPr>
            <w:tcW w:w="1639" w:type="dxa"/>
            <w:hideMark/>
          </w:tcPr>
          <w:p w14:paraId="48DF2483" w14:textId="77777777" w:rsidR="00330A02" w:rsidRPr="00D24210" w:rsidRDefault="00330A02" w:rsidP="0014104A">
            <w:pPr>
              <w:keepNext/>
              <w:autoSpaceDE w:val="0"/>
              <w:autoSpaceDN w:val="0"/>
              <w:adjustRightInd w:val="0"/>
              <w:spacing w:line="300" w:lineRule="auto"/>
              <w:rPr>
                <w:rFonts w:ascii="Arial" w:hAnsi="Arial" w:cs="Arial"/>
                <w:sz w:val="20"/>
                <w:szCs w:val="20"/>
              </w:rPr>
            </w:pPr>
            <w:r w:rsidRPr="00D24210">
              <w:rPr>
                <w:rFonts w:ascii="Arial" w:hAnsi="Arial" w:cs="Arial"/>
                <w:sz w:val="20"/>
                <w:szCs w:val="20"/>
              </w:rPr>
              <w:t>TOTAL</w:t>
            </w:r>
          </w:p>
        </w:tc>
        <w:tc>
          <w:tcPr>
            <w:tcW w:w="1640" w:type="dxa"/>
            <w:hideMark/>
          </w:tcPr>
          <w:p w14:paraId="3388A323" w14:textId="77777777" w:rsidR="00330A02" w:rsidRPr="00CC789D" w:rsidRDefault="00330A02"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sz w:val="20"/>
                <w:szCs w:val="20"/>
              </w:rPr>
              <w:t>100.0%</w:t>
            </w:r>
          </w:p>
        </w:tc>
        <w:tc>
          <w:tcPr>
            <w:tcW w:w="1640" w:type="dxa"/>
            <w:hideMark/>
          </w:tcPr>
          <w:p w14:paraId="1BE73E9F" w14:textId="77777777" w:rsidR="00330A02" w:rsidRPr="00CC789D" w:rsidRDefault="00330A02"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sz w:val="20"/>
                <w:szCs w:val="20"/>
              </w:rPr>
              <w:t>100.0%</w:t>
            </w:r>
          </w:p>
        </w:tc>
        <w:tc>
          <w:tcPr>
            <w:tcW w:w="1640" w:type="dxa"/>
            <w:hideMark/>
          </w:tcPr>
          <w:p w14:paraId="115A297D" w14:textId="77777777" w:rsidR="00330A02" w:rsidRPr="00CC789D" w:rsidRDefault="00330A02"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sz w:val="20"/>
                <w:szCs w:val="20"/>
              </w:rPr>
              <w:t>100.0%</w:t>
            </w:r>
          </w:p>
        </w:tc>
        <w:tc>
          <w:tcPr>
            <w:tcW w:w="1640" w:type="dxa"/>
            <w:hideMark/>
          </w:tcPr>
          <w:p w14:paraId="4AF65E13" w14:textId="77777777" w:rsidR="00330A02" w:rsidRPr="00CC789D" w:rsidRDefault="00330A02" w:rsidP="0014104A">
            <w:pPr>
              <w:keepNext/>
              <w:autoSpaceDE w:val="0"/>
              <w:autoSpaceDN w:val="0"/>
              <w:adjustRightInd w:val="0"/>
              <w:spacing w:line="300" w:lineRule="auto"/>
              <w:jc w:val="center"/>
              <w:rPr>
                <w:rFonts w:ascii="Arial" w:hAnsi="Arial" w:cs="Arial"/>
                <w:sz w:val="20"/>
                <w:szCs w:val="20"/>
              </w:rPr>
            </w:pPr>
            <w:r w:rsidRPr="00CC789D">
              <w:rPr>
                <w:rFonts w:ascii="Arial" w:hAnsi="Arial" w:cs="Arial"/>
                <w:sz w:val="20"/>
                <w:szCs w:val="20"/>
              </w:rPr>
              <w:t>100.0%</w:t>
            </w:r>
          </w:p>
        </w:tc>
      </w:tr>
    </w:tbl>
    <w:p w14:paraId="27F0423C" w14:textId="77777777" w:rsidR="00330A02" w:rsidRPr="00D24210" w:rsidRDefault="00330A02" w:rsidP="0014104A">
      <w:pPr>
        <w:spacing w:line="300" w:lineRule="auto"/>
        <w:jc w:val="center"/>
        <w:rPr>
          <w:rFonts w:ascii="Arial" w:hAnsi="Arial" w:cs="Arial"/>
          <w:sz w:val="20"/>
          <w:szCs w:val="20"/>
        </w:rPr>
      </w:pPr>
      <w:r w:rsidRPr="00D24210">
        <w:rPr>
          <w:rFonts w:ascii="Arial" w:hAnsi="Arial" w:cs="Arial"/>
          <w:sz w:val="20"/>
          <w:szCs w:val="20"/>
        </w:rPr>
        <w:t>Source: Household survey</w:t>
      </w:r>
    </w:p>
    <w:p w14:paraId="4729D29C" w14:textId="77777777" w:rsidR="00330A02" w:rsidRPr="00D24210" w:rsidRDefault="00330A02" w:rsidP="0033047F">
      <w:pPr>
        <w:pStyle w:val="11Bodytext"/>
        <w:numPr>
          <w:ilvl w:val="0"/>
          <w:numId w:val="0"/>
        </w:numPr>
        <w:spacing w:before="0" w:after="0" w:line="300" w:lineRule="auto"/>
        <w:ind w:left="794" w:hanging="794"/>
        <w:rPr>
          <w:color w:val="auto"/>
        </w:rPr>
      </w:pPr>
    </w:p>
    <w:p w14:paraId="2D8B1D32" w14:textId="20C618F8" w:rsidR="00CC789D" w:rsidRPr="007236BD" w:rsidRDefault="00CC789D" w:rsidP="00172F56">
      <w:pPr>
        <w:spacing w:line="300" w:lineRule="auto"/>
        <w:jc w:val="both"/>
        <w:rPr>
          <w:rFonts w:ascii="Arial" w:hAnsi="Arial" w:cs="Arial"/>
          <w:b/>
          <w:lang w:eastAsia="ja-JP"/>
        </w:rPr>
      </w:pPr>
      <w:r>
        <w:rPr>
          <w:rFonts w:ascii="Arial" w:hAnsi="Arial" w:cs="Arial"/>
          <w:b/>
          <w:lang w:eastAsia="ja-JP"/>
        </w:rPr>
        <w:t>Summary</w:t>
      </w:r>
    </w:p>
    <w:p w14:paraId="4CEBE054" w14:textId="77777777" w:rsidR="00CC789D" w:rsidRPr="00C7268E" w:rsidRDefault="00CC789D" w:rsidP="00172F56">
      <w:pPr>
        <w:spacing w:line="300" w:lineRule="auto"/>
        <w:jc w:val="both"/>
        <w:rPr>
          <w:rFonts w:ascii="Arial" w:hAnsi="Arial" w:cs="Arial"/>
          <w:sz w:val="20"/>
          <w:szCs w:val="20"/>
          <w:lang w:eastAsia="ja-JP"/>
        </w:rPr>
      </w:pPr>
    </w:p>
    <w:p w14:paraId="02E84155" w14:textId="7BD5233E" w:rsidR="00700148" w:rsidRPr="00700148" w:rsidRDefault="00700148">
      <w:pPr>
        <w:pStyle w:val="11Bodytext"/>
        <w:numPr>
          <w:ilvl w:val="1"/>
          <w:numId w:val="40"/>
        </w:numPr>
        <w:spacing w:before="0" w:after="0" w:line="300" w:lineRule="auto"/>
        <w:ind w:left="720" w:hanging="720"/>
        <w:rPr>
          <w:color w:val="auto"/>
        </w:rPr>
      </w:pPr>
      <w:r w:rsidRPr="00700148">
        <w:t xml:space="preserve">The analysis moves on from affordable housing need to look at survey questions </w:t>
      </w:r>
      <w:r>
        <w:t xml:space="preserve">on </w:t>
      </w:r>
      <w:r w:rsidRPr="00700148">
        <w:t>housing history (previous moves, including locations and tenure of accommodation) and future housing intentions – similar questions being asked of existing and newly forming households.</w:t>
      </w:r>
    </w:p>
    <w:p w14:paraId="48234601" w14:textId="77777777" w:rsidR="00700148" w:rsidRPr="00700148" w:rsidRDefault="00700148" w:rsidP="00172F56">
      <w:pPr>
        <w:pStyle w:val="11Bodytext"/>
        <w:numPr>
          <w:ilvl w:val="0"/>
          <w:numId w:val="0"/>
        </w:numPr>
        <w:spacing w:before="0" w:after="0" w:line="300" w:lineRule="auto"/>
        <w:rPr>
          <w:color w:val="auto"/>
        </w:rPr>
      </w:pPr>
    </w:p>
    <w:p w14:paraId="781C9B91" w14:textId="6F17F473" w:rsidR="00700148" w:rsidRPr="00700148" w:rsidRDefault="00700148">
      <w:pPr>
        <w:pStyle w:val="11Bodytext"/>
        <w:numPr>
          <w:ilvl w:val="1"/>
          <w:numId w:val="40"/>
        </w:numPr>
        <w:spacing w:before="0" w:after="0" w:line="300" w:lineRule="auto"/>
        <w:ind w:left="720" w:hanging="720"/>
        <w:rPr>
          <w:color w:val="auto"/>
        </w:rPr>
      </w:pPr>
      <w:r w:rsidRPr="00700148">
        <w:t>The analysis shows the relatively high mobility of households living in the private rented sector and also that most households when moving remain in the same tenure (e.g. households moving from one owner-occupied home to another or one private rented home to another) -the survey highlighted very low mobility from social rented housing into owner-occupation. Some 55% of moving households had previously lived in the Borough, with 7% having moved from Blackpool and 14% from outside the North West region.</w:t>
      </w:r>
    </w:p>
    <w:p w14:paraId="0509C635" w14:textId="20FC51A7" w:rsidR="00700148" w:rsidRDefault="00700148" w:rsidP="00172F56">
      <w:pPr>
        <w:pStyle w:val="11Bodytext"/>
        <w:numPr>
          <w:ilvl w:val="0"/>
          <w:numId w:val="0"/>
        </w:numPr>
        <w:spacing w:before="0" w:after="0" w:line="300" w:lineRule="auto"/>
        <w:rPr>
          <w:color w:val="auto"/>
        </w:rPr>
      </w:pPr>
    </w:p>
    <w:p w14:paraId="0AD53E4D" w14:textId="3D6CB9D1" w:rsidR="00620FE9" w:rsidRDefault="00620FE9" w:rsidP="00172F56">
      <w:pPr>
        <w:pStyle w:val="11Bodytext"/>
        <w:numPr>
          <w:ilvl w:val="0"/>
          <w:numId w:val="0"/>
        </w:numPr>
        <w:spacing w:before="0" w:after="0" w:line="300" w:lineRule="auto"/>
        <w:rPr>
          <w:color w:val="auto"/>
        </w:rPr>
      </w:pPr>
    </w:p>
    <w:p w14:paraId="0F2149D7" w14:textId="77777777" w:rsidR="00620FE9" w:rsidRPr="00700148" w:rsidRDefault="00620FE9" w:rsidP="00172F56">
      <w:pPr>
        <w:pStyle w:val="11Bodytext"/>
        <w:numPr>
          <w:ilvl w:val="0"/>
          <w:numId w:val="0"/>
        </w:numPr>
        <w:spacing w:before="0" w:after="0" w:line="300" w:lineRule="auto"/>
        <w:rPr>
          <w:color w:val="auto"/>
        </w:rPr>
      </w:pPr>
    </w:p>
    <w:p w14:paraId="30C5890E" w14:textId="2122E6B0" w:rsidR="00700148" w:rsidRPr="00700148" w:rsidRDefault="00700148">
      <w:pPr>
        <w:pStyle w:val="11Bodytext"/>
        <w:numPr>
          <w:ilvl w:val="1"/>
          <w:numId w:val="40"/>
        </w:numPr>
        <w:spacing w:before="0" w:after="0" w:line="300" w:lineRule="auto"/>
        <w:ind w:left="720" w:hanging="720"/>
        <w:rPr>
          <w:color w:val="auto"/>
        </w:rPr>
      </w:pPr>
      <w:r w:rsidRPr="00700148">
        <w:t xml:space="preserve">A total of 25% of households stated they need or are likely to move over the next 5-years, with the main reason for moving being that the current home is too small. Whilst the majority of households would </w:t>
      </w:r>
      <w:r>
        <w:t xml:space="preserve">be </w:t>
      </w:r>
      <w:r w:rsidRPr="00700148">
        <w:t>likely to become (or remain) owner-occupiers, there is a notable demand for social rented housing – this demand is particularly for 2-bedroom homes as well as some 1- and 3-bedroom properties. There are also a number of households who expect to move to private rented accommodation (although fewer want to) with again a particular focus on 2-bedroom homes.</w:t>
      </w:r>
    </w:p>
    <w:p w14:paraId="592877D4" w14:textId="77777777" w:rsidR="00700148" w:rsidRPr="00700148" w:rsidRDefault="00700148" w:rsidP="00172F56">
      <w:pPr>
        <w:pStyle w:val="11Bodytext"/>
        <w:numPr>
          <w:ilvl w:val="0"/>
          <w:numId w:val="0"/>
        </w:numPr>
        <w:spacing w:before="0" w:after="0" w:line="300" w:lineRule="auto"/>
        <w:rPr>
          <w:color w:val="auto"/>
        </w:rPr>
      </w:pPr>
    </w:p>
    <w:p w14:paraId="7DD3A745" w14:textId="77777777" w:rsidR="00700148" w:rsidRPr="00700148" w:rsidRDefault="00700148">
      <w:pPr>
        <w:pStyle w:val="11Bodytext"/>
        <w:numPr>
          <w:ilvl w:val="1"/>
          <w:numId w:val="40"/>
        </w:numPr>
        <w:spacing w:before="0" w:after="0" w:line="300" w:lineRule="auto"/>
        <w:ind w:left="720" w:hanging="720"/>
        <w:rPr>
          <w:color w:val="auto"/>
        </w:rPr>
      </w:pPr>
      <w:r w:rsidRPr="00700148">
        <w:t>For potential newly-forming households similar findings were shown by the survey with a preference for owner-occupation. For those who would like or expect rented tenures, there was again a particular focus on 2-bedroom homes.</w:t>
      </w:r>
    </w:p>
    <w:p w14:paraId="646B3AA4" w14:textId="34338019" w:rsidR="00CC789D" w:rsidRDefault="00CC789D" w:rsidP="00172F56">
      <w:pPr>
        <w:pStyle w:val="11Bodytext"/>
        <w:numPr>
          <w:ilvl w:val="0"/>
          <w:numId w:val="0"/>
        </w:numPr>
        <w:spacing w:before="0" w:after="0" w:line="300" w:lineRule="auto"/>
        <w:rPr>
          <w:color w:val="auto"/>
        </w:rPr>
      </w:pPr>
    </w:p>
    <w:p w14:paraId="7202649D" w14:textId="77777777" w:rsidR="00620FE9" w:rsidRDefault="00620FE9" w:rsidP="00172F56">
      <w:pPr>
        <w:jc w:val="both"/>
      </w:pPr>
      <w:r>
        <w:br w:type="page"/>
      </w:r>
    </w:p>
    <w:p w14:paraId="36C612ED" w14:textId="78A5217B" w:rsidR="00CC789D" w:rsidRDefault="00CC789D" w:rsidP="00172F56">
      <w:pPr>
        <w:jc w:val="both"/>
      </w:pPr>
      <w:r>
        <w:br w:type="page"/>
      </w:r>
    </w:p>
    <w:p w14:paraId="58FFC408" w14:textId="09770BDD" w:rsidR="00CC789D" w:rsidRPr="007236BD" w:rsidRDefault="00CC789D" w:rsidP="00172F56">
      <w:pPr>
        <w:pStyle w:val="ReportHeading1"/>
        <w:pageBreakBefore w:val="0"/>
        <w:widowControl w:val="0"/>
        <w:spacing w:before="0" w:after="0"/>
        <w:jc w:val="both"/>
        <w:rPr>
          <w:rFonts w:ascii="Arial Bold" w:hAnsi="Arial Bold" w:cs="Arial"/>
          <w:color w:val="0093D5"/>
          <w:sz w:val="32"/>
          <w:szCs w:val="32"/>
        </w:rPr>
      </w:pPr>
      <w:bookmarkStart w:id="45" w:name="_Toc112937735"/>
      <w:r>
        <w:rPr>
          <w:rFonts w:ascii="Arial Bold" w:hAnsi="Arial Bold" w:cs="Arial"/>
          <w:color w:val="0093D5"/>
          <w:sz w:val="32"/>
          <w:szCs w:val="32"/>
        </w:rPr>
        <w:t>6</w:t>
      </w:r>
      <w:r w:rsidRPr="007236BD">
        <w:rPr>
          <w:rFonts w:ascii="Arial Bold" w:hAnsi="Arial Bold" w:cs="Arial"/>
          <w:color w:val="0093D5"/>
          <w:sz w:val="32"/>
          <w:szCs w:val="32"/>
        </w:rPr>
        <w:t>.</w:t>
      </w:r>
      <w:r w:rsidRPr="007236BD">
        <w:rPr>
          <w:rFonts w:ascii="Arial Bold" w:hAnsi="Arial Bold" w:cs="Arial"/>
          <w:color w:val="0093D5"/>
          <w:sz w:val="32"/>
          <w:szCs w:val="32"/>
        </w:rPr>
        <w:tab/>
      </w:r>
      <w:r>
        <w:rPr>
          <w:rFonts w:ascii="Arial Bold" w:hAnsi="Arial Bold" w:cs="Arial"/>
          <w:color w:val="0093D5"/>
          <w:sz w:val="32"/>
          <w:szCs w:val="32"/>
        </w:rPr>
        <w:t>Needs of Specific Groups</w:t>
      </w:r>
      <w:bookmarkEnd w:id="45"/>
    </w:p>
    <w:tbl>
      <w:tblPr>
        <w:tblW w:w="9639" w:type="dxa"/>
        <w:jc w:val="center"/>
        <w:tblBorders>
          <w:bottom w:val="single" w:sz="12" w:space="0" w:color="0093D5"/>
        </w:tblBorders>
        <w:tblLook w:val="01E0" w:firstRow="1" w:lastRow="1" w:firstColumn="1" w:lastColumn="1" w:noHBand="0" w:noVBand="0"/>
      </w:tblPr>
      <w:tblGrid>
        <w:gridCol w:w="9639"/>
      </w:tblGrid>
      <w:tr w:rsidR="00CC789D" w:rsidRPr="007236BD" w14:paraId="7590B10E" w14:textId="77777777" w:rsidTr="008469E3">
        <w:trPr>
          <w:jc w:val="center"/>
        </w:trPr>
        <w:tc>
          <w:tcPr>
            <w:tcW w:w="9639" w:type="dxa"/>
            <w:shd w:val="clear" w:color="auto" w:fill="auto"/>
            <w:vAlign w:val="center"/>
          </w:tcPr>
          <w:p w14:paraId="671040BE" w14:textId="77777777" w:rsidR="00CC789D" w:rsidRPr="007236BD" w:rsidRDefault="00CC789D" w:rsidP="00172F56">
            <w:pPr>
              <w:keepNext/>
              <w:keepLines/>
              <w:jc w:val="both"/>
              <w:rPr>
                <w:rFonts w:ascii="Arial" w:hAnsi="Arial"/>
                <w:sz w:val="2"/>
                <w:szCs w:val="2"/>
              </w:rPr>
            </w:pPr>
          </w:p>
        </w:tc>
      </w:tr>
    </w:tbl>
    <w:p w14:paraId="4AE565D7" w14:textId="77777777" w:rsidR="00CC789D" w:rsidRPr="007236BD" w:rsidRDefault="00CC789D" w:rsidP="00172F56">
      <w:pPr>
        <w:widowControl w:val="0"/>
        <w:spacing w:line="300" w:lineRule="auto"/>
        <w:jc w:val="both"/>
        <w:rPr>
          <w:rFonts w:ascii="Arial" w:hAnsi="Arial" w:cs="Arial"/>
          <w:sz w:val="20"/>
          <w:szCs w:val="20"/>
        </w:rPr>
      </w:pPr>
    </w:p>
    <w:p w14:paraId="5D80B767" w14:textId="77777777" w:rsidR="00CC789D" w:rsidRPr="007236BD" w:rsidRDefault="00CC789D" w:rsidP="00172F56">
      <w:pPr>
        <w:spacing w:line="300" w:lineRule="auto"/>
        <w:jc w:val="both"/>
        <w:rPr>
          <w:rFonts w:ascii="Arial" w:hAnsi="Arial" w:cs="Arial"/>
          <w:b/>
          <w:lang w:eastAsia="ja-JP"/>
        </w:rPr>
      </w:pPr>
      <w:r w:rsidRPr="007236BD">
        <w:rPr>
          <w:rFonts w:ascii="Arial" w:hAnsi="Arial" w:cs="Arial"/>
          <w:b/>
          <w:lang w:eastAsia="ja-JP"/>
        </w:rPr>
        <w:t>Introduction</w:t>
      </w:r>
    </w:p>
    <w:p w14:paraId="2E08E381" w14:textId="77777777" w:rsidR="00CC789D" w:rsidRPr="00E12B61" w:rsidRDefault="00CC789D" w:rsidP="00172F56">
      <w:pPr>
        <w:spacing w:line="300" w:lineRule="auto"/>
        <w:jc w:val="both"/>
        <w:rPr>
          <w:rFonts w:ascii="Arial" w:hAnsi="Arial" w:cs="Arial"/>
          <w:sz w:val="20"/>
          <w:szCs w:val="20"/>
          <w:lang w:eastAsia="ja-JP"/>
        </w:rPr>
      </w:pPr>
    </w:p>
    <w:p w14:paraId="4C94F927" w14:textId="29B33B09" w:rsidR="00CC789D" w:rsidRPr="00E12B61" w:rsidRDefault="00CC789D">
      <w:pPr>
        <w:pStyle w:val="11Bodytext"/>
        <w:numPr>
          <w:ilvl w:val="1"/>
          <w:numId w:val="65"/>
        </w:numPr>
        <w:spacing w:before="0" w:after="0" w:line="300" w:lineRule="auto"/>
        <w:ind w:left="720" w:hanging="720"/>
        <w:rPr>
          <w:color w:val="auto"/>
        </w:rPr>
      </w:pPr>
      <w:bookmarkStart w:id="46" w:name="_Hlk106891701"/>
      <w:bookmarkStart w:id="47" w:name="_Toc177896273"/>
      <w:bookmarkStart w:id="48" w:name="_Toc179971610"/>
      <w:bookmarkStart w:id="49" w:name="_Toc226258715"/>
      <w:r w:rsidRPr="00E12B61">
        <w:t xml:space="preserve">This section of the report considers survey data about a range of different household groups within </w:t>
      </w:r>
      <w:r w:rsidR="00432414">
        <w:t>Fylde</w:t>
      </w:r>
      <w:r w:rsidRPr="00E12B61">
        <w:t xml:space="preserve">. In particular the information focuses on the key characteristics of each group and contrasts data with other households in the Borough. For the purposes of the </w:t>
      </w:r>
      <w:r w:rsidR="004A4D2C">
        <w:t>study</w:t>
      </w:r>
      <w:r w:rsidRPr="00E12B61">
        <w:t xml:space="preserve"> we have studied the following groups:</w:t>
      </w:r>
    </w:p>
    <w:p w14:paraId="1CB88309" w14:textId="77777777" w:rsidR="00E12B61" w:rsidRPr="00E12B61" w:rsidRDefault="00E12B61" w:rsidP="00172F56">
      <w:pPr>
        <w:pStyle w:val="11Bodytext"/>
        <w:numPr>
          <w:ilvl w:val="0"/>
          <w:numId w:val="0"/>
        </w:numPr>
        <w:spacing w:before="0" w:after="0" w:line="300" w:lineRule="auto"/>
        <w:rPr>
          <w:color w:val="auto"/>
        </w:rPr>
      </w:pPr>
    </w:p>
    <w:p w14:paraId="1CD954D7" w14:textId="3454180D" w:rsidR="00CC789D" w:rsidRPr="00E12B61" w:rsidRDefault="00CC789D">
      <w:pPr>
        <w:pStyle w:val="Bulletblueplain"/>
        <w:numPr>
          <w:ilvl w:val="0"/>
          <w:numId w:val="66"/>
        </w:numPr>
        <w:spacing w:before="0" w:after="0" w:line="300" w:lineRule="auto"/>
        <w:rPr>
          <w:szCs w:val="20"/>
        </w:rPr>
      </w:pPr>
      <w:r w:rsidRPr="00E12B61">
        <w:rPr>
          <w:szCs w:val="20"/>
        </w:rPr>
        <w:t>Households with support needs</w:t>
      </w:r>
      <w:r w:rsidR="005C43E6">
        <w:rPr>
          <w:szCs w:val="20"/>
        </w:rPr>
        <w:t>;</w:t>
      </w:r>
    </w:p>
    <w:p w14:paraId="58986C0F" w14:textId="7A1FCB26" w:rsidR="00CC789D" w:rsidRPr="00E12B61" w:rsidRDefault="00CC789D">
      <w:pPr>
        <w:pStyle w:val="Bulletblueplain"/>
        <w:numPr>
          <w:ilvl w:val="0"/>
          <w:numId w:val="66"/>
        </w:numPr>
        <w:spacing w:before="0" w:after="0" w:line="300" w:lineRule="auto"/>
        <w:rPr>
          <w:szCs w:val="20"/>
        </w:rPr>
      </w:pPr>
      <w:r w:rsidRPr="00E12B61">
        <w:rPr>
          <w:szCs w:val="20"/>
        </w:rPr>
        <w:t>Older person households</w:t>
      </w:r>
      <w:r w:rsidR="005C43E6">
        <w:rPr>
          <w:szCs w:val="20"/>
        </w:rPr>
        <w:t>;</w:t>
      </w:r>
    </w:p>
    <w:p w14:paraId="6A765EE0" w14:textId="4E037E89" w:rsidR="00CC789D" w:rsidRPr="00E12B61" w:rsidRDefault="00CC789D">
      <w:pPr>
        <w:pStyle w:val="Bulletblueplain"/>
        <w:numPr>
          <w:ilvl w:val="0"/>
          <w:numId w:val="66"/>
        </w:numPr>
        <w:spacing w:before="0" w:after="0" w:line="300" w:lineRule="auto"/>
        <w:rPr>
          <w:szCs w:val="20"/>
        </w:rPr>
      </w:pPr>
      <w:r w:rsidRPr="00E12B61">
        <w:rPr>
          <w:szCs w:val="20"/>
        </w:rPr>
        <w:t>Families (households with children)</w:t>
      </w:r>
      <w:r w:rsidR="005C43E6">
        <w:rPr>
          <w:szCs w:val="20"/>
        </w:rPr>
        <w:t>; and</w:t>
      </w:r>
    </w:p>
    <w:p w14:paraId="5A22B900" w14:textId="3DBFA74C" w:rsidR="00CC789D" w:rsidRPr="00E12B61" w:rsidRDefault="00CC789D">
      <w:pPr>
        <w:pStyle w:val="Bulletblueplain"/>
        <w:numPr>
          <w:ilvl w:val="0"/>
          <w:numId w:val="66"/>
        </w:numPr>
        <w:spacing w:before="0" w:after="0" w:line="300" w:lineRule="auto"/>
        <w:rPr>
          <w:szCs w:val="20"/>
        </w:rPr>
      </w:pPr>
      <w:r w:rsidRPr="00E12B61">
        <w:rPr>
          <w:szCs w:val="20"/>
        </w:rPr>
        <w:t>Young people (and first-time buyers)</w:t>
      </w:r>
      <w:r w:rsidR="005C43E6">
        <w:rPr>
          <w:szCs w:val="20"/>
        </w:rPr>
        <w:t>.</w:t>
      </w:r>
    </w:p>
    <w:p w14:paraId="012017FC" w14:textId="3163C87A" w:rsidR="00CC789D" w:rsidRDefault="00CC789D" w:rsidP="0033047F">
      <w:pPr>
        <w:pStyle w:val="Bulletblueplain"/>
        <w:numPr>
          <w:ilvl w:val="0"/>
          <w:numId w:val="0"/>
        </w:numPr>
        <w:spacing w:before="0" w:after="0" w:line="300" w:lineRule="auto"/>
        <w:rPr>
          <w:szCs w:val="20"/>
        </w:rPr>
      </w:pPr>
    </w:p>
    <w:bookmarkEnd w:id="46"/>
    <w:p w14:paraId="08482FC9" w14:textId="7ED081D4" w:rsidR="00E12B61" w:rsidRPr="007236BD" w:rsidRDefault="00E12B61" w:rsidP="00172F56">
      <w:pPr>
        <w:spacing w:line="300" w:lineRule="auto"/>
        <w:jc w:val="both"/>
        <w:rPr>
          <w:rFonts w:ascii="Arial" w:hAnsi="Arial" w:cs="Arial"/>
          <w:b/>
          <w:lang w:eastAsia="ja-JP"/>
        </w:rPr>
      </w:pPr>
      <w:r>
        <w:rPr>
          <w:rFonts w:ascii="Arial" w:hAnsi="Arial" w:cs="Arial"/>
          <w:b/>
          <w:lang w:eastAsia="ja-JP"/>
        </w:rPr>
        <w:t>Households with Support Needs</w:t>
      </w:r>
    </w:p>
    <w:p w14:paraId="545DE51F" w14:textId="77777777" w:rsidR="00E12B61" w:rsidRPr="00E12B61" w:rsidRDefault="00E12B61" w:rsidP="00172F56">
      <w:pPr>
        <w:spacing w:line="300" w:lineRule="auto"/>
        <w:jc w:val="both"/>
        <w:rPr>
          <w:rFonts w:ascii="Arial" w:hAnsi="Arial" w:cs="Arial"/>
          <w:sz w:val="20"/>
          <w:szCs w:val="20"/>
          <w:lang w:eastAsia="ja-JP"/>
        </w:rPr>
      </w:pPr>
    </w:p>
    <w:p w14:paraId="4F5F9649" w14:textId="66492894" w:rsidR="00CC789D" w:rsidRPr="00E12B61" w:rsidRDefault="00CC789D">
      <w:pPr>
        <w:pStyle w:val="11Bodytext"/>
        <w:numPr>
          <w:ilvl w:val="1"/>
          <w:numId w:val="65"/>
        </w:numPr>
        <w:spacing w:before="0" w:after="0" w:line="300" w:lineRule="auto"/>
        <w:ind w:left="720" w:hanging="720"/>
        <w:rPr>
          <w:color w:val="auto"/>
        </w:rPr>
      </w:pPr>
      <w:bookmarkStart w:id="50" w:name="_Toc164680570"/>
      <w:bookmarkStart w:id="51" w:name="_Toc167003651"/>
      <w:bookmarkEnd w:id="47"/>
      <w:bookmarkEnd w:id="48"/>
      <w:bookmarkEnd w:id="49"/>
      <w:r w:rsidRPr="00E12B61">
        <w:t>Information collected through the survey enables us to identify whether any household members have a particular support need. The survey looked at whether household members fell into one or more of a range of groups. The groups covered were:</w:t>
      </w:r>
    </w:p>
    <w:p w14:paraId="1FA6B1A0" w14:textId="77777777" w:rsidR="00E12B61" w:rsidRPr="00E12B61" w:rsidRDefault="00E12B61" w:rsidP="00172F56">
      <w:pPr>
        <w:pStyle w:val="11Bodytext"/>
        <w:numPr>
          <w:ilvl w:val="0"/>
          <w:numId w:val="0"/>
        </w:numPr>
        <w:spacing w:before="0" w:after="0" w:line="300" w:lineRule="auto"/>
        <w:rPr>
          <w:color w:val="auto"/>
        </w:rPr>
      </w:pPr>
    </w:p>
    <w:p w14:paraId="211558C5" w14:textId="6BAAF01D" w:rsidR="00CC789D" w:rsidRPr="00E12B61" w:rsidRDefault="00E12B61">
      <w:pPr>
        <w:pStyle w:val="Bulletblueplain"/>
        <w:numPr>
          <w:ilvl w:val="0"/>
          <w:numId w:val="67"/>
        </w:numPr>
        <w:spacing w:before="0" w:after="0" w:line="300" w:lineRule="auto"/>
        <w:rPr>
          <w:szCs w:val="20"/>
        </w:rPr>
      </w:pPr>
      <w:r>
        <w:rPr>
          <w:szCs w:val="20"/>
        </w:rPr>
        <w:t>Physical disability – wh</w:t>
      </w:r>
      <w:r w:rsidR="00CC789D" w:rsidRPr="00E12B61">
        <w:rPr>
          <w:szCs w:val="20"/>
        </w:rPr>
        <w:t>eelchair user</w:t>
      </w:r>
      <w:r w:rsidR="005C43E6">
        <w:rPr>
          <w:szCs w:val="20"/>
        </w:rPr>
        <w:t>;</w:t>
      </w:r>
    </w:p>
    <w:p w14:paraId="1718D96C" w14:textId="292121DF" w:rsidR="00E12B61" w:rsidRPr="00E12B61" w:rsidRDefault="00E12B61">
      <w:pPr>
        <w:pStyle w:val="Bulletblueplain"/>
        <w:numPr>
          <w:ilvl w:val="0"/>
          <w:numId w:val="67"/>
        </w:numPr>
        <w:spacing w:before="0" w:after="0" w:line="300" w:lineRule="auto"/>
        <w:rPr>
          <w:szCs w:val="20"/>
        </w:rPr>
      </w:pPr>
      <w:r>
        <w:rPr>
          <w:szCs w:val="20"/>
        </w:rPr>
        <w:t>Physical disability – not in a wh</w:t>
      </w:r>
      <w:r w:rsidRPr="00E12B61">
        <w:rPr>
          <w:szCs w:val="20"/>
        </w:rPr>
        <w:t>eelchair</w:t>
      </w:r>
      <w:r w:rsidR="005C43E6">
        <w:rPr>
          <w:szCs w:val="20"/>
        </w:rPr>
        <w:t>;</w:t>
      </w:r>
    </w:p>
    <w:p w14:paraId="24D6DF2A" w14:textId="188DF5B8" w:rsidR="00CC789D" w:rsidRPr="00E12B61" w:rsidRDefault="00CC789D">
      <w:pPr>
        <w:pStyle w:val="Bulletblueplain"/>
        <w:numPr>
          <w:ilvl w:val="0"/>
          <w:numId w:val="67"/>
        </w:numPr>
        <w:spacing w:before="0" w:after="0" w:line="300" w:lineRule="auto"/>
        <w:rPr>
          <w:szCs w:val="20"/>
        </w:rPr>
      </w:pPr>
      <w:r w:rsidRPr="00E12B61">
        <w:rPr>
          <w:szCs w:val="20"/>
        </w:rPr>
        <w:t>Learning disability</w:t>
      </w:r>
      <w:r w:rsidR="00E12B61">
        <w:rPr>
          <w:szCs w:val="20"/>
        </w:rPr>
        <w:t xml:space="preserve"> or autism</w:t>
      </w:r>
      <w:r w:rsidR="005C43E6">
        <w:rPr>
          <w:szCs w:val="20"/>
        </w:rPr>
        <w:t>;</w:t>
      </w:r>
    </w:p>
    <w:p w14:paraId="623C21CD" w14:textId="7D717DBD" w:rsidR="00CC789D" w:rsidRPr="00E12B61" w:rsidRDefault="00CC789D">
      <w:pPr>
        <w:pStyle w:val="Bulletblueplain"/>
        <w:numPr>
          <w:ilvl w:val="0"/>
          <w:numId w:val="67"/>
        </w:numPr>
        <w:spacing w:before="0" w:after="0" w:line="300" w:lineRule="auto"/>
        <w:rPr>
          <w:szCs w:val="20"/>
        </w:rPr>
      </w:pPr>
      <w:r w:rsidRPr="00E12B61">
        <w:rPr>
          <w:szCs w:val="20"/>
        </w:rPr>
        <w:t xml:space="preserve">Mental health </w:t>
      </w:r>
      <w:r w:rsidR="00E12B61">
        <w:rPr>
          <w:szCs w:val="20"/>
        </w:rPr>
        <w:t>condition</w:t>
      </w:r>
      <w:r w:rsidR="005C43E6">
        <w:rPr>
          <w:szCs w:val="20"/>
        </w:rPr>
        <w:t>;</w:t>
      </w:r>
    </w:p>
    <w:p w14:paraId="37E9A39E" w14:textId="15A91FCF" w:rsidR="00CC789D" w:rsidRPr="00E12B61" w:rsidRDefault="00CC789D">
      <w:pPr>
        <w:pStyle w:val="Bulletblueplain"/>
        <w:numPr>
          <w:ilvl w:val="0"/>
          <w:numId w:val="67"/>
        </w:numPr>
        <w:spacing w:before="0" w:after="0" w:line="300" w:lineRule="auto"/>
        <w:rPr>
          <w:szCs w:val="20"/>
        </w:rPr>
      </w:pPr>
      <w:r w:rsidRPr="00E12B61">
        <w:rPr>
          <w:szCs w:val="20"/>
        </w:rPr>
        <w:t>Visual/hearing impairment</w:t>
      </w:r>
      <w:r w:rsidR="005C43E6">
        <w:rPr>
          <w:szCs w:val="20"/>
        </w:rPr>
        <w:t>;</w:t>
      </w:r>
    </w:p>
    <w:p w14:paraId="1936BEB1" w14:textId="0655A956" w:rsidR="00CC789D" w:rsidRPr="00E12B61" w:rsidRDefault="00CC789D">
      <w:pPr>
        <w:pStyle w:val="Bulletblueplain"/>
        <w:numPr>
          <w:ilvl w:val="0"/>
          <w:numId w:val="67"/>
        </w:numPr>
        <w:spacing w:before="0" w:after="0" w:line="300" w:lineRule="auto"/>
        <w:rPr>
          <w:szCs w:val="20"/>
        </w:rPr>
      </w:pPr>
      <w:r w:rsidRPr="00E12B61">
        <w:rPr>
          <w:szCs w:val="20"/>
        </w:rPr>
        <w:t>Asthmatic/respiratory problem</w:t>
      </w:r>
      <w:r w:rsidR="005C43E6">
        <w:rPr>
          <w:szCs w:val="20"/>
        </w:rPr>
        <w:t>;</w:t>
      </w:r>
    </w:p>
    <w:p w14:paraId="643E3B0E" w14:textId="7C9421CC" w:rsidR="00CC789D" w:rsidRPr="00E12B61" w:rsidRDefault="00CC789D">
      <w:pPr>
        <w:pStyle w:val="Bulletblueplain"/>
        <w:numPr>
          <w:ilvl w:val="0"/>
          <w:numId w:val="67"/>
        </w:numPr>
        <w:spacing w:before="0" w:after="0" w:line="300" w:lineRule="auto"/>
        <w:rPr>
          <w:szCs w:val="20"/>
        </w:rPr>
      </w:pPr>
      <w:r w:rsidRPr="00E12B61">
        <w:rPr>
          <w:szCs w:val="20"/>
        </w:rPr>
        <w:t>Other physical disability</w:t>
      </w:r>
      <w:r w:rsidR="005C43E6">
        <w:rPr>
          <w:szCs w:val="20"/>
        </w:rPr>
        <w:t>; and</w:t>
      </w:r>
    </w:p>
    <w:p w14:paraId="426C6F1D" w14:textId="1901F8C3" w:rsidR="00CC789D" w:rsidRPr="00E12B61" w:rsidRDefault="00E12B61">
      <w:pPr>
        <w:pStyle w:val="Bulletblueplain"/>
        <w:numPr>
          <w:ilvl w:val="0"/>
          <w:numId w:val="67"/>
        </w:numPr>
        <w:spacing w:before="0" w:after="0" w:line="300" w:lineRule="auto"/>
        <w:rPr>
          <w:szCs w:val="20"/>
        </w:rPr>
      </w:pPr>
      <w:r>
        <w:rPr>
          <w:szCs w:val="20"/>
        </w:rPr>
        <w:t>Other l</w:t>
      </w:r>
      <w:r w:rsidR="00CC789D" w:rsidRPr="00E12B61">
        <w:rPr>
          <w:szCs w:val="20"/>
        </w:rPr>
        <w:t>imiting long-term illness</w:t>
      </w:r>
      <w:r w:rsidR="005C43E6">
        <w:rPr>
          <w:szCs w:val="20"/>
        </w:rPr>
        <w:t>.</w:t>
      </w:r>
    </w:p>
    <w:p w14:paraId="3EEAA457" w14:textId="77777777" w:rsidR="006873E5" w:rsidRPr="00E12B61" w:rsidRDefault="006873E5" w:rsidP="00172F56">
      <w:pPr>
        <w:spacing w:line="300" w:lineRule="auto"/>
        <w:jc w:val="both"/>
        <w:rPr>
          <w:rFonts w:ascii="Arial" w:hAnsi="Arial" w:cs="Arial"/>
          <w:sz w:val="20"/>
          <w:szCs w:val="20"/>
          <w:lang w:eastAsia="ja-JP"/>
        </w:rPr>
      </w:pPr>
    </w:p>
    <w:p w14:paraId="54EF7C02" w14:textId="5E4D52EA" w:rsidR="00CC789D" w:rsidRDefault="00CC789D">
      <w:pPr>
        <w:pStyle w:val="11Bodytext"/>
        <w:numPr>
          <w:ilvl w:val="1"/>
          <w:numId w:val="65"/>
        </w:numPr>
        <w:spacing w:before="0" w:after="0" w:line="300" w:lineRule="auto"/>
        <w:ind w:left="720" w:hanging="720"/>
        <w:rPr>
          <w:color w:val="auto"/>
        </w:rPr>
      </w:pPr>
      <w:r w:rsidRPr="00E12B61">
        <w:t xml:space="preserve">Overall there are an estimated </w:t>
      </w:r>
      <w:r w:rsidR="006873E5">
        <w:t>9,260</w:t>
      </w:r>
      <w:r w:rsidRPr="00E12B61">
        <w:t xml:space="preserve"> households in </w:t>
      </w:r>
      <w:r w:rsidR="006873E5">
        <w:t>Fylde</w:t>
      </w:r>
      <w:r w:rsidRPr="00E12B61">
        <w:t xml:space="preserve"> with one or more members in an </w:t>
      </w:r>
      <w:r w:rsidRPr="006873E5">
        <w:rPr>
          <w:color w:val="auto"/>
        </w:rPr>
        <w:t xml:space="preserve">identified support needs group </w:t>
      </w:r>
      <w:r w:rsidR="006873E5">
        <w:rPr>
          <w:color w:val="auto"/>
        </w:rPr>
        <w:t>–</w:t>
      </w:r>
      <w:r w:rsidRPr="006873E5">
        <w:rPr>
          <w:color w:val="auto"/>
        </w:rPr>
        <w:t xml:space="preserve"> this represents </w:t>
      </w:r>
      <w:r w:rsidR="006873E5">
        <w:rPr>
          <w:color w:val="auto"/>
        </w:rPr>
        <w:t>23.8</w:t>
      </w:r>
      <w:r w:rsidRPr="006873E5">
        <w:rPr>
          <w:color w:val="auto"/>
        </w:rPr>
        <w:t>% of all households. T</w:t>
      </w:r>
      <w:r w:rsidR="006873E5">
        <w:rPr>
          <w:color w:val="auto"/>
        </w:rPr>
        <w:t>he t</w:t>
      </w:r>
      <w:r w:rsidRPr="006873E5">
        <w:rPr>
          <w:color w:val="auto"/>
        </w:rPr>
        <w:t>able below shows the number of households with different types of support needs. The numbers of households in each category exceed the total number of support needs households because people can have more than one category of support need. Households with a</w:t>
      </w:r>
      <w:r w:rsidRPr="006873E5">
        <w:rPr>
          <w:i/>
          <w:color w:val="auto"/>
        </w:rPr>
        <w:t xml:space="preserve"> </w:t>
      </w:r>
      <w:r w:rsidR="006873E5">
        <w:rPr>
          <w:color w:val="auto"/>
        </w:rPr>
        <w:t>physical</w:t>
      </w:r>
      <w:r w:rsidRPr="006873E5">
        <w:rPr>
          <w:color w:val="auto"/>
        </w:rPr>
        <w:t xml:space="preserve"> difficulty (not in wheelchair)</w:t>
      </w:r>
      <w:r w:rsidRPr="006873E5">
        <w:rPr>
          <w:i/>
          <w:color w:val="auto"/>
        </w:rPr>
        <w:t xml:space="preserve"> </w:t>
      </w:r>
      <w:r w:rsidRPr="006873E5">
        <w:rPr>
          <w:color w:val="auto"/>
        </w:rPr>
        <w:t>are</w:t>
      </w:r>
      <w:r w:rsidRPr="006873E5">
        <w:rPr>
          <w:i/>
          <w:color w:val="auto"/>
        </w:rPr>
        <w:t xml:space="preserve"> </w:t>
      </w:r>
      <w:r w:rsidRPr="006873E5">
        <w:rPr>
          <w:color w:val="auto"/>
        </w:rPr>
        <w:t>the predominant group.</w:t>
      </w:r>
    </w:p>
    <w:p w14:paraId="5772B6DE" w14:textId="77777777" w:rsidR="006873E5" w:rsidRPr="006873E5" w:rsidRDefault="006873E5" w:rsidP="00172F56">
      <w:pPr>
        <w:pStyle w:val="11Bodytext"/>
        <w:numPr>
          <w:ilvl w:val="0"/>
          <w:numId w:val="0"/>
        </w:numPr>
        <w:spacing w:before="0" w:after="0" w:line="300" w:lineRule="auto"/>
        <w:rPr>
          <w:color w:val="auto"/>
        </w:rPr>
      </w:pPr>
    </w:p>
    <w:tbl>
      <w:tblPr>
        <w:tblStyle w:val="TableGrid1"/>
        <w:tblW w:w="8199" w:type="dxa"/>
        <w:jc w:val="center"/>
        <w:tblLook w:val="00A0" w:firstRow="1" w:lastRow="0" w:firstColumn="1" w:lastColumn="0" w:noHBand="0" w:noVBand="0"/>
      </w:tblPr>
      <w:tblGrid>
        <w:gridCol w:w="3421"/>
        <w:gridCol w:w="1592"/>
        <w:gridCol w:w="1593"/>
        <w:gridCol w:w="1593"/>
      </w:tblGrid>
      <w:tr w:rsidR="006873E5" w:rsidRPr="006873E5" w14:paraId="31E9361E" w14:textId="77777777" w:rsidTr="008469E3">
        <w:trPr>
          <w:jc w:val="center"/>
        </w:trPr>
        <w:tc>
          <w:tcPr>
            <w:tcW w:w="8199" w:type="dxa"/>
            <w:gridSpan w:val="4"/>
          </w:tcPr>
          <w:p w14:paraId="33753118" w14:textId="288BFFC3" w:rsidR="006873E5" w:rsidRPr="006873E5" w:rsidRDefault="006873E5" w:rsidP="0014104A">
            <w:pPr>
              <w:keepNext/>
              <w:widowControl w:val="0"/>
              <w:spacing w:before="60" w:after="60" w:line="300" w:lineRule="auto"/>
              <w:jc w:val="center"/>
              <w:rPr>
                <w:rFonts w:ascii="Arial" w:hAnsi="Arial" w:cs="Arial"/>
                <w:b/>
                <w:bCs/>
                <w:sz w:val="20"/>
                <w:szCs w:val="20"/>
              </w:rPr>
            </w:pPr>
            <w:r w:rsidRPr="006873E5">
              <w:rPr>
                <w:rFonts w:ascii="Arial" w:hAnsi="Arial" w:cs="Arial"/>
                <w:b/>
                <w:bCs/>
                <w:sz w:val="20"/>
                <w:szCs w:val="20"/>
              </w:rPr>
              <w:t xml:space="preserve">Figure 6.1: </w:t>
            </w:r>
            <w:bookmarkStart w:id="52" w:name="_Toc372039090"/>
            <w:r w:rsidR="001C38CC">
              <w:rPr>
                <w:rFonts w:ascii="Arial" w:hAnsi="Arial" w:cs="Arial"/>
                <w:b/>
                <w:bCs/>
                <w:sz w:val="20"/>
                <w:szCs w:val="20"/>
              </w:rPr>
              <w:t xml:space="preserve">Households with </w:t>
            </w:r>
            <w:r w:rsidR="00DE630A">
              <w:rPr>
                <w:rFonts w:ascii="Arial" w:hAnsi="Arial" w:cs="Arial"/>
                <w:b/>
                <w:bCs/>
                <w:sz w:val="20"/>
                <w:szCs w:val="20"/>
              </w:rPr>
              <w:t xml:space="preserve">Each Category of </w:t>
            </w:r>
            <w:r w:rsidRPr="006873E5">
              <w:rPr>
                <w:rFonts w:ascii="Arial" w:hAnsi="Arial" w:cs="Arial"/>
                <w:b/>
                <w:bCs/>
                <w:sz w:val="20"/>
                <w:szCs w:val="20"/>
              </w:rPr>
              <w:t xml:space="preserve">Support Needs </w:t>
            </w:r>
            <w:bookmarkEnd w:id="52"/>
          </w:p>
        </w:tc>
      </w:tr>
      <w:tr w:rsidR="00CC789D" w:rsidRPr="00E12B61" w14:paraId="07E4C6E8" w14:textId="77777777" w:rsidTr="006873E5">
        <w:trPr>
          <w:jc w:val="center"/>
        </w:trPr>
        <w:tc>
          <w:tcPr>
            <w:tcW w:w="3421" w:type="dxa"/>
          </w:tcPr>
          <w:p w14:paraId="70EAAD21" w14:textId="77777777" w:rsidR="00CC789D" w:rsidRPr="00E12B61" w:rsidRDefault="00CC789D" w:rsidP="0014104A">
            <w:pPr>
              <w:keepNext/>
              <w:widowControl w:val="0"/>
              <w:spacing w:line="300" w:lineRule="auto"/>
              <w:rPr>
                <w:rFonts w:ascii="Arial" w:hAnsi="Arial" w:cs="Arial"/>
                <w:sz w:val="20"/>
                <w:szCs w:val="20"/>
              </w:rPr>
            </w:pPr>
            <w:r w:rsidRPr="00E12B61">
              <w:rPr>
                <w:rFonts w:ascii="Arial" w:hAnsi="Arial" w:cs="Arial"/>
                <w:sz w:val="20"/>
                <w:szCs w:val="20"/>
              </w:rPr>
              <w:t>Category</w:t>
            </w:r>
          </w:p>
        </w:tc>
        <w:tc>
          <w:tcPr>
            <w:tcW w:w="1592" w:type="dxa"/>
          </w:tcPr>
          <w:p w14:paraId="7600BFF3" w14:textId="77777777" w:rsidR="00CC789D" w:rsidRPr="00E12B61" w:rsidRDefault="00CC789D" w:rsidP="0014104A">
            <w:pPr>
              <w:keepNext/>
              <w:widowControl w:val="0"/>
              <w:spacing w:line="300" w:lineRule="auto"/>
              <w:jc w:val="center"/>
              <w:rPr>
                <w:rFonts w:ascii="Arial" w:hAnsi="Arial" w:cs="Arial"/>
                <w:sz w:val="20"/>
                <w:szCs w:val="20"/>
              </w:rPr>
            </w:pPr>
            <w:r w:rsidRPr="00E12B61">
              <w:rPr>
                <w:rFonts w:ascii="Arial" w:hAnsi="Arial" w:cs="Arial"/>
                <w:sz w:val="20"/>
                <w:szCs w:val="20"/>
              </w:rPr>
              <w:t>Number of households</w:t>
            </w:r>
          </w:p>
        </w:tc>
        <w:tc>
          <w:tcPr>
            <w:tcW w:w="1593" w:type="dxa"/>
          </w:tcPr>
          <w:p w14:paraId="15D0BBF3" w14:textId="77777777" w:rsidR="00CC789D" w:rsidRPr="00E12B61" w:rsidRDefault="00CC789D" w:rsidP="0014104A">
            <w:pPr>
              <w:keepNext/>
              <w:widowControl w:val="0"/>
              <w:spacing w:line="300" w:lineRule="auto"/>
              <w:jc w:val="center"/>
              <w:rPr>
                <w:rFonts w:ascii="Arial" w:hAnsi="Arial" w:cs="Arial"/>
                <w:sz w:val="20"/>
                <w:szCs w:val="20"/>
              </w:rPr>
            </w:pPr>
            <w:r w:rsidRPr="00E12B61">
              <w:rPr>
                <w:rFonts w:ascii="Arial" w:hAnsi="Arial" w:cs="Arial"/>
                <w:sz w:val="20"/>
                <w:szCs w:val="20"/>
              </w:rPr>
              <w:t>% of all households</w:t>
            </w:r>
          </w:p>
        </w:tc>
        <w:tc>
          <w:tcPr>
            <w:tcW w:w="1593" w:type="dxa"/>
          </w:tcPr>
          <w:p w14:paraId="03C717B2" w14:textId="77777777" w:rsidR="00CC789D" w:rsidRPr="00E12B61" w:rsidRDefault="00CC789D" w:rsidP="0014104A">
            <w:pPr>
              <w:keepNext/>
              <w:widowControl w:val="0"/>
              <w:spacing w:line="300" w:lineRule="auto"/>
              <w:jc w:val="center"/>
              <w:rPr>
                <w:rFonts w:ascii="Arial" w:hAnsi="Arial" w:cs="Arial"/>
                <w:sz w:val="20"/>
                <w:szCs w:val="20"/>
              </w:rPr>
            </w:pPr>
            <w:r w:rsidRPr="00E12B61">
              <w:rPr>
                <w:rFonts w:ascii="Arial" w:hAnsi="Arial" w:cs="Arial"/>
                <w:sz w:val="20"/>
                <w:szCs w:val="20"/>
              </w:rPr>
              <w:t>% of support needs households</w:t>
            </w:r>
          </w:p>
        </w:tc>
      </w:tr>
      <w:tr w:rsidR="008820D2" w:rsidRPr="00E12B61" w14:paraId="3F47816D" w14:textId="77777777" w:rsidTr="008469E3">
        <w:trPr>
          <w:jc w:val="center"/>
        </w:trPr>
        <w:tc>
          <w:tcPr>
            <w:tcW w:w="3421" w:type="dxa"/>
          </w:tcPr>
          <w:p w14:paraId="6EAF7171" w14:textId="77777777" w:rsidR="008820D2" w:rsidRPr="00E12B61" w:rsidRDefault="008820D2" w:rsidP="0014104A">
            <w:pPr>
              <w:keepNext/>
              <w:spacing w:line="300" w:lineRule="auto"/>
              <w:rPr>
                <w:rFonts w:ascii="Arial" w:hAnsi="Arial" w:cs="Arial"/>
                <w:b/>
                <w:sz w:val="20"/>
                <w:szCs w:val="20"/>
              </w:rPr>
            </w:pPr>
            <w:r w:rsidRPr="00E12B61">
              <w:rPr>
                <w:rFonts w:ascii="Arial" w:hAnsi="Arial" w:cs="Arial"/>
                <w:sz w:val="20"/>
                <w:szCs w:val="20"/>
              </w:rPr>
              <w:t>Wheelchair user</w:t>
            </w:r>
          </w:p>
        </w:tc>
        <w:tc>
          <w:tcPr>
            <w:tcW w:w="1592" w:type="dxa"/>
            <w:vAlign w:val="bottom"/>
          </w:tcPr>
          <w:p w14:paraId="5BA000F9" w14:textId="334085AB"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1,308</w:t>
            </w:r>
          </w:p>
        </w:tc>
        <w:tc>
          <w:tcPr>
            <w:tcW w:w="1593" w:type="dxa"/>
            <w:vAlign w:val="bottom"/>
          </w:tcPr>
          <w:p w14:paraId="2452334A" w14:textId="470F9E28"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3.4%</w:t>
            </w:r>
          </w:p>
        </w:tc>
        <w:tc>
          <w:tcPr>
            <w:tcW w:w="1593" w:type="dxa"/>
            <w:vAlign w:val="bottom"/>
          </w:tcPr>
          <w:p w14:paraId="008667C4" w14:textId="729ECC2A"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14.1%</w:t>
            </w:r>
          </w:p>
        </w:tc>
      </w:tr>
      <w:tr w:rsidR="008820D2" w:rsidRPr="00E12B61" w14:paraId="29B022E7" w14:textId="77777777" w:rsidTr="008469E3">
        <w:trPr>
          <w:jc w:val="center"/>
        </w:trPr>
        <w:tc>
          <w:tcPr>
            <w:tcW w:w="3421" w:type="dxa"/>
          </w:tcPr>
          <w:p w14:paraId="353D076B" w14:textId="77777777" w:rsidR="008820D2" w:rsidRPr="00E12B61" w:rsidRDefault="008820D2" w:rsidP="0014104A">
            <w:pPr>
              <w:keepNext/>
              <w:spacing w:line="300" w:lineRule="auto"/>
              <w:rPr>
                <w:rFonts w:ascii="Arial" w:hAnsi="Arial" w:cs="Arial"/>
                <w:b/>
                <w:sz w:val="20"/>
                <w:szCs w:val="20"/>
              </w:rPr>
            </w:pPr>
            <w:r w:rsidRPr="00E12B61">
              <w:rPr>
                <w:rFonts w:ascii="Arial" w:hAnsi="Arial" w:cs="Arial"/>
                <w:sz w:val="20"/>
                <w:szCs w:val="20"/>
              </w:rPr>
              <w:t>Walking difficulty (not in wheelchair)</w:t>
            </w:r>
          </w:p>
        </w:tc>
        <w:tc>
          <w:tcPr>
            <w:tcW w:w="1592" w:type="dxa"/>
            <w:vAlign w:val="bottom"/>
          </w:tcPr>
          <w:p w14:paraId="01526A7E" w14:textId="39B0181A"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5,846</w:t>
            </w:r>
          </w:p>
        </w:tc>
        <w:tc>
          <w:tcPr>
            <w:tcW w:w="1593" w:type="dxa"/>
            <w:vAlign w:val="bottom"/>
          </w:tcPr>
          <w:p w14:paraId="51CC1659" w14:textId="2237150C"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15.0%</w:t>
            </w:r>
          </w:p>
        </w:tc>
        <w:tc>
          <w:tcPr>
            <w:tcW w:w="1593" w:type="dxa"/>
            <w:vAlign w:val="bottom"/>
          </w:tcPr>
          <w:p w14:paraId="1D82457A" w14:textId="4A5054CD"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63.1%</w:t>
            </w:r>
          </w:p>
        </w:tc>
      </w:tr>
      <w:tr w:rsidR="008820D2" w:rsidRPr="00E12B61" w14:paraId="2B3CB744" w14:textId="77777777" w:rsidTr="008469E3">
        <w:trPr>
          <w:jc w:val="center"/>
        </w:trPr>
        <w:tc>
          <w:tcPr>
            <w:tcW w:w="3421" w:type="dxa"/>
          </w:tcPr>
          <w:p w14:paraId="6537B9A1" w14:textId="77777777" w:rsidR="008820D2" w:rsidRPr="00E12B61" w:rsidRDefault="008820D2" w:rsidP="0014104A">
            <w:pPr>
              <w:keepNext/>
              <w:spacing w:line="300" w:lineRule="auto"/>
              <w:rPr>
                <w:rFonts w:ascii="Arial" w:hAnsi="Arial" w:cs="Arial"/>
                <w:b/>
                <w:sz w:val="20"/>
                <w:szCs w:val="20"/>
              </w:rPr>
            </w:pPr>
            <w:r w:rsidRPr="00E12B61">
              <w:rPr>
                <w:rFonts w:ascii="Arial" w:hAnsi="Arial" w:cs="Arial"/>
                <w:sz w:val="20"/>
                <w:szCs w:val="20"/>
              </w:rPr>
              <w:t>Learning disability</w:t>
            </w:r>
          </w:p>
        </w:tc>
        <w:tc>
          <w:tcPr>
            <w:tcW w:w="1592" w:type="dxa"/>
            <w:vAlign w:val="bottom"/>
          </w:tcPr>
          <w:p w14:paraId="25D93ACB" w14:textId="43D176B1"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1,488</w:t>
            </w:r>
          </w:p>
        </w:tc>
        <w:tc>
          <w:tcPr>
            <w:tcW w:w="1593" w:type="dxa"/>
            <w:vAlign w:val="bottom"/>
          </w:tcPr>
          <w:p w14:paraId="19B14767" w14:textId="3FB20B8D"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3.8%</w:t>
            </w:r>
          </w:p>
        </w:tc>
        <w:tc>
          <w:tcPr>
            <w:tcW w:w="1593" w:type="dxa"/>
            <w:vAlign w:val="bottom"/>
          </w:tcPr>
          <w:p w14:paraId="410D0319" w14:textId="29DB3D46"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16.1%</w:t>
            </w:r>
          </w:p>
        </w:tc>
      </w:tr>
      <w:tr w:rsidR="008820D2" w:rsidRPr="00E12B61" w14:paraId="2B49BF52" w14:textId="77777777" w:rsidTr="008469E3">
        <w:trPr>
          <w:jc w:val="center"/>
        </w:trPr>
        <w:tc>
          <w:tcPr>
            <w:tcW w:w="3421" w:type="dxa"/>
          </w:tcPr>
          <w:p w14:paraId="534F75BB" w14:textId="77777777" w:rsidR="008820D2" w:rsidRPr="00E12B61" w:rsidRDefault="008820D2" w:rsidP="0014104A">
            <w:pPr>
              <w:keepNext/>
              <w:spacing w:line="300" w:lineRule="auto"/>
              <w:rPr>
                <w:rFonts w:ascii="Arial" w:hAnsi="Arial" w:cs="Arial"/>
                <w:b/>
                <w:sz w:val="20"/>
                <w:szCs w:val="20"/>
              </w:rPr>
            </w:pPr>
            <w:r w:rsidRPr="00E12B61">
              <w:rPr>
                <w:rFonts w:ascii="Arial" w:hAnsi="Arial" w:cs="Arial"/>
                <w:sz w:val="20"/>
                <w:szCs w:val="20"/>
              </w:rPr>
              <w:t>Mental health problem</w:t>
            </w:r>
          </w:p>
        </w:tc>
        <w:tc>
          <w:tcPr>
            <w:tcW w:w="1592" w:type="dxa"/>
            <w:vAlign w:val="bottom"/>
          </w:tcPr>
          <w:p w14:paraId="2A647275" w14:textId="2257AEE4"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2,634</w:t>
            </w:r>
          </w:p>
        </w:tc>
        <w:tc>
          <w:tcPr>
            <w:tcW w:w="1593" w:type="dxa"/>
            <w:vAlign w:val="bottom"/>
          </w:tcPr>
          <w:p w14:paraId="6A87BF14" w14:textId="78463921"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6.8%</w:t>
            </w:r>
          </w:p>
        </w:tc>
        <w:tc>
          <w:tcPr>
            <w:tcW w:w="1593" w:type="dxa"/>
            <w:vAlign w:val="bottom"/>
          </w:tcPr>
          <w:p w14:paraId="74BA5487" w14:textId="6716477B"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28.4%</w:t>
            </w:r>
          </w:p>
        </w:tc>
      </w:tr>
      <w:tr w:rsidR="008820D2" w:rsidRPr="00E12B61" w14:paraId="5D4C893C" w14:textId="77777777" w:rsidTr="008469E3">
        <w:trPr>
          <w:jc w:val="center"/>
        </w:trPr>
        <w:tc>
          <w:tcPr>
            <w:tcW w:w="3421" w:type="dxa"/>
          </w:tcPr>
          <w:p w14:paraId="473D856E" w14:textId="77777777" w:rsidR="008820D2" w:rsidRPr="00E12B61" w:rsidRDefault="008820D2" w:rsidP="0014104A">
            <w:pPr>
              <w:keepNext/>
              <w:spacing w:line="300" w:lineRule="auto"/>
              <w:rPr>
                <w:rFonts w:ascii="Arial" w:hAnsi="Arial" w:cs="Arial"/>
                <w:b/>
                <w:sz w:val="20"/>
                <w:szCs w:val="20"/>
              </w:rPr>
            </w:pPr>
            <w:r w:rsidRPr="00E12B61">
              <w:rPr>
                <w:rFonts w:ascii="Arial" w:hAnsi="Arial" w:cs="Arial"/>
                <w:sz w:val="20"/>
                <w:szCs w:val="20"/>
              </w:rPr>
              <w:t>Visual/hearing impairment</w:t>
            </w:r>
          </w:p>
        </w:tc>
        <w:tc>
          <w:tcPr>
            <w:tcW w:w="1592" w:type="dxa"/>
            <w:vAlign w:val="bottom"/>
          </w:tcPr>
          <w:p w14:paraId="1E34A23B" w14:textId="7A91B9BF"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1,540</w:t>
            </w:r>
          </w:p>
        </w:tc>
        <w:tc>
          <w:tcPr>
            <w:tcW w:w="1593" w:type="dxa"/>
            <w:vAlign w:val="bottom"/>
          </w:tcPr>
          <w:p w14:paraId="64408008" w14:textId="00964E20"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3.9%</w:t>
            </w:r>
          </w:p>
        </w:tc>
        <w:tc>
          <w:tcPr>
            <w:tcW w:w="1593" w:type="dxa"/>
            <w:vAlign w:val="bottom"/>
          </w:tcPr>
          <w:p w14:paraId="197CA181" w14:textId="28E7B7BB"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16.6%</w:t>
            </w:r>
          </w:p>
        </w:tc>
      </w:tr>
      <w:tr w:rsidR="008820D2" w:rsidRPr="00E12B61" w14:paraId="5C06E1AE" w14:textId="77777777" w:rsidTr="008469E3">
        <w:trPr>
          <w:jc w:val="center"/>
        </w:trPr>
        <w:tc>
          <w:tcPr>
            <w:tcW w:w="3421" w:type="dxa"/>
          </w:tcPr>
          <w:p w14:paraId="5C39A58D" w14:textId="77777777" w:rsidR="008820D2" w:rsidRPr="00E12B61" w:rsidRDefault="008820D2" w:rsidP="0014104A">
            <w:pPr>
              <w:keepNext/>
              <w:spacing w:line="300" w:lineRule="auto"/>
              <w:rPr>
                <w:rFonts w:ascii="Arial" w:hAnsi="Arial" w:cs="Arial"/>
                <w:b/>
                <w:sz w:val="20"/>
                <w:szCs w:val="20"/>
              </w:rPr>
            </w:pPr>
            <w:r w:rsidRPr="00E12B61">
              <w:rPr>
                <w:rFonts w:ascii="Arial" w:hAnsi="Arial" w:cs="Arial"/>
                <w:sz w:val="20"/>
                <w:szCs w:val="20"/>
              </w:rPr>
              <w:t>Asthmatic/respiratory problem</w:t>
            </w:r>
          </w:p>
        </w:tc>
        <w:tc>
          <w:tcPr>
            <w:tcW w:w="1592" w:type="dxa"/>
            <w:vAlign w:val="bottom"/>
          </w:tcPr>
          <w:p w14:paraId="2A90FB80" w14:textId="42F4E1DD"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2,661</w:t>
            </w:r>
          </w:p>
        </w:tc>
        <w:tc>
          <w:tcPr>
            <w:tcW w:w="1593" w:type="dxa"/>
            <w:vAlign w:val="bottom"/>
          </w:tcPr>
          <w:p w14:paraId="170D18D9" w14:textId="0B15A5DC"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6.8%</w:t>
            </w:r>
          </w:p>
        </w:tc>
        <w:tc>
          <w:tcPr>
            <w:tcW w:w="1593" w:type="dxa"/>
            <w:vAlign w:val="bottom"/>
          </w:tcPr>
          <w:p w14:paraId="6C7EEAE9" w14:textId="0A15FB8D"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28.7%</w:t>
            </w:r>
          </w:p>
        </w:tc>
      </w:tr>
      <w:tr w:rsidR="008820D2" w:rsidRPr="00E12B61" w14:paraId="23F23373" w14:textId="77777777" w:rsidTr="008469E3">
        <w:trPr>
          <w:jc w:val="center"/>
        </w:trPr>
        <w:tc>
          <w:tcPr>
            <w:tcW w:w="3421" w:type="dxa"/>
          </w:tcPr>
          <w:p w14:paraId="0F0CC5ED" w14:textId="77777777" w:rsidR="008820D2" w:rsidRPr="00E12B61" w:rsidRDefault="008820D2" w:rsidP="0014104A">
            <w:pPr>
              <w:keepNext/>
              <w:spacing w:line="300" w:lineRule="auto"/>
              <w:rPr>
                <w:rFonts w:ascii="Arial" w:hAnsi="Arial" w:cs="Arial"/>
                <w:b/>
                <w:sz w:val="20"/>
                <w:szCs w:val="20"/>
              </w:rPr>
            </w:pPr>
            <w:r w:rsidRPr="00E12B61">
              <w:rPr>
                <w:rFonts w:ascii="Arial" w:hAnsi="Arial" w:cs="Arial"/>
                <w:sz w:val="20"/>
                <w:szCs w:val="20"/>
              </w:rPr>
              <w:t>Other physical disability</w:t>
            </w:r>
          </w:p>
        </w:tc>
        <w:tc>
          <w:tcPr>
            <w:tcW w:w="1592" w:type="dxa"/>
            <w:vAlign w:val="bottom"/>
          </w:tcPr>
          <w:p w14:paraId="7811D648" w14:textId="681B88F2"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3,922</w:t>
            </w:r>
          </w:p>
        </w:tc>
        <w:tc>
          <w:tcPr>
            <w:tcW w:w="1593" w:type="dxa"/>
            <w:vAlign w:val="bottom"/>
          </w:tcPr>
          <w:p w14:paraId="5F568968" w14:textId="51B3937F"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10.1%</w:t>
            </w:r>
          </w:p>
        </w:tc>
        <w:tc>
          <w:tcPr>
            <w:tcW w:w="1593" w:type="dxa"/>
            <w:vAlign w:val="bottom"/>
          </w:tcPr>
          <w:p w14:paraId="15E2415C" w14:textId="198CBB28"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42.4%</w:t>
            </w:r>
          </w:p>
        </w:tc>
      </w:tr>
      <w:tr w:rsidR="008820D2" w:rsidRPr="00E12B61" w14:paraId="600E0188" w14:textId="77777777" w:rsidTr="008469E3">
        <w:trPr>
          <w:jc w:val="center"/>
        </w:trPr>
        <w:tc>
          <w:tcPr>
            <w:tcW w:w="3421" w:type="dxa"/>
          </w:tcPr>
          <w:p w14:paraId="1DAC9221" w14:textId="77777777" w:rsidR="008820D2" w:rsidRPr="00E12B61" w:rsidRDefault="008820D2" w:rsidP="0014104A">
            <w:pPr>
              <w:keepNext/>
              <w:spacing w:line="300" w:lineRule="auto"/>
              <w:rPr>
                <w:rFonts w:ascii="Arial" w:hAnsi="Arial" w:cs="Arial"/>
                <w:b/>
                <w:sz w:val="20"/>
                <w:szCs w:val="20"/>
              </w:rPr>
            </w:pPr>
            <w:r w:rsidRPr="00E12B61">
              <w:rPr>
                <w:rFonts w:ascii="Arial" w:hAnsi="Arial" w:cs="Arial"/>
                <w:sz w:val="20"/>
                <w:szCs w:val="20"/>
              </w:rPr>
              <w:t>Limiting long-term illness</w:t>
            </w:r>
          </w:p>
        </w:tc>
        <w:tc>
          <w:tcPr>
            <w:tcW w:w="1592" w:type="dxa"/>
            <w:vAlign w:val="bottom"/>
          </w:tcPr>
          <w:p w14:paraId="006EBD2E" w14:textId="335889D0"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4,171</w:t>
            </w:r>
          </w:p>
        </w:tc>
        <w:tc>
          <w:tcPr>
            <w:tcW w:w="1593" w:type="dxa"/>
            <w:vAlign w:val="bottom"/>
          </w:tcPr>
          <w:p w14:paraId="335C423D" w14:textId="63EE8C37"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10.7%</w:t>
            </w:r>
          </w:p>
        </w:tc>
        <w:tc>
          <w:tcPr>
            <w:tcW w:w="1593" w:type="dxa"/>
            <w:vAlign w:val="bottom"/>
          </w:tcPr>
          <w:p w14:paraId="7565DE4C" w14:textId="1BC20722" w:rsidR="008820D2" w:rsidRPr="008820D2" w:rsidRDefault="008820D2" w:rsidP="0014104A">
            <w:pPr>
              <w:keepNext/>
              <w:spacing w:line="300" w:lineRule="auto"/>
              <w:jc w:val="center"/>
              <w:rPr>
                <w:rFonts w:ascii="Arial" w:hAnsi="Arial" w:cs="Arial"/>
                <w:color w:val="000000"/>
                <w:sz w:val="20"/>
                <w:szCs w:val="20"/>
              </w:rPr>
            </w:pPr>
            <w:r w:rsidRPr="008820D2">
              <w:rPr>
                <w:rFonts w:ascii="Arial" w:hAnsi="Arial" w:cs="Arial"/>
                <w:color w:val="000000"/>
                <w:sz w:val="20"/>
                <w:szCs w:val="20"/>
              </w:rPr>
              <w:t>45.0%</w:t>
            </w:r>
          </w:p>
        </w:tc>
      </w:tr>
    </w:tbl>
    <w:p w14:paraId="145DA0A4" w14:textId="59C92F64" w:rsidR="00CC789D" w:rsidRDefault="00AB789F" w:rsidP="00172F56">
      <w:pPr>
        <w:pStyle w:val="Reporttext0"/>
        <w:keepLines w:val="0"/>
        <w:widowControl w:val="0"/>
        <w:numPr>
          <w:ilvl w:val="0"/>
          <w:numId w:val="0"/>
        </w:numPr>
        <w:spacing w:line="300" w:lineRule="auto"/>
        <w:ind w:left="720" w:hanging="720"/>
        <w:jc w:val="center"/>
        <w:rPr>
          <w:rFonts w:ascii="Arial" w:hAnsi="Arial" w:cs="Arial"/>
          <w:iCs/>
          <w:sz w:val="20"/>
        </w:rPr>
      </w:pPr>
      <w:r>
        <w:rPr>
          <w:rFonts w:ascii="Arial" w:hAnsi="Arial" w:cs="Arial"/>
          <w:iCs/>
          <w:sz w:val="20"/>
        </w:rPr>
        <w:t>Source: Household survey</w:t>
      </w:r>
    </w:p>
    <w:p w14:paraId="197F435C" w14:textId="77777777" w:rsidR="008820D2" w:rsidRPr="00E12B61" w:rsidRDefault="008820D2" w:rsidP="00172F56">
      <w:pPr>
        <w:spacing w:line="300" w:lineRule="auto"/>
        <w:jc w:val="both"/>
        <w:rPr>
          <w:rFonts w:ascii="Arial" w:hAnsi="Arial" w:cs="Arial"/>
          <w:sz w:val="20"/>
          <w:szCs w:val="20"/>
          <w:lang w:eastAsia="ja-JP"/>
        </w:rPr>
      </w:pPr>
    </w:p>
    <w:p w14:paraId="66E86C12" w14:textId="4FB6A8B4" w:rsidR="00CC789D" w:rsidRPr="008820D2" w:rsidRDefault="00CC789D">
      <w:pPr>
        <w:pStyle w:val="11Bodytext"/>
        <w:numPr>
          <w:ilvl w:val="1"/>
          <w:numId w:val="65"/>
        </w:numPr>
        <w:spacing w:before="0" w:after="0" w:line="300" w:lineRule="auto"/>
        <w:ind w:left="720" w:hanging="720"/>
        <w:rPr>
          <w:color w:val="auto"/>
        </w:rPr>
      </w:pPr>
      <w:r w:rsidRPr="00E12B61">
        <w:t>T</w:t>
      </w:r>
      <w:r w:rsidR="008820D2">
        <w:t>he t</w:t>
      </w:r>
      <w:r w:rsidRPr="00E12B61">
        <w:t xml:space="preserve">able below shows the locations of households with support needs from the survey data. There </w:t>
      </w:r>
      <w:r w:rsidR="008820D2">
        <w:t xml:space="preserve">are some differences between areas with rural locations tending to see lower levels of support needs; then highest levels were found in Wesham, followed by </w:t>
      </w:r>
      <w:r w:rsidR="00432414">
        <w:t>St. Annes</w:t>
      </w:r>
      <w:r w:rsidR="008820D2">
        <w:t xml:space="preserve"> – this area containing 40% of all support needs </w:t>
      </w:r>
      <w:r w:rsidR="00432414">
        <w:t>households</w:t>
      </w:r>
      <w:r w:rsidR="008820D2">
        <w:t xml:space="preserve"> in the Borough.</w:t>
      </w:r>
    </w:p>
    <w:p w14:paraId="48C2518D" w14:textId="7F8CACF2" w:rsidR="008820D2" w:rsidRDefault="008820D2" w:rsidP="00172F56">
      <w:pPr>
        <w:pStyle w:val="11Bodytext"/>
        <w:numPr>
          <w:ilvl w:val="0"/>
          <w:numId w:val="0"/>
        </w:numPr>
        <w:spacing w:before="0" w:after="0" w:line="300" w:lineRule="auto"/>
      </w:pPr>
    </w:p>
    <w:tbl>
      <w:tblPr>
        <w:tblStyle w:val="TableGrid10"/>
        <w:tblW w:w="8199" w:type="dxa"/>
        <w:jc w:val="center"/>
        <w:tblLook w:val="04A0" w:firstRow="1" w:lastRow="0" w:firstColumn="1" w:lastColumn="0" w:noHBand="0" w:noVBand="1"/>
      </w:tblPr>
      <w:tblGrid>
        <w:gridCol w:w="2049"/>
        <w:gridCol w:w="2050"/>
        <w:gridCol w:w="2050"/>
        <w:gridCol w:w="2050"/>
      </w:tblGrid>
      <w:tr w:rsidR="008820D2" w:rsidRPr="008820D2" w14:paraId="5EB73A9D" w14:textId="77777777" w:rsidTr="008469E3">
        <w:trPr>
          <w:jc w:val="center"/>
        </w:trPr>
        <w:tc>
          <w:tcPr>
            <w:tcW w:w="8199" w:type="dxa"/>
            <w:gridSpan w:val="4"/>
          </w:tcPr>
          <w:p w14:paraId="1954C947" w14:textId="6397A1A2" w:rsidR="008820D2" w:rsidRPr="008820D2" w:rsidRDefault="008820D2" w:rsidP="0014104A">
            <w:pPr>
              <w:keepNext/>
              <w:spacing w:before="60" w:after="60"/>
              <w:jc w:val="center"/>
              <w:rPr>
                <w:rFonts w:ascii="Arial" w:hAnsi="Arial" w:cs="Arial"/>
                <w:b/>
                <w:bCs/>
                <w:sz w:val="20"/>
                <w:szCs w:val="20"/>
                <w:lang w:eastAsia="ja-JP"/>
              </w:rPr>
            </w:pPr>
            <w:r w:rsidRPr="008820D2">
              <w:rPr>
                <w:rFonts w:ascii="Arial" w:hAnsi="Arial" w:cs="Arial"/>
                <w:b/>
                <w:bCs/>
                <w:sz w:val="20"/>
                <w:szCs w:val="20"/>
                <w:lang w:eastAsia="ja-JP"/>
              </w:rPr>
              <w:t>Figure 6.</w:t>
            </w:r>
            <w:r w:rsidR="00AD29A6">
              <w:rPr>
                <w:rFonts w:ascii="Arial" w:hAnsi="Arial" w:cs="Arial"/>
                <w:b/>
                <w:bCs/>
                <w:sz w:val="20"/>
                <w:szCs w:val="20"/>
                <w:lang w:eastAsia="ja-JP"/>
              </w:rPr>
              <w:t>2</w:t>
            </w:r>
            <w:r w:rsidRPr="008820D2">
              <w:rPr>
                <w:rFonts w:ascii="Arial" w:hAnsi="Arial" w:cs="Arial"/>
                <w:b/>
                <w:bCs/>
                <w:sz w:val="20"/>
                <w:szCs w:val="20"/>
                <w:lang w:eastAsia="ja-JP"/>
              </w:rPr>
              <w:t>: Households with support needs by sub-area</w:t>
            </w:r>
          </w:p>
        </w:tc>
      </w:tr>
      <w:tr w:rsidR="008820D2" w14:paraId="09917C89" w14:textId="77777777" w:rsidTr="008820D2">
        <w:trPr>
          <w:jc w:val="center"/>
        </w:trPr>
        <w:tc>
          <w:tcPr>
            <w:tcW w:w="2049" w:type="dxa"/>
          </w:tcPr>
          <w:p w14:paraId="36507DF7" w14:textId="77777777" w:rsidR="008820D2" w:rsidRPr="008820D2" w:rsidRDefault="008820D2" w:rsidP="0014104A">
            <w:pPr>
              <w:keepNext/>
              <w:rPr>
                <w:rFonts w:ascii="Arial" w:hAnsi="Arial" w:cs="Arial"/>
                <w:sz w:val="20"/>
                <w:szCs w:val="20"/>
                <w:lang w:eastAsia="ja-JP"/>
              </w:rPr>
            </w:pPr>
          </w:p>
        </w:tc>
        <w:tc>
          <w:tcPr>
            <w:tcW w:w="2050" w:type="dxa"/>
            <w:vAlign w:val="center"/>
          </w:tcPr>
          <w:p w14:paraId="48FD39E8" w14:textId="1D1D76C7" w:rsidR="008820D2" w:rsidRPr="008820D2" w:rsidRDefault="008820D2" w:rsidP="0014104A">
            <w:pPr>
              <w:keepNext/>
              <w:jc w:val="center"/>
              <w:rPr>
                <w:rFonts w:ascii="Arial" w:hAnsi="Arial" w:cs="Arial"/>
                <w:sz w:val="20"/>
                <w:szCs w:val="20"/>
                <w:lang w:eastAsia="ja-JP"/>
              </w:rPr>
            </w:pPr>
            <w:r w:rsidRPr="008820D2">
              <w:rPr>
                <w:rFonts w:ascii="Arial" w:hAnsi="Arial" w:cs="Arial"/>
                <w:sz w:val="20"/>
                <w:szCs w:val="20"/>
              </w:rPr>
              <w:t>Number of households</w:t>
            </w:r>
            <w:r>
              <w:rPr>
                <w:rFonts w:ascii="Arial" w:hAnsi="Arial" w:cs="Arial"/>
                <w:sz w:val="20"/>
                <w:szCs w:val="20"/>
              </w:rPr>
              <w:t xml:space="preserve"> with support needs</w:t>
            </w:r>
          </w:p>
        </w:tc>
        <w:tc>
          <w:tcPr>
            <w:tcW w:w="2050" w:type="dxa"/>
            <w:vAlign w:val="center"/>
          </w:tcPr>
          <w:p w14:paraId="35A35691" w14:textId="581C82AA" w:rsidR="008820D2" w:rsidRPr="008820D2" w:rsidRDefault="008820D2" w:rsidP="0014104A">
            <w:pPr>
              <w:keepNext/>
              <w:jc w:val="center"/>
              <w:rPr>
                <w:rFonts w:ascii="Arial" w:hAnsi="Arial" w:cs="Arial"/>
                <w:sz w:val="20"/>
                <w:szCs w:val="20"/>
                <w:lang w:eastAsia="ja-JP"/>
              </w:rPr>
            </w:pPr>
            <w:r w:rsidRPr="008820D2">
              <w:rPr>
                <w:rFonts w:ascii="Arial" w:hAnsi="Arial" w:cs="Arial"/>
                <w:sz w:val="20"/>
                <w:szCs w:val="20"/>
              </w:rPr>
              <w:t>% of all households</w:t>
            </w:r>
          </w:p>
        </w:tc>
        <w:tc>
          <w:tcPr>
            <w:tcW w:w="2050" w:type="dxa"/>
            <w:vAlign w:val="center"/>
          </w:tcPr>
          <w:p w14:paraId="563CD7FC" w14:textId="58CDA86C" w:rsidR="008820D2" w:rsidRPr="008820D2" w:rsidRDefault="008820D2" w:rsidP="0014104A">
            <w:pPr>
              <w:keepNext/>
              <w:jc w:val="center"/>
              <w:rPr>
                <w:rFonts w:ascii="Arial" w:hAnsi="Arial" w:cs="Arial"/>
                <w:sz w:val="20"/>
                <w:szCs w:val="20"/>
                <w:lang w:eastAsia="ja-JP"/>
              </w:rPr>
            </w:pPr>
            <w:r w:rsidRPr="008820D2">
              <w:rPr>
                <w:rFonts w:ascii="Arial" w:hAnsi="Arial" w:cs="Arial"/>
                <w:sz w:val="20"/>
                <w:szCs w:val="20"/>
              </w:rPr>
              <w:t>% of support needs households</w:t>
            </w:r>
          </w:p>
        </w:tc>
      </w:tr>
      <w:tr w:rsidR="008820D2" w14:paraId="2B18967F" w14:textId="77777777" w:rsidTr="008820D2">
        <w:trPr>
          <w:jc w:val="center"/>
        </w:trPr>
        <w:tc>
          <w:tcPr>
            <w:tcW w:w="2049" w:type="dxa"/>
          </w:tcPr>
          <w:p w14:paraId="2D635722" w14:textId="78F6529D" w:rsidR="008820D2" w:rsidRPr="008820D2" w:rsidRDefault="00432414" w:rsidP="0014104A">
            <w:pPr>
              <w:keepNext/>
              <w:rPr>
                <w:rFonts w:ascii="Arial" w:hAnsi="Arial" w:cs="Arial"/>
                <w:sz w:val="20"/>
                <w:szCs w:val="20"/>
                <w:lang w:eastAsia="ja-JP"/>
              </w:rPr>
            </w:pPr>
            <w:r>
              <w:rPr>
                <w:rFonts w:ascii="Arial" w:hAnsi="Arial" w:cs="Arial"/>
                <w:color w:val="000000"/>
                <w:sz w:val="20"/>
                <w:szCs w:val="20"/>
              </w:rPr>
              <w:t>St. Annes</w:t>
            </w:r>
          </w:p>
        </w:tc>
        <w:tc>
          <w:tcPr>
            <w:tcW w:w="2050" w:type="dxa"/>
            <w:vAlign w:val="center"/>
          </w:tcPr>
          <w:p w14:paraId="57127224" w14:textId="2D0E8783"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3,715</w:t>
            </w:r>
          </w:p>
        </w:tc>
        <w:tc>
          <w:tcPr>
            <w:tcW w:w="2050" w:type="dxa"/>
            <w:vAlign w:val="center"/>
          </w:tcPr>
          <w:p w14:paraId="79B1B128" w14:textId="21718229"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26.9%</w:t>
            </w:r>
          </w:p>
        </w:tc>
        <w:tc>
          <w:tcPr>
            <w:tcW w:w="2050" w:type="dxa"/>
            <w:vAlign w:val="center"/>
          </w:tcPr>
          <w:p w14:paraId="30E642D1" w14:textId="1A9B2302"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40.1%</w:t>
            </w:r>
          </w:p>
        </w:tc>
      </w:tr>
      <w:tr w:rsidR="008820D2" w14:paraId="43F433B8" w14:textId="77777777" w:rsidTr="008820D2">
        <w:trPr>
          <w:jc w:val="center"/>
        </w:trPr>
        <w:tc>
          <w:tcPr>
            <w:tcW w:w="2049" w:type="dxa"/>
          </w:tcPr>
          <w:p w14:paraId="69524E24" w14:textId="245FDC73" w:rsidR="008820D2" w:rsidRPr="008820D2" w:rsidRDefault="008820D2" w:rsidP="0014104A">
            <w:pPr>
              <w:keepNext/>
              <w:rPr>
                <w:rFonts w:ascii="Arial" w:hAnsi="Arial" w:cs="Arial"/>
                <w:sz w:val="20"/>
                <w:szCs w:val="20"/>
                <w:lang w:eastAsia="ja-JP"/>
              </w:rPr>
            </w:pPr>
            <w:r w:rsidRPr="008820D2">
              <w:rPr>
                <w:rFonts w:ascii="Arial" w:hAnsi="Arial" w:cs="Arial"/>
                <w:color w:val="000000"/>
                <w:sz w:val="20"/>
                <w:szCs w:val="20"/>
              </w:rPr>
              <w:t>Lytham</w:t>
            </w:r>
          </w:p>
        </w:tc>
        <w:tc>
          <w:tcPr>
            <w:tcW w:w="2050" w:type="dxa"/>
            <w:vAlign w:val="center"/>
          </w:tcPr>
          <w:p w14:paraId="158CAA46" w14:textId="4C9ABB79"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1,754</w:t>
            </w:r>
          </w:p>
        </w:tc>
        <w:tc>
          <w:tcPr>
            <w:tcW w:w="2050" w:type="dxa"/>
            <w:vAlign w:val="center"/>
          </w:tcPr>
          <w:p w14:paraId="506D082F" w14:textId="6716F030"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20.6%</w:t>
            </w:r>
          </w:p>
        </w:tc>
        <w:tc>
          <w:tcPr>
            <w:tcW w:w="2050" w:type="dxa"/>
            <w:vAlign w:val="center"/>
          </w:tcPr>
          <w:p w14:paraId="01DFDB3B" w14:textId="76095C77"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18.9%</w:t>
            </w:r>
          </w:p>
        </w:tc>
      </w:tr>
      <w:tr w:rsidR="008820D2" w14:paraId="3872AA46" w14:textId="77777777" w:rsidTr="008820D2">
        <w:trPr>
          <w:jc w:val="center"/>
        </w:trPr>
        <w:tc>
          <w:tcPr>
            <w:tcW w:w="2049" w:type="dxa"/>
          </w:tcPr>
          <w:p w14:paraId="0A70F9E5" w14:textId="0C98DC15" w:rsidR="008820D2" w:rsidRPr="008820D2" w:rsidRDefault="008820D2" w:rsidP="0014104A">
            <w:pPr>
              <w:keepNext/>
              <w:rPr>
                <w:rFonts w:ascii="Arial" w:hAnsi="Arial" w:cs="Arial"/>
                <w:sz w:val="20"/>
                <w:szCs w:val="20"/>
                <w:lang w:eastAsia="ja-JP"/>
              </w:rPr>
            </w:pPr>
            <w:r w:rsidRPr="008820D2">
              <w:rPr>
                <w:rFonts w:ascii="Arial" w:hAnsi="Arial" w:cs="Arial"/>
                <w:color w:val="000000"/>
                <w:sz w:val="20"/>
                <w:szCs w:val="20"/>
              </w:rPr>
              <w:t>Warton</w:t>
            </w:r>
          </w:p>
        </w:tc>
        <w:tc>
          <w:tcPr>
            <w:tcW w:w="2050" w:type="dxa"/>
            <w:vAlign w:val="center"/>
          </w:tcPr>
          <w:p w14:paraId="2B2F8B80" w14:textId="602D4B2C"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491</w:t>
            </w:r>
          </w:p>
        </w:tc>
        <w:tc>
          <w:tcPr>
            <w:tcW w:w="2050" w:type="dxa"/>
            <w:vAlign w:val="center"/>
          </w:tcPr>
          <w:p w14:paraId="5A078803" w14:textId="44A9C042"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22.9%</w:t>
            </w:r>
          </w:p>
        </w:tc>
        <w:tc>
          <w:tcPr>
            <w:tcW w:w="2050" w:type="dxa"/>
            <w:vAlign w:val="center"/>
          </w:tcPr>
          <w:p w14:paraId="6DF9C51C" w14:textId="3F4185AF"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5.3%</w:t>
            </w:r>
          </w:p>
        </w:tc>
      </w:tr>
      <w:tr w:rsidR="008820D2" w14:paraId="0607C2BF" w14:textId="77777777" w:rsidTr="008820D2">
        <w:trPr>
          <w:jc w:val="center"/>
        </w:trPr>
        <w:tc>
          <w:tcPr>
            <w:tcW w:w="2049" w:type="dxa"/>
          </w:tcPr>
          <w:p w14:paraId="21FB1FCA" w14:textId="5F3FBCDC" w:rsidR="008820D2" w:rsidRPr="008820D2" w:rsidRDefault="008820D2" w:rsidP="0014104A">
            <w:pPr>
              <w:keepNext/>
              <w:rPr>
                <w:rFonts w:ascii="Arial" w:hAnsi="Arial" w:cs="Arial"/>
                <w:sz w:val="20"/>
                <w:szCs w:val="20"/>
                <w:lang w:eastAsia="ja-JP"/>
              </w:rPr>
            </w:pPr>
            <w:r w:rsidRPr="008820D2">
              <w:rPr>
                <w:rFonts w:ascii="Arial" w:hAnsi="Arial" w:cs="Arial"/>
                <w:color w:val="000000"/>
                <w:sz w:val="20"/>
                <w:szCs w:val="20"/>
              </w:rPr>
              <w:t>FB Periphery</w:t>
            </w:r>
          </w:p>
        </w:tc>
        <w:tc>
          <w:tcPr>
            <w:tcW w:w="2050" w:type="dxa"/>
            <w:vAlign w:val="center"/>
          </w:tcPr>
          <w:p w14:paraId="39FF527D" w14:textId="4FB25F05"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235</w:t>
            </w:r>
          </w:p>
        </w:tc>
        <w:tc>
          <w:tcPr>
            <w:tcW w:w="2050" w:type="dxa"/>
            <w:vAlign w:val="center"/>
          </w:tcPr>
          <w:p w14:paraId="130C518A" w14:textId="08F4117F"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20.9%</w:t>
            </w:r>
          </w:p>
        </w:tc>
        <w:tc>
          <w:tcPr>
            <w:tcW w:w="2050" w:type="dxa"/>
            <w:vAlign w:val="center"/>
          </w:tcPr>
          <w:p w14:paraId="5AA0E396" w14:textId="164FDDFA"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2.5%</w:t>
            </w:r>
          </w:p>
        </w:tc>
      </w:tr>
      <w:tr w:rsidR="008820D2" w14:paraId="7CA3FC33" w14:textId="77777777" w:rsidTr="008820D2">
        <w:trPr>
          <w:jc w:val="center"/>
        </w:trPr>
        <w:tc>
          <w:tcPr>
            <w:tcW w:w="2049" w:type="dxa"/>
          </w:tcPr>
          <w:p w14:paraId="72C6DD6B" w14:textId="2B3D3CB5" w:rsidR="008820D2" w:rsidRPr="008820D2" w:rsidRDefault="008820D2" w:rsidP="0014104A">
            <w:pPr>
              <w:keepNext/>
              <w:rPr>
                <w:rFonts w:ascii="Arial" w:hAnsi="Arial" w:cs="Arial"/>
                <w:sz w:val="20"/>
                <w:szCs w:val="20"/>
                <w:lang w:eastAsia="ja-JP"/>
              </w:rPr>
            </w:pPr>
            <w:r w:rsidRPr="008820D2">
              <w:rPr>
                <w:rFonts w:ascii="Arial" w:hAnsi="Arial" w:cs="Arial"/>
                <w:color w:val="000000"/>
                <w:sz w:val="20"/>
                <w:szCs w:val="20"/>
              </w:rPr>
              <w:t>Kirkham</w:t>
            </w:r>
          </w:p>
        </w:tc>
        <w:tc>
          <w:tcPr>
            <w:tcW w:w="2050" w:type="dxa"/>
            <w:vAlign w:val="center"/>
          </w:tcPr>
          <w:p w14:paraId="52294F60" w14:textId="11037313"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763</w:t>
            </w:r>
          </w:p>
        </w:tc>
        <w:tc>
          <w:tcPr>
            <w:tcW w:w="2050" w:type="dxa"/>
            <w:vAlign w:val="center"/>
          </w:tcPr>
          <w:p w14:paraId="15D6F94F" w14:textId="4C625CAB"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23.2%</w:t>
            </w:r>
          </w:p>
        </w:tc>
        <w:tc>
          <w:tcPr>
            <w:tcW w:w="2050" w:type="dxa"/>
            <w:vAlign w:val="center"/>
          </w:tcPr>
          <w:p w14:paraId="73270099" w14:textId="7489F1DF"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8.2%</w:t>
            </w:r>
          </w:p>
        </w:tc>
      </w:tr>
      <w:tr w:rsidR="008820D2" w14:paraId="110AD9D3" w14:textId="77777777" w:rsidTr="008820D2">
        <w:trPr>
          <w:jc w:val="center"/>
        </w:trPr>
        <w:tc>
          <w:tcPr>
            <w:tcW w:w="2049" w:type="dxa"/>
          </w:tcPr>
          <w:p w14:paraId="3A0F3334" w14:textId="674EBE19" w:rsidR="008820D2" w:rsidRPr="008820D2" w:rsidRDefault="008820D2" w:rsidP="0014104A">
            <w:pPr>
              <w:keepNext/>
              <w:rPr>
                <w:rFonts w:ascii="Arial" w:hAnsi="Arial" w:cs="Arial"/>
                <w:sz w:val="20"/>
                <w:szCs w:val="20"/>
                <w:lang w:eastAsia="ja-JP"/>
              </w:rPr>
            </w:pPr>
            <w:r w:rsidRPr="008820D2">
              <w:rPr>
                <w:rFonts w:ascii="Arial" w:hAnsi="Arial" w:cs="Arial"/>
                <w:color w:val="000000"/>
                <w:sz w:val="20"/>
                <w:szCs w:val="20"/>
              </w:rPr>
              <w:t>Wesham</w:t>
            </w:r>
          </w:p>
        </w:tc>
        <w:tc>
          <w:tcPr>
            <w:tcW w:w="2050" w:type="dxa"/>
            <w:vAlign w:val="center"/>
          </w:tcPr>
          <w:p w14:paraId="742C2356" w14:textId="6B10EB79"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525</w:t>
            </w:r>
          </w:p>
        </w:tc>
        <w:tc>
          <w:tcPr>
            <w:tcW w:w="2050" w:type="dxa"/>
            <w:vAlign w:val="center"/>
          </w:tcPr>
          <w:p w14:paraId="5C548517" w14:textId="03267DB7"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27.0%</w:t>
            </w:r>
          </w:p>
        </w:tc>
        <w:tc>
          <w:tcPr>
            <w:tcW w:w="2050" w:type="dxa"/>
            <w:vAlign w:val="center"/>
          </w:tcPr>
          <w:p w14:paraId="31829E18" w14:textId="76B19996"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5.7%</w:t>
            </w:r>
          </w:p>
        </w:tc>
      </w:tr>
      <w:tr w:rsidR="008820D2" w14:paraId="7F87D7EC" w14:textId="77777777" w:rsidTr="008820D2">
        <w:trPr>
          <w:jc w:val="center"/>
        </w:trPr>
        <w:tc>
          <w:tcPr>
            <w:tcW w:w="2049" w:type="dxa"/>
          </w:tcPr>
          <w:p w14:paraId="76ECC4A4" w14:textId="1973780A" w:rsidR="008820D2" w:rsidRPr="008820D2" w:rsidRDefault="008820D2" w:rsidP="0014104A">
            <w:pPr>
              <w:keepNext/>
              <w:rPr>
                <w:rFonts w:ascii="Arial" w:hAnsi="Arial" w:cs="Arial"/>
                <w:color w:val="000000"/>
                <w:sz w:val="20"/>
                <w:szCs w:val="20"/>
              </w:rPr>
            </w:pPr>
            <w:r w:rsidRPr="008820D2">
              <w:rPr>
                <w:rFonts w:ascii="Arial" w:hAnsi="Arial" w:cs="Arial"/>
                <w:color w:val="000000"/>
                <w:sz w:val="20"/>
                <w:szCs w:val="20"/>
              </w:rPr>
              <w:t>Freckleton</w:t>
            </w:r>
          </w:p>
        </w:tc>
        <w:tc>
          <w:tcPr>
            <w:tcW w:w="2050" w:type="dxa"/>
            <w:vAlign w:val="center"/>
          </w:tcPr>
          <w:p w14:paraId="7440BEA3" w14:textId="165E13F8"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644</w:t>
            </w:r>
          </w:p>
        </w:tc>
        <w:tc>
          <w:tcPr>
            <w:tcW w:w="2050" w:type="dxa"/>
            <w:vAlign w:val="center"/>
          </w:tcPr>
          <w:p w14:paraId="72DE652E" w14:textId="3230E10B"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24.0%</w:t>
            </w:r>
          </w:p>
        </w:tc>
        <w:tc>
          <w:tcPr>
            <w:tcW w:w="2050" w:type="dxa"/>
            <w:vAlign w:val="center"/>
          </w:tcPr>
          <w:p w14:paraId="58DC7A30" w14:textId="18363592"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7.0%</w:t>
            </w:r>
          </w:p>
        </w:tc>
      </w:tr>
      <w:tr w:rsidR="008820D2" w14:paraId="188D469E" w14:textId="77777777" w:rsidTr="008820D2">
        <w:trPr>
          <w:jc w:val="center"/>
        </w:trPr>
        <w:tc>
          <w:tcPr>
            <w:tcW w:w="2049" w:type="dxa"/>
          </w:tcPr>
          <w:p w14:paraId="1912B925" w14:textId="7EDAD6BD" w:rsidR="008820D2" w:rsidRPr="008820D2" w:rsidRDefault="008820D2" w:rsidP="0014104A">
            <w:pPr>
              <w:keepNext/>
              <w:rPr>
                <w:rFonts w:ascii="Arial" w:hAnsi="Arial" w:cs="Arial"/>
                <w:color w:val="000000"/>
                <w:sz w:val="20"/>
                <w:szCs w:val="20"/>
              </w:rPr>
            </w:pPr>
            <w:r w:rsidRPr="008820D2">
              <w:rPr>
                <w:rFonts w:ascii="Arial" w:hAnsi="Arial" w:cs="Arial"/>
                <w:color w:val="000000"/>
                <w:sz w:val="20"/>
                <w:szCs w:val="20"/>
              </w:rPr>
              <w:t>Rural North</w:t>
            </w:r>
          </w:p>
        </w:tc>
        <w:tc>
          <w:tcPr>
            <w:tcW w:w="2050" w:type="dxa"/>
            <w:vAlign w:val="center"/>
          </w:tcPr>
          <w:p w14:paraId="7E557CE8" w14:textId="72B1DBF5"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652</w:t>
            </w:r>
          </w:p>
        </w:tc>
        <w:tc>
          <w:tcPr>
            <w:tcW w:w="2050" w:type="dxa"/>
            <w:vAlign w:val="center"/>
          </w:tcPr>
          <w:p w14:paraId="30A5C086" w14:textId="2C502F81"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23.0%</w:t>
            </w:r>
          </w:p>
        </w:tc>
        <w:tc>
          <w:tcPr>
            <w:tcW w:w="2050" w:type="dxa"/>
            <w:vAlign w:val="center"/>
          </w:tcPr>
          <w:p w14:paraId="61D7B26A" w14:textId="1B3B381D"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7.0%</w:t>
            </w:r>
          </w:p>
        </w:tc>
      </w:tr>
      <w:tr w:rsidR="008820D2" w14:paraId="4E231A5C" w14:textId="77777777" w:rsidTr="008820D2">
        <w:trPr>
          <w:jc w:val="center"/>
        </w:trPr>
        <w:tc>
          <w:tcPr>
            <w:tcW w:w="2049" w:type="dxa"/>
          </w:tcPr>
          <w:p w14:paraId="3057B77D" w14:textId="33B7200D" w:rsidR="008820D2" w:rsidRPr="008820D2" w:rsidRDefault="008820D2" w:rsidP="0014104A">
            <w:pPr>
              <w:keepNext/>
              <w:rPr>
                <w:rFonts w:ascii="Arial" w:hAnsi="Arial" w:cs="Arial"/>
                <w:color w:val="000000"/>
                <w:sz w:val="20"/>
                <w:szCs w:val="20"/>
              </w:rPr>
            </w:pPr>
            <w:r w:rsidRPr="008820D2">
              <w:rPr>
                <w:rFonts w:ascii="Arial" w:hAnsi="Arial" w:cs="Arial"/>
                <w:color w:val="000000"/>
                <w:sz w:val="20"/>
                <w:szCs w:val="20"/>
              </w:rPr>
              <w:t>Rural West</w:t>
            </w:r>
          </w:p>
        </w:tc>
        <w:tc>
          <w:tcPr>
            <w:tcW w:w="2050" w:type="dxa"/>
            <w:vAlign w:val="center"/>
          </w:tcPr>
          <w:p w14:paraId="30271605" w14:textId="49E4789E"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241</w:t>
            </w:r>
          </w:p>
        </w:tc>
        <w:tc>
          <w:tcPr>
            <w:tcW w:w="2050" w:type="dxa"/>
            <w:vAlign w:val="center"/>
          </w:tcPr>
          <w:p w14:paraId="66848EF6" w14:textId="5CF41532"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18.2%</w:t>
            </w:r>
          </w:p>
        </w:tc>
        <w:tc>
          <w:tcPr>
            <w:tcW w:w="2050" w:type="dxa"/>
            <w:vAlign w:val="center"/>
          </w:tcPr>
          <w:p w14:paraId="066D68B5" w14:textId="1ADE0A2A"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2.6%</w:t>
            </w:r>
          </w:p>
        </w:tc>
      </w:tr>
      <w:tr w:rsidR="008820D2" w14:paraId="55686CB8" w14:textId="77777777" w:rsidTr="008820D2">
        <w:trPr>
          <w:jc w:val="center"/>
        </w:trPr>
        <w:tc>
          <w:tcPr>
            <w:tcW w:w="2049" w:type="dxa"/>
          </w:tcPr>
          <w:p w14:paraId="2575A208" w14:textId="221FBDF7" w:rsidR="008820D2" w:rsidRPr="008820D2" w:rsidRDefault="008820D2" w:rsidP="0014104A">
            <w:pPr>
              <w:keepNext/>
              <w:rPr>
                <w:rFonts w:ascii="Arial" w:hAnsi="Arial" w:cs="Arial"/>
                <w:color w:val="000000"/>
                <w:sz w:val="20"/>
                <w:szCs w:val="20"/>
              </w:rPr>
            </w:pPr>
            <w:r w:rsidRPr="008820D2">
              <w:rPr>
                <w:rFonts w:ascii="Arial" w:hAnsi="Arial" w:cs="Arial"/>
                <w:color w:val="000000"/>
                <w:sz w:val="20"/>
                <w:szCs w:val="20"/>
              </w:rPr>
              <w:t>Rural East</w:t>
            </w:r>
          </w:p>
        </w:tc>
        <w:tc>
          <w:tcPr>
            <w:tcW w:w="2050" w:type="dxa"/>
            <w:vAlign w:val="center"/>
          </w:tcPr>
          <w:p w14:paraId="2CD5DDD5" w14:textId="5338AF6B"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238</w:t>
            </w:r>
          </w:p>
        </w:tc>
        <w:tc>
          <w:tcPr>
            <w:tcW w:w="2050" w:type="dxa"/>
            <w:vAlign w:val="center"/>
          </w:tcPr>
          <w:p w14:paraId="23ABEE73" w14:textId="40AE849F"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17.6%</w:t>
            </w:r>
          </w:p>
        </w:tc>
        <w:tc>
          <w:tcPr>
            <w:tcW w:w="2050" w:type="dxa"/>
            <w:vAlign w:val="center"/>
          </w:tcPr>
          <w:p w14:paraId="15E782DA" w14:textId="02229F0F"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2.6%</w:t>
            </w:r>
          </w:p>
        </w:tc>
      </w:tr>
      <w:tr w:rsidR="008820D2" w14:paraId="5689377D" w14:textId="77777777" w:rsidTr="008820D2">
        <w:trPr>
          <w:jc w:val="center"/>
        </w:trPr>
        <w:tc>
          <w:tcPr>
            <w:tcW w:w="2049" w:type="dxa"/>
          </w:tcPr>
          <w:p w14:paraId="5BE8DD33" w14:textId="69229963" w:rsidR="008820D2" w:rsidRPr="008820D2" w:rsidRDefault="008820D2" w:rsidP="0014104A">
            <w:pPr>
              <w:keepNext/>
              <w:rPr>
                <w:rFonts w:ascii="Arial" w:hAnsi="Arial" w:cs="Arial"/>
                <w:color w:val="000000"/>
                <w:sz w:val="20"/>
                <w:szCs w:val="20"/>
              </w:rPr>
            </w:pPr>
            <w:r w:rsidRPr="008820D2">
              <w:rPr>
                <w:rFonts w:ascii="Arial" w:hAnsi="Arial" w:cs="Arial"/>
                <w:color w:val="000000"/>
                <w:sz w:val="20"/>
                <w:szCs w:val="20"/>
              </w:rPr>
              <w:t>TOTAL</w:t>
            </w:r>
          </w:p>
        </w:tc>
        <w:tc>
          <w:tcPr>
            <w:tcW w:w="2050" w:type="dxa"/>
            <w:vAlign w:val="center"/>
          </w:tcPr>
          <w:p w14:paraId="0F7ADAED" w14:textId="053CA705"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9,259</w:t>
            </w:r>
          </w:p>
        </w:tc>
        <w:tc>
          <w:tcPr>
            <w:tcW w:w="2050" w:type="dxa"/>
            <w:vAlign w:val="center"/>
          </w:tcPr>
          <w:p w14:paraId="772D7110" w14:textId="02E01083"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23.7%</w:t>
            </w:r>
          </w:p>
        </w:tc>
        <w:tc>
          <w:tcPr>
            <w:tcW w:w="2050" w:type="dxa"/>
            <w:vAlign w:val="center"/>
          </w:tcPr>
          <w:p w14:paraId="25577125" w14:textId="68E623B5" w:rsidR="008820D2" w:rsidRPr="008820D2" w:rsidRDefault="008820D2" w:rsidP="0014104A">
            <w:pPr>
              <w:keepNext/>
              <w:jc w:val="center"/>
              <w:rPr>
                <w:rFonts w:ascii="Arial" w:hAnsi="Arial" w:cs="Arial"/>
                <w:sz w:val="20"/>
                <w:szCs w:val="20"/>
                <w:lang w:eastAsia="ja-JP"/>
              </w:rPr>
            </w:pPr>
            <w:r w:rsidRPr="008820D2">
              <w:rPr>
                <w:rFonts w:ascii="Arial" w:hAnsi="Arial" w:cs="Arial"/>
                <w:color w:val="000000"/>
                <w:sz w:val="20"/>
                <w:szCs w:val="20"/>
              </w:rPr>
              <w:t>100.0%</w:t>
            </w:r>
          </w:p>
        </w:tc>
      </w:tr>
    </w:tbl>
    <w:p w14:paraId="0368BC15" w14:textId="2DD665B5" w:rsidR="008820D2" w:rsidRDefault="00AB789F" w:rsidP="00172F56">
      <w:pPr>
        <w:pStyle w:val="Reporttext0"/>
        <w:keepLines w:val="0"/>
        <w:widowControl w:val="0"/>
        <w:numPr>
          <w:ilvl w:val="0"/>
          <w:numId w:val="0"/>
        </w:numPr>
        <w:spacing w:line="300" w:lineRule="auto"/>
        <w:ind w:left="720" w:hanging="720"/>
        <w:jc w:val="center"/>
        <w:rPr>
          <w:rFonts w:ascii="Arial" w:hAnsi="Arial" w:cs="Arial"/>
          <w:iCs/>
          <w:sz w:val="20"/>
        </w:rPr>
      </w:pPr>
      <w:r>
        <w:rPr>
          <w:rFonts w:ascii="Arial" w:hAnsi="Arial" w:cs="Arial"/>
          <w:iCs/>
          <w:sz w:val="20"/>
        </w:rPr>
        <w:t>Source: Household survey</w:t>
      </w:r>
    </w:p>
    <w:p w14:paraId="21AA3CB3" w14:textId="77777777" w:rsidR="008820D2" w:rsidRPr="00F04D99" w:rsidRDefault="008820D2" w:rsidP="00172F56">
      <w:pPr>
        <w:spacing w:line="300" w:lineRule="auto"/>
        <w:jc w:val="both"/>
        <w:rPr>
          <w:rFonts w:ascii="Arial" w:hAnsi="Arial" w:cs="Arial"/>
          <w:sz w:val="20"/>
          <w:szCs w:val="20"/>
          <w:lang w:eastAsia="ja-JP"/>
        </w:rPr>
      </w:pPr>
    </w:p>
    <w:p w14:paraId="2393D992" w14:textId="5B215594" w:rsidR="00CC789D" w:rsidRPr="00F04D99" w:rsidRDefault="00CC789D">
      <w:pPr>
        <w:pStyle w:val="11Bodytext"/>
        <w:numPr>
          <w:ilvl w:val="1"/>
          <w:numId w:val="65"/>
        </w:numPr>
        <w:spacing w:before="0" w:after="0" w:line="300" w:lineRule="auto"/>
        <w:ind w:left="720" w:hanging="720"/>
        <w:rPr>
          <w:color w:val="auto"/>
        </w:rPr>
      </w:pPr>
      <w:r w:rsidRPr="00F04D99">
        <w:rPr>
          <w:color w:val="auto"/>
        </w:rPr>
        <w:t>T</w:t>
      </w:r>
      <w:r w:rsidR="008820D2" w:rsidRPr="00F04D99">
        <w:rPr>
          <w:color w:val="auto"/>
        </w:rPr>
        <w:t>he tables</w:t>
      </w:r>
      <w:r w:rsidRPr="00F04D99">
        <w:rPr>
          <w:color w:val="auto"/>
        </w:rPr>
        <w:t xml:space="preserve"> below show the characteristics of support needs households in terms of age, tenure and unsuitable housing. The survey data shows that support needs households are more likely to contain older persons. It is estimated that </w:t>
      </w:r>
      <w:r w:rsidR="00486D3A" w:rsidRPr="00F04D99">
        <w:rPr>
          <w:color w:val="auto"/>
        </w:rPr>
        <w:t>38</w:t>
      </w:r>
      <w:r w:rsidRPr="00F04D99">
        <w:rPr>
          <w:color w:val="auto"/>
        </w:rPr>
        <w:t xml:space="preserve">% of all support needs households contain only older people. Support needs households are also particularly likely to be living in social rented housing. Some </w:t>
      </w:r>
      <w:r w:rsidR="00F04D99" w:rsidRPr="00F04D99">
        <w:rPr>
          <w:color w:val="auto"/>
        </w:rPr>
        <w:t>53</w:t>
      </w:r>
      <w:r w:rsidRPr="00F04D99">
        <w:rPr>
          <w:color w:val="auto"/>
        </w:rPr>
        <w:t xml:space="preserve">% of households living in social rented housing contain a support needs member. Finally support needs households are more than twice as likely to be living in unsuitable housing as non-support needs households. Some </w:t>
      </w:r>
      <w:r w:rsidR="00F04D99" w:rsidRPr="00F04D99">
        <w:rPr>
          <w:color w:val="auto"/>
        </w:rPr>
        <w:t>28</w:t>
      </w:r>
      <w:r w:rsidRPr="00F04D99">
        <w:rPr>
          <w:color w:val="auto"/>
        </w:rPr>
        <w:t xml:space="preserve">% of all support needs households are living in unsuitable housing (compared with </w:t>
      </w:r>
      <w:r w:rsidR="00F04D99" w:rsidRPr="00F04D99">
        <w:rPr>
          <w:color w:val="auto"/>
        </w:rPr>
        <w:t>10</w:t>
      </w:r>
      <w:r w:rsidRPr="00F04D99">
        <w:rPr>
          <w:color w:val="auto"/>
        </w:rPr>
        <w:t>% Borough-wide).</w:t>
      </w:r>
    </w:p>
    <w:p w14:paraId="3DF9F7C9" w14:textId="77777777" w:rsidR="008820D2" w:rsidRPr="00F04D99" w:rsidRDefault="008820D2" w:rsidP="0033047F">
      <w:pPr>
        <w:pStyle w:val="11Bodytext"/>
        <w:numPr>
          <w:ilvl w:val="0"/>
          <w:numId w:val="0"/>
        </w:numPr>
        <w:spacing w:before="0" w:after="0" w:line="300" w:lineRule="auto"/>
        <w:ind w:left="794" w:hanging="794"/>
        <w:rPr>
          <w:color w:val="auto"/>
        </w:rPr>
      </w:pPr>
    </w:p>
    <w:tbl>
      <w:tblPr>
        <w:tblStyle w:val="TableGrid1"/>
        <w:tblW w:w="8199" w:type="dxa"/>
        <w:jc w:val="center"/>
        <w:tblLook w:val="00A0" w:firstRow="1" w:lastRow="0" w:firstColumn="1" w:lastColumn="0" w:noHBand="0" w:noVBand="0"/>
      </w:tblPr>
      <w:tblGrid>
        <w:gridCol w:w="2881"/>
        <w:gridCol w:w="1329"/>
        <w:gridCol w:w="1330"/>
        <w:gridCol w:w="1329"/>
        <w:gridCol w:w="1330"/>
      </w:tblGrid>
      <w:tr w:rsidR="00F04D99" w:rsidRPr="00F04D99" w14:paraId="2C720EE8" w14:textId="77777777" w:rsidTr="00F04D99">
        <w:trPr>
          <w:jc w:val="center"/>
        </w:trPr>
        <w:tc>
          <w:tcPr>
            <w:tcW w:w="8199" w:type="dxa"/>
            <w:gridSpan w:val="5"/>
          </w:tcPr>
          <w:p w14:paraId="13A7EE6A" w14:textId="1DDFAC3E" w:rsidR="00F04D99" w:rsidRPr="00F04D99" w:rsidRDefault="00F04D99" w:rsidP="0014104A">
            <w:pPr>
              <w:keepNext/>
              <w:widowControl w:val="0"/>
              <w:spacing w:before="60" w:after="60" w:line="300" w:lineRule="auto"/>
              <w:jc w:val="center"/>
              <w:rPr>
                <w:rFonts w:ascii="Arial" w:hAnsi="Arial" w:cs="Arial"/>
                <w:b/>
                <w:bCs/>
                <w:sz w:val="20"/>
                <w:szCs w:val="20"/>
              </w:rPr>
            </w:pPr>
            <w:r w:rsidRPr="00F04D99">
              <w:rPr>
                <w:rFonts w:ascii="Arial" w:hAnsi="Arial" w:cs="Arial"/>
                <w:b/>
                <w:bCs/>
                <w:sz w:val="20"/>
                <w:szCs w:val="20"/>
              </w:rPr>
              <w:t>Figure 6.</w:t>
            </w:r>
            <w:r w:rsidR="00AD29A6">
              <w:rPr>
                <w:rFonts w:ascii="Arial" w:hAnsi="Arial" w:cs="Arial"/>
                <w:b/>
                <w:bCs/>
                <w:sz w:val="20"/>
                <w:szCs w:val="20"/>
              </w:rPr>
              <w:t>3</w:t>
            </w:r>
            <w:r w:rsidRPr="00F04D99">
              <w:rPr>
                <w:rFonts w:ascii="Arial" w:hAnsi="Arial" w:cs="Arial"/>
                <w:b/>
                <w:bCs/>
                <w:sz w:val="20"/>
                <w:szCs w:val="20"/>
              </w:rPr>
              <w:t xml:space="preserve">: </w:t>
            </w:r>
            <w:bookmarkStart w:id="53" w:name="_Toc372039092"/>
            <w:r w:rsidR="00DE630A">
              <w:rPr>
                <w:rFonts w:ascii="Arial" w:hAnsi="Arial" w:cs="Arial"/>
                <w:b/>
                <w:bCs/>
                <w:sz w:val="20"/>
                <w:szCs w:val="20"/>
              </w:rPr>
              <w:t xml:space="preserve">Households with </w:t>
            </w:r>
            <w:r w:rsidRPr="00F04D99">
              <w:rPr>
                <w:rFonts w:ascii="Arial" w:hAnsi="Arial" w:cs="Arial"/>
                <w:b/>
                <w:bCs/>
                <w:sz w:val="20"/>
                <w:szCs w:val="20"/>
              </w:rPr>
              <w:t>Support needs with and without older people</w:t>
            </w:r>
            <w:bookmarkEnd w:id="53"/>
          </w:p>
        </w:tc>
      </w:tr>
      <w:tr w:rsidR="00CC789D" w:rsidRPr="00F04D99" w14:paraId="535DADA6" w14:textId="77777777" w:rsidTr="00F04D99">
        <w:trPr>
          <w:jc w:val="center"/>
        </w:trPr>
        <w:tc>
          <w:tcPr>
            <w:tcW w:w="2881" w:type="dxa"/>
            <w:vMerge w:val="restart"/>
          </w:tcPr>
          <w:p w14:paraId="17DB68A4" w14:textId="77777777" w:rsidR="00CC789D" w:rsidRPr="00F04D99" w:rsidRDefault="00CC789D" w:rsidP="0014104A">
            <w:pPr>
              <w:keepNext/>
              <w:widowControl w:val="0"/>
              <w:spacing w:line="300" w:lineRule="auto"/>
              <w:rPr>
                <w:rFonts w:ascii="Arial" w:hAnsi="Arial" w:cs="Arial"/>
                <w:sz w:val="20"/>
                <w:szCs w:val="20"/>
              </w:rPr>
            </w:pPr>
            <w:r w:rsidRPr="00F04D99">
              <w:rPr>
                <w:rFonts w:ascii="Arial" w:hAnsi="Arial" w:cs="Arial"/>
                <w:sz w:val="20"/>
                <w:szCs w:val="20"/>
              </w:rPr>
              <w:t>Age group</w:t>
            </w:r>
          </w:p>
        </w:tc>
        <w:tc>
          <w:tcPr>
            <w:tcW w:w="5318" w:type="dxa"/>
            <w:gridSpan w:val="4"/>
          </w:tcPr>
          <w:p w14:paraId="574A2AED" w14:textId="77777777" w:rsidR="00CC789D" w:rsidRPr="00F04D99" w:rsidRDefault="00CC789D" w:rsidP="0014104A">
            <w:pPr>
              <w:keepNext/>
              <w:widowControl w:val="0"/>
              <w:spacing w:line="300" w:lineRule="auto"/>
              <w:jc w:val="center"/>
              <w:rPr>
                <w:rFonts w:ascii="Arial" w:hAnsi="Arial" w:cs="Arial"/>
                <w:sz w:val="20"/>
                <w:szCs w:val="20"/>
              </w:rPr>
            </w:pPr>
            <w:r w:rsidRPr="00F04D99">
              <w:rPr>
                <w:rFonts w:ascii="Arial" w:hAnsi="Arial" w:cs="Arial"/>
                <w:sz w:val="20"/>
                <w:szCs w:val="20"/>
              </w:rPr>
              <w:t>Support needs households</w:t>
            </w:r>
          </w:p>
        </w:tc>
      </w:tr>
      <w:tr w:rsidR="00CD4A71" w:rsidRPr="00F04D99" w14:paraId="357002F3" w14:textId="77777777" w:rsidTr="00F04D99">
        <w:trPr>
          <w:jc w:val="center"/>
        </w:trPr>
        <w:tc>
          <w:tcPr>
            <w:tcW w:w="2881" w:type="dxa"/>
            <w:vMerge/>
          </w:tcPr>
          <w:p w14:paraId="4BDB9431" w14:textId="77777777" w:rsidR="00CC789D" w:rsidRPr="00F04D99" w:rsidRDefault="00CC789D" w:rsidP="0014104A">
            <w:pPr>
              <w:keepNext/>
              <w:widowControl w:val="0"/>
              <w:spacing w:line="300" w:lineRule="auto"/>
              <w:rPr>
                <w:rFonts w:ascii="Arial" w:hAnsi="Arial" w:cs="Arial"/>
                <w:sz w:val="20"/>
                <w:szCs w:val="20"/>
              </w:rPr>
            </w:pPr>
          </w:p>
        </w:tc>
        <w:tc>
          <w:tcPr>
            <w:tcW w:w="1329" w:type="dxa"/>
          </w:tcPr>
          <w:p w14:paraId="41D1024E" w14:textId="1920EE2C" w:rsidR="00CC789D" w:rsidRPr="00F04D99" w:rsidRDefault="00CD4A71" w:rsidP="0014104A">
            <w:pPr>
              <w:keepNext/>
              <w:widowControl w:val="0"/>
              <w:spacing w:line="300" w:lineRule="auto"/>
              <w:jc w:val="center"/>
              <w:rPr>
                <w:rFonts w:ascii="Arial" w:hAnsi="Arial" w:cs="Arial"/>
                <w:sz w:val="20"/>
                <w:szCs w:val="20"/>
              </w:rPr>
            </w:pPr>
            <w:r>
              <w:rPr>
                <w:rFonts w:ascii="Arial" w:hAnsi="Arial" w:cs="Arial"/>
                <w:sz w:val="20"/>
                <w:szCs w:val="20"/>
              </w:rPr>
              <w:t xml:space="preserve">Number of households with </w:t>
            </w:r>
            <w:r w:rsidR="00CC789D" w:rsidRPr="00F04D99">
              <w:rPr>
                <w:rFonts w:ascii="Arial" w:hAnsi="Arial" w:cs="Arial"/>
                <w:sz w:val="20"/>
                <w:szCs w:val="20"/>
              </w:rPr>
              <w:t>Support needs</w:t>
            </w:r>
          </w:p>
        </w:tc>
        <w:tc>
          <w:tcPr>
            <w:tcW w:w="1330" w:type="dxa"/>
          </w:tcPr>
          <w:p w14:paraId="0A523066" w14:textId="1FC58A45" w:rsidR="00CC789D" w:rsidRPr="00F04D99" w:rsidRDefault="00CD4A71" w:rsidP="0014104A">
            <w:pPr>
              <w:keepNext/>
              <w:widowControl w:val="0"/>
              <w:spacing w:line="300" w:lineRule="auto"/>
              <w:jc w:val="center"/>
              <w:rPr>
                <w:rFonts w:ascii="Arial" w:hAnsi="Arial" w:cs="Arial"/>
                <w:sz w:val="20"/>
                <w:szCs w:val="20"/>
              </w:rPr>
            </w:pPr>
            <w:r>
              <w:rPr>
                <w:rFonts w:ascii="Arial" w:hAnsi="Arial" w:cs="Arial"/>
                <w:sz w:val="20"/>
                <w:szCs w:val="20"/>
              </w:rPr>
              <w:t>Total n</w:t>
            </w:r>
            <w:r w:rsidR="00CC789D" w:rsidRPr="00F04D99">
              <w:rPr>
                <w:rFonts w:ascii="Arial" w:hAnsi="Arial" w:cs="Arial"/>
                <w:sz w:val="20"/>
                <w:szCs w:val="20"/>
              </w:rPr>
              <w:t>umber of h</w:t>
            </w:r>
            <w:r w:rsidR="00554888">
              <w:rPr>
                <w:rFonts w:ascii="Arial" w:hAnsi="Arial" w:cs="Arial"/>
                <w:sz w:val="20"/>
                <w:szCs w:val="20"/>
              </w:rPr>
              <w:t>ouse</w:t>
            </w:r>
            <w:r w:rsidR="00CC789D" w:rsidRPr="00F04D99">
              <w:rPr>
                <w:rFonts w:ascii="Arial" w:hAnsi="Arial" w:cs="Arial"/>
                <w:sz w:val="20"/>
                <w:szCs w:val="20"/>
              </w:rPr>
              <w:t>holds</w:t>
            </w:r>
          </w:p>
        </w:tc>
        <w:tc>
          <w:tcPr>
            <w:tcW w:w="1329" w:type="dxa"/>
          </w:tcPr>
          <w:p w14:paraId="0E17662A" w14:textId="78563E72" w:rsidR="00CC789D" w:rsidRPr="00F04D99" w:rsidRDefault="00CC789D" w:rsidP="0014104A">
            <w:pPr>
              <w:keepNext/>
              <w:widowControl w:val="0"/>
              <w:spacing w:line="300" w:lineRule="auto"/>
              <w:jc w:val="center"/>
              <w:rPr>
                <w:rFonts w:ascii="Arial" w:hAnsi="Arial" w:cs="Arial"/>
                <w:sz w:val="20"/>
                <w:szCs w:val="20"/>
              </w:rPr>
            </w:pPr>
            <w:r w:rsidRPr="00F04D99">
              <w:rPr>
                <w:rFonts w:ascii="Arial" w:hAnsi="Arial" w:cs="Arial"/>
                <w:sz w:val="20"/>
                <w:szCs w:val="20"/>
              </w:rPr>
              <w:t xml:space="preserve">% of </w:t>
            </w:r>
            <w:r w:rsidR="00D62F7A" w:rsidRPr="00F04D99">
              <w:rPr>
                <w:rFonts w:ascii="Arial" w:hAnsi="Arial" w:cs="Arial"/>
                <w:sz w:val="20"/>
                <w:szCs w:val="20"/>
              </w:rPr>
              <w:t>h</w:t>
            </w:r>
            <w:r w:rsidR="00D62F7A">
              <w:rPr>
                <w:rFonts w:ascii="Arial" w:hAnsi="Arial" w:cs="Arial"/>
                <w:sz w:val="20"/>
                <w:szCs w:val="20"/>
              </w:rPr>
              <w:t>ouse</w:t>
            </w:r>
            <w:r w:rsidR="00D62F7A" w:rsidRPr="00F04D99">
              <w:rPr>
                <w:rFonts w:ascii="Arial" w:hAnsi="Arial" w:cs="Arial"/>
                <w:sz w:val="20"/>
                <w:szCs w:val="20"/>
              </w:rPr>
              <w:t xml:space="preserve">holds </w:t>
            </w:r>
            <w:r w:rsidRPr="00F04D99">
              <w:rPr>
                <w:rFonts w:ascii="Arial" w:hAnsi="Arial" w:cs="Arial"/>
                <w:sz w:val="20"/>
                <w:szCs w:val="20"/>
              </w:rPr>
              <w:t>with support needs</w:t>
            </w:r>
          </w:p>
        </w:tc>
        <w:tc>
          <w:tcPr>
            <w:tcW w:w="1330" w:type="dxa"/>
          </w:tcPr>
          <w:p w14:paraId="32B71A12" w14:textId="77777777" w:rsidR="00CC789D" w:rsidRPr="00F04D99" w:rsidRDefault="00CC789D" w:rsidP="0014104A">
            <w:pPr>
              <w:keepNext/>
              <w:widowControl w:val="0"/>
              <w:spacing w:line="300" w:lineRule="auto"/>
              <w:jc w:val="center"/>
              <w:rPr>
                <w:rFonts w:ascii="Arial" w:hAnsi="Arial" w:cs="Arial"/>
                <w:sz w:val="20"/>
                <w:szCs w:val="20"/>
              </w:rPr>
            </w:pPr>
            <w:r w:rsidRPr="00F04D99">
              <w:rPr>
                <w:rFonts w:ascii="Arial" w:hAnsi="Arial" w:cs="Arial"/>
                <w:sz w:val="20"/>
                <w:szCs w:val="20"/>
              </w:rPr>
              <w:t>% of those with a support need</w:t>
            </w:r>
          </w:p>
        </w:tc>
      </w:tr>
      <w:tr w:rsidR="00CD4A71" w:rsidRPr="00F04D99" w14:paraId="190EE309" w14:textId="77777777" w:rsidTr="00F04D99">
        <w:trPr>
          <w:jc w:val="center"/>
        </w:trPr>
        <w:tc>
          <w:tcPr>
            <w:tcW w:w="2881" w:type="dxa"/>
          </w:tcPr>
          <w:p w14:paraId="252DF906" w14:textId="77777777" w:rsidR="00486D3A" w:rsidRPr="00F04D99" w:rsidRDefault="00486D3A" w:rsidP="0014104A">
            <w:pPr>
              <w:keepNext/>
              <w:widowControl w:val="0"/>
              <w:spacing w:line="300" w:lineRule="auto"/>
              <w:rPr>
                <w:rFonts w:ascii="Arial" w:hAnsi="Arial" w:cs="Arial"/>
                <w:sz w:val="20"/>
                <w:szCs w:val="20"/>
              </w:rPr>
            </w:pPr>
            <w:r w:rsidRPr="00F04D99">
              <w:rPr>
                <w:rFonts w:ascii="Arial" w:hAnsi="Arial" w:cs="Arial"/>
                <w:sz w:val="20"/>
                <w:szCs w:val="20"/>
              </w:rPr>
              <w:t>No older people</w:t>
            </w:r>
          </w:p>
        </w:tc>
        <w:tc>
          <w:tcPr>
            <w:tcW w:w="1329" w:type="dxa"/>
          </w:tcPr>
          <w:p w14:paraId="6FB71F5D" w14:textId="033D1D28"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4,692</w:t>
            </w:r>
          </w:p>
        </w:tc>
        <w:tc>
          <w:tcPr>
            <w:tcW w:w="1330" w:type="dxa"/>
          </w:tcPr>
          <w:p w14:paraId="5F3B17DD" w14:textId="0246FD50"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22,592</w:t>
            </w:r>
          </w:p>
        </w:tc>
        <w:tc>
          <w:tcPr>
            <w:tcW w:w="1329" w:type="dxa"/>
          </w:tcPr>
          <w:p w14:paraId="790F5478" w14:textId="79D4D921"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20.</w:t>
            </w:r>
            <w:r w:rsidRPr="00F04D99">
              <w:rPr>
                <w:rFonts w:ascii="Arial" w:hAnsi="Arial" w:cs="Arial"/>
                <w:sz w:val="20"/>
                <w:szCs w:val="20"/>
              </w:rPr>
              <w:t>8</w:t>
            </w:r>
            <w:r w:rsidRPr="00F04D99">
              <w:rPr>
                <w:rFonts w:ascii="Arial" w:hAnsi="Arial" w:cs="Arial"/>
                <w:sz w:val="20"/>
                <w:szCs w:val="20"/>
                <w:lang w:val="en-US"/>
              </w:rPr>
              <w:t>%</w:t>
            </w:r>
          </w:p>
        </w:tc>
        <w:tc>
          <w:tcPr>
            <w:tcW w:w="1330" w:type="dxa"/>
          </w:tcPr>
          <w:p w14:paraId="5C2881F8" w14:textId="601F6EC7"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50.7%</w:t>
            </w:r>
          </w:p>
        </w:tc>
      </w:tr>
      <w:tr w:rsidR="00CD4A71" w:rsidRPr="00F04D99" w14:paraId="7EC5841C" w14:textId="77777777" w:rsidTr="00F04D99">
        <w:trPr>
          <w:jc w:val="center"/>
        </w:trPr>
        <w:tc>
          <w:tcPr>
            <w:tcW w:w="2881" w:type="dxa"/>
          </w:tcPr>
          <w:p w14:paraId="6B287EDF" w14:textId="77777777" w:rsidR="00486D3A" w:rsidRPr="00F04D99" w:rsidRDefault="00486D3A" w:rsidP="0014104A">
            <w:pPr>
              <w:keepNext/>
              <w:widowControl w:val="0"/>
              <w:spacing w:line="300" w:lineRule="auto"/>
              <w:rPr>
                <w:rFonts w:ascii="Arial" w:hAnsi="Arial" w:cs="Arial"/>
                <w:sz w:val="20"/>
                <w:szCs w:val="20"/>
              </w:rPr>
            </w:pPr>
            <w:r w:rsidRPr="00F04D99">
              <w:rPr>
                <w:rFonts w:ascii="Arial" w:hAnsi="Arial" w:cs="Arial"/>
                <w:sz w:val="20"/>
                <w:szCs w:val="20"/>
              </w:rPr>
              <w:t>Both older &amp; non-older people</w:t>
            </w:r>
          </w:p>
        </w:tc>
        <w:tc>
          <w:tcPr>
            <w:tcW w:w="1329" w:type="dxa"/>
          </w:tcPr>
          <w:p w14:paraId="0B983078" w14:textId="133947C3"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1,022</w:t>
            </w:r>
          </w:p>
        </w:tc>
        <w:tc>
          <w:tcPr>
            <w:tcW w:w="1330" w:type="dxa"/>
          </w:tcPr>
          <w:p w14:paraId="68881E05" w14:textId="0C57F4C2"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3,345</w:t>
            </w:r>
          </w:p>
        </w:tc>
        <w:tc>
          <w:tcPr>
            <w:tcW w:w="1329" w:type="dxa"/>
          </w:tcPr>
          <w:p w14:paraId="48F48905" w14:textId="11EC0C01"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30.</w:t>
            </w:r>
            <w:r w:rsidRPr="00F04D99">
              <w:rPr>
                <w:rFonts w:ascii="Arial" w:hAnsi="Arial" w:cs="Arial"/>
                <w:sz w:val="20"/>
                <w:szCs w:val="20"/>
              </w:rPr>
              <w:t>6</w:t>
            </w:r>
            <w:r w:rsidRPr="00F04D99">
              <w:rPr>
                <w:rFonts w:ascii="Arial" w:hAnsi="Arial" w:cs="Arial"/>
                <w:sz w:val="20"/>
                <w:szCs w:val="20"/>
                <w:lang w:val="en-US"/>
              </w:rPr>
              <w:t>%</w:t>
            </w:r>
          </w:p>
        </w:tc>
        <w:tc>
          <w:tcPr>
            <w:tcW w:w="1330" w:type="dxa"/>
          </w:tcPr>
          <w:p w14:paraId="68397189" w14:textId="1BABBE5D"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11.0%</w:t>
            </w:r>
          </w:p>
        </w:tc>
      </w:tr>
      <w:tr w:rsidR="00CD4A71" w:rsidRPr="00F04D99" w14:paraId="44362962" w14:textId="77777777" w:rsidTr="00F04D99">
        <w:trPr>
          <w:jc w:val="center"/>
        </w:trPr>
        <w:tc>
          <w:tcPr>
            <w:tcW w:w="2881" w:type="dxa"/>
          </w:tcPr>
          <w:p w14:paraId="7A6A2339" w14:textId="77777777" w:rsidR="00486D3A" w:rsidRPr="00F04D99" w:rsidRDefault="00486D3A" w:rsidP="0014104A">
            <w:pPr>
              <w:keepNext/>
              <w:widowControl w:val="0"/>
              <w:spacing w:line="300" w:lineRule="auto"/>
              <w:rPr>
                <w:rFonts w:ascii="Arial" w:hAnsi="Arial" w:cs="Arial"/>
                <w:sz w:val="20"/>
                <w:szCs w:val="20"/>
              </w:rPr>
            </w:pPr>
            <w:r w:rsidRPr="00F04D99">
              <w:rPr>
                <w:rFonts w:ascii="Arial" w:hAnsi="Arial" w:cs="Arial"/>
                <w:sz w:val="20"/>
                <w:szCs w:val="20"/>
              </w:rPr>
              <w:t>Older people only</w:t>
            </w:r>
          </w:p>
        </w:tc>
        <w:tc>
          <w:tcPr>
            <w:tcW w:w="1329" w:type="dxa"/>
          </w:tcPr>
          <w:p w14:paraId="54D6480D" w14:textId="3186E4D2"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3,545</w:t>
            </w:r>
          </w:p>
        </w:tc>
        <w:tc>
          <w:tcPr>
            <w:tcW w:w="1330" w:type="dxa"/>
          </w:tcPr>
          <w:p w14:paraId="3B970ECA" w14:textId="211C2E1D"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13,063</w:t>
            </w:r>
          </w:p>
        </w:tc>
        <w:tc>
          <w:tcPr>
            <w:tcW w:w="1329" w:type="dxa"/>
          </w:tcPr>
          <w:p w14:paraId="2D1F1CB9" w14:textId="2BADBBDF"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27.1%</w:t>
            </w:r>
          </w:p>
        </w:tc>
        <w:tc>
          <w:tcPr>
            <w:tcW w:w="1330" w:type="dxa"/>
          </w:tcPr>
          <w:p w14:paraId="1D9DA7AC" w14:textId="70ACFE23"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38.3%</w:t>
            </w:r>
          </w:p>
        </w:tc>
      </w:tr>
      <w:tr w:rsidR="00CD4A71" w:rsidRPr="00F04D99" w14:paraId="6CBACD61" w14:textId="77777777" w:rsidTr="00F04D99">
        <w:trPr>
          <w:jc w:val="center"/>
        </w:trPr>
        <w:tc>
          <w:tcPr>
            <w:tcW w:w="2881" w:type="dxa"/>
          </w:tcPr>
          <w:p w14:paraId="6CDE5B68" w14:textId="77777777" w:rsidR="00486D3A" w:rsidRPr="00F04D99" w:rsidRDefault="00486D3A" w:rsidP="0014104A">
            <w:pPr>
              <w:keepNext/>
              <w:widowControl w:val="0"/>
              <w:spacing w:line="300" w:lineRule="auto"/>
              <w:rPr>
                <w:rFonts w:ascii="Arial" w:hAnsi="Arial" w:cs="Arial"/>
                <w:sz w:val="20"/>
                <w:szCs w:val="20"/>
              </w:rPr>
            </w:pPr>
            <w:r w:rsidRPr="00F04D99">
              <w:rPr>
                <w:rFonts w:ascii="Arial" w:hAnsi="Arial" w:cs="Arial"/>
                <w:sz w:val="20"/>
                <w:szCs w:val="20"/>
              </w:rPr>
              <w:t>Total</w:t>
            </w:r>
          </w:p>
        </w:tc>
        <w:tc>
          <w:tcPr>
            <w:tcW w:w="1329" w:type="dxa"/>
          </w:tcPr>
          <w:p w14:paraId="29659793" w14:textId="5427E21B"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9,259</w:t>
            </w:r>
          </w:p>
        </w:tc>
        <w:tc>
          <w:tcPr>
            <w:tcW w:w="1330" w:type="dxa"/>
          </w:tcPr>
          <w:p w14:paraId="3974A05E" w14:textId="14D33C18"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39,000</w:t>
            </w:r>
          </w:p>
        </w:tc>
        <w:tc>
          <w:tcPr>
            <w:tcW w:w="1329" w:type="dxa"/>
          </w:tcPr>
          <w:p w14:paraId="4A39184E" w14:textId="288A7AC7"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23.7%</w:t>
            </w:r>
          </w:p>
        </w:tc>
        <w:tc>
          <w:tcPr>
            <w:tcW w:w="1330" w:type="dxa"/>
          </w:tcPr>
          <w:p w14:paraId="0B66403B" w14:textId="0D0729D5" w:rsidR="00486D3A" w:rsidRPr="00F04D99" w:rsidRDefault="00486D3A" w:rsidP="0014104A">
            <w:pPr>
              <w:keepNext/>
              <w:spacing w:line="300" w:lineRule="auto"/>
              <w:jc w:val="center"/>
              <w:rPr>
                <w:rFonts w:ascii="Arial" w:hAnsi="Arial" w:cs="Arial"/>
                <w:sz w:val="20"/>
                <w:szCs w:val="20"/>
              </w:rPr>
            </w:pPr>
            <w:r w:rsidRPr="00F04D99">
              <w:rPr>
                <w:rFonts w:ascii="Arial" w:hAnsi="Arial" w:cs="Arial"/>
                <w:sz w:val="20"/>
                <w:szCs w:val="20"/>
                <w:lang w:val="en-US"/>
              </w:rPr>
              <w:t>100.0%</w:t>
            </w:r>
          </w:p>
        </w:tc>
      </w:tr>
    </w:tbl>
    <w:p w14:paraId="5565FA0C" w14:textId="0799A580" w:rsidR="00CC789D"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4DA72E13" w14:textId="77777777" w:rsidR="00F04D99" w:rsidRPr="00F04D99" w:rsidRDefault="00F04D99" w:rsidP="00172F56">
      <w:pPr>
        <w:pStyle w:val="Reporttext0"/>
        <w:keepLines w:val="0"/>
        <w:widowControl w:val="0"/>
        <w:numPr>
          <w:ilvl w:val="0"/>
          <w:numId w:val="0"/>
        </w:numPr>
        <w:spacing w:line="300" w:lineRule="auto"/>
        <w:jc w:val="both"/>
        <w:rPr>
          <w:rFonts w:ascii="Arial" w:hAnsi="Arial" w:cs="Arial"/>
          <w:sz w:val="20"/>
        </w:rPr>
      </w:pPr>
    </w:p>
    <w:tbl>
      <w:tblPr>
        <w:tblStyle w:val="TableGrid10"/>
        <w:tblW w:w="8199" w:type="dxa"/>
        <w:jc w:val="center"/>
        <w:tblLayout w:type="fixed"/>
        <w:tblLook w:val="00A0" w:firstRow="1" w:lastRow="0" w:firstColumn="1" w:lastColumn="0" w:noHBand="0" w:noVBand="0"/>
      </w:tblPr>
      <w:tblGrid>
        <w:gridCol w:w="3253"/>
        <w:gridCol w:w="1236"/>
        <w:gridCol w:w="1237"/>
        <w:gridCol w:w="1236"/>
        <w:gridCol w:w="1237"/>
      </w:tblGrid>
      <w:tr w:rsidR="00F04D99" w:rsidRPr="00F04D99" w14:paraId="22243DCC" w14:textId="77777777" w:rsidTr="00172F56">
        <w:trPr>
          <w:jc w:val="center"/>
        </w:trPr>
        <w:tc>
          <w:tcPr>
            <w:tcW w:w="8199" w:type="dxa"/>
            <w:gridSpan w:val="5"/>
          </w:tcPr>
          <w:p w14:paraId="79E35AED" w14:textId="1FA6A343" w:rsidR="00F04D99" w:rsidRPr="00F04D99" w:rsidRDefault="00F04D99" w:rsidP="0014104A">
            <w:pPr>
              <w:keepNext/>
              <w:widowControl w:val="0"/>
              <w:spacing w:before="60" w:after="60"/>
              <w:jc w:val="center"/>
              <w:rPr>
                <w:rFonts w:ascii="Arial" w:hAnsi="Arial" w:cs="Arial"/>
                <w:b/>
                <w:bCs/>
                <w:sz w:val="20"/>
                <w:szCs w:val="20"/>
              </w:rPr>
            </w:pPr>
            <w:r w:rsidRPr="00F04D99">
              <w:rPr>
                <w:rFonts w:ascii="Arial" w:hAnsi="Arial" w:cs="Arial"/>
                <w:b/>
                <w:bCs/>
                <w:sz w:val="20"/>
                <w:szCs w:val="20"/>
              </w:rPr>
              <w:t>Figure 6.</w:t>
            </w:r>
            <w:r w:rsidR="00AD29A6">
              <w:rPr>
                <w:rFonts w:ascii="Arial" w:hAnsi="Arial" w:cs="Arial"/>
                <w:b/>
                <w:bCs/>
                <w:sz w:val="20"/>
                <w:szCs w:val="20"/>
              </w:rPr>
              <w:t>4</w:t>
            </w:r>
            <w:r w:rsidRPr="00F04D99">
              <w:rPr>
                <w:rFonts w:ascii="Arial" w:hAnsi="Arial" w:cs="Arial"/>
                <w:b/>
                <w:bCs/>
                <w:sz w:val="20"/>
                <w:szCs w:val="20"/>
              </w:rPr>
              <w:t xml:space="preserve">: </w:t>
            </w:r>
            <w:bookmarkStart w:id="54" w:name="_Toc372039093"/>
            <w:r w:rsidR="00DE630A">
              <w:rPr>
                <w:rFonts w:ascii="Arial" w:hAnsi="Arial" w:cs="Arial"/>
                <w:b/>
                <w:bCs/>
                <w:sz w:val="20"/>
                <w:szCs w:val="20"/>
              </w:rPr>
              <w:t xml:space="preserve">Households with </w:t>
            </w:r>
            <w:r w:rsidRPr="00F04D99">
              <w:rPr>
                <w:rFonts w:ascii="Arial" w:hAnsi="Arial" w:cs="Arial"/>
                <w:b/>
                <w:bCs/>
                <w:sz w:val="20"/>
                <w:szCs w:val="20"/>
              </w:rPr>
              <w:t xml:space="preserve">Support Needs </w:t>
            </w:r>
            <w:r w:rsidR="005E68BC">
              <w:rPr>
                <w:rFonts w:ascii="Arial" w:hAnsi="Arial" w:cs="Arial"/>
                <w:b/>
                <w:bCs/>
                <w:sz w:val="20"/>
                <w:szCs w:val="20"/>
              </w:rPr>
              <w:t xml:space="preserve">by </w:t>
            </w:r>
            <w:r w:rsidRPr="00F04D99">
              <w:rPr>
                <w:rFonts w:ascii="Arial" w:hAnsi="Arial" w:cs="Arial"/>
                <w:b/>
                <w:bCs/>
                <w:sz w:val="20"/>
                <w:szCs w:val="20"/>
              </w:rPr>
              <w:t>Tenure</w:t>
            </w:r>
            <w:bookmarkEnd w:id="54"/>
          </w:p>
        </w:tc>
      </w:tr>
      <w:tr w:rsidR="00CC789D" w:rsidRPr="00F04D99" w14:paraId="0A4BA56A" w14:textId="77777777" w:rsidTr="00172F56">
        <w:trPr>
          <w:jc w:val="center"/>
        </w:trPr>
        <w:tc>
          <w:tcPr>
            <w:tcW w:w="3253" w:type="dxa"/>
            <w:vMerge w:val="restart"/>
            <w:vAlign w:val="center"/>
          </w:tcPr>
          <w:p w14:paraId="7F19E2FC" w14:textId="77777777" w:rsidR="00CC789D" w:rsidRPr="00F04D99" w:rsidRDefault="00CC789D" w:rsidP="0014104A">
            <w:pPr>
              <w:keepNext/>
              <w:widowControl w:val="0"/>
              <w:rPr>
                <w:rFonts w:ascii="Arial" w:hAnsi="Arial" w:cs="Arial"/>
                <w:sz w:val="20"/>
                <w:szCs w:val="20"/>
              </w:rPr>
            </w:pPr>
            <w:r w:rsidRPr="00F04D99">
              <w:rPr>
                <w:rFonts w:ascii="Arial" w:hAnsi="Arial" w:cs="Arial"/>
                <w:sz w:val="20"/>
                <w:szCs w:val="20"/>
              </w:rPr>
              <w:t>Tenure</w:t>
            </w:r>
          </w:p>
        </w:tc>
        <w:tc>
          <w:tcPr>
            <w:tcW w:w="4946" w:type="dxa"/>
            <w:gridSpan w:val="4"/>
          </w:tcPr>
          <w:p w14:paraId="1F25DAE7" w14:textId="77777777" w:rsidR="00CC789D" w:rsidRPr="00F04D99" w:rsidRDefault="00CC789D" w:rsidP="0014104A">
            <w:pPr>
              <w:keepNext/>
              <w:widowControl w:val="0"/>
              <w:jc w:val="center"/>
              <w:rPr>
                <w:rFonts w:ascii="Arial" w:hAnsi="Arial" w:cs="Arial"/>
                <w:sz w:val="20"/>
                <w:szCs w:val="20"/>
              </w:rPr>
            </w:pPr>
            <w:r w:rsidRPr="00F04D99">
              <w:rPr>
                <w:rFonts w:ascii="Arial" w:hAnsi="Arial" w:cs="Arial"/>
                <w:sz w:val="20"/>
                <w:szCs w:val="20"/>
              </w:rPr>
              <w:t>Support needs households</w:t>
            </w:r>
          </w:p>
        </w:tc>
      </w:tr>
      <w:tr w:rsidR="007534DC" w:rsidRPr="00F04D99" w14:paraId="0E3AB33C" w14:textId="77777777" w:rsidTr="00172F56">
        <w:trPr>
          <w:jc w:val="center"/>
        </w:trPr>
        <w:tc>
          <w:tcPr>
            <w:tcW w:w="3253" w:type="dxa"/>
            <w:vMerge/>
            <w:vAlign w:val="center"/>
          </w:tcPr>
          <w:p w14:paraId="131590A7" w14:textId="77777777" w:rsidR="00CC789D" w:rsidRPr="00F04D99" w:rsidRDefault="00CC789D" w:rsidP="0014104A">
            <w:pPr>
              <w:keepNext/>
              <w:widowControl w:val="0"/>
              <w:rPr>
                <w:rFonts w:ascii="Arial" w:hAnsi="Arial" w:cs="Arial"/>
                <w:sz w:val="20"/>
                <w:szCs w:val="20"/>
              </w:rPr>
            </w:pPr>
          </w:p>
        </w:tc>
        <w:tc>
          <w:tcPr>
            <w:tcW w:w="1236" w:type="dxa"/>
          </w:tcPr>
          <w:p w14:paraId="3D5B1289" w14:textId="56D200F4" w:rsidR="00CC789D" w:rsidRPr="00F04D99" w:rsidRDefault="00061791" w:rsidP="0014104A">
            <w:pPr>
              <w:keepNext/>
              <w:widowControl w:val="0"/>
              <w:jc w:val="center"/>
              <w:rPr>
                <w:rFonts w:ascii="Arial" w:hAnsi="Arial" w:cs="Arial"/>
                <w:sz w:val="20"/>
                <w:szCs w:val="20"/>
              </w:rPr>
            </w:pPr>
            <w:r>
              <w:rPr>
                <w:rFonts w:ascii="Arial" w:hAnsi="Arial" w:cs="Arial"/>
                <w:sz w:val="20"/>
                <w:szCs w:val="20"/>
              </w:rPr>
              <w:t xml:space="preserve">Number of </w:t>
            </w:r>
            <w:r w:rsidR="0014104A">
              <w:rPr>
                <w:rFonts w:ascii="Arial" w:hAnsi="Arial" w:cs="Arial"/>
                <w:sz w:val="20"/>
                <w:szCs w:val="20"/>
              </w:rPr>
              <w:t>h’holds</w:t>
            </w:r>
            <w:r>
              <w:rPr>
                <w:rFonts w:ascii="Arial" w:hAnsi="Arial" w:cs="Arial"/>
                <w:sz w:val="20"/>
                <w:szCs w:val="20"/>
              </w:rPr>
              <w:t xml:space="preserve"> with</w:t>
            </w:r>
            <w:r w:rsidR="007534DC">
              <w:rPr>
                <w:rFonts w:ascii="Arial" w:hAnsi="Arial" w:cs="Arial"/>
                <w:sz w:val="20"/>
                <w:szCs w:val="20"/>
              </w:rPr>
              <w:t xml:space="preserve"> </w:t>
            </w:r>
            <w:r w:rsidR="00CC789D" w:rsidRPr="00F04D99">
              <w:rPr>
                <w:rFonts w:ascii="Arial" w:hAnsi="Arial" w:cs="Arial"/>
                <w:sz w:val="20"/>
                <w:szCs w:val="20"/>
              </w:rPr>
              <w:t>Support needs</w:t>
            </w:r>
          </w:p>
        </w:tc>
        <w:tc>
          <w:tcPr>
            <w:tcW w:w="1237" w:type="dxa"/>
          </w:tcPr>
          <w:p w14:paraId="69E2F0A0" w14:textId="47A58E1B" w:rsidR="00CC789D" w:rsidRPr="00F04D99" w:rsidRDefault="007534DC" w:rsidP="0014104A">
            <w:pPr>
              <w:keepNext/>
              <w:widowControl w:val="0"/>
              <w:jc w:val="center"/>
              <w:rPr>
                <w:rFonts w:ascii="Arial" w:hAnsi="Arial" w:cs="Arial"/>
                <w:sz w:val="20"/>
                <w:szCs w:val="20"/>
              </w:rPr>
            </w:pPr>
            <w:r>
              <w:rPr>
                <w:rFonts w:ascii="Arial" w:hAnsi="Arial" w:cs="Arial"/>
                <w:sz w:val="20"/>
                <w:szCs w:val="20"/>
              </w:rPr>
              <w:t xml:space="preserve">Total </w:t>
            </w:r>
            <w:r w:rsidR="00CC789D" w:rsidRPr="00F04D99">
              <w:rPr>
                <w:rFonts w:ascii="Arial" w:hAnsi="Arial" w:cs="Arial"/>
                <w:sz w:val="20"/>
                <w:szCs w:val="20"/>
              </w:rPr>
              <w:t xml:space="preserve">Number of </w:t>
            </w:r>
            <w:r w:rsidR="0014104A">
              <w:rPr>
                <w:rFonts w:ascii="Arial" w:hAnsi="Arial" w:cs="Arial"/>
                <w:sz w:val="20"/>
                <w:szCs w:val="20"/>
              </w:rPr>
              <w:t>h’holds</w:t>
            </w:r>
          </w:p>
        </w:tc>
        <w:tc>
          <w:tcPr>
            <w:tcW w:w="1236" w:type="dxa"/>
          </w:tcPr>
          <w:p w14:paraId="423628AE" w14:textId="05187F1E" w:rsidR="00CC789D" w:rsidRPr="00F04D99" w:rsidRDefault="00CC789D" w:rsidP="0014104A">
            <w:pPr>
              <w:keepNext/>
              <w:widowControl w:val="0"/>
              <w:jc w:val="center"/>
              <w:rPr>
                <w:rFonts w:ascii="Arial" w:hAnsi="Arial" w:cs="Arial"/>
                <w:sz w:val="20"/>
                <w:szCs w:val="20"/>
              </w:rPr>
            </w:pPr>
            <w:r w:rsidRPr="00F04D99">
              <w:rPr>
                <w:rFonts w:ascii="Arial" w:hAnsi="Arial" w:cs="Arial"/>
                <w:sz w:val="20"/>
                <w:szCs w:val="20"/>
              </w:rPr>
              <w:t xml:space="preserve">% of </w:t>
            </w:r>
            <w:r w:rsidR="0014104A">
              <w:rPr>
                <w:rFonts w:ascii="Arial" w:hAnsi="Arial" w:cs="Arial"/>
                <w:sz w:val="20"/>
                <w:szCs w:val="20"/>
              </w:rPr>
              <w:t>h’holds</w:t>
            </w:r>
            <w:r w:rsidR="007534DC" w:rsidRPr="00F04D99">
              <w:rPr>
                <w:rFonts w:ascii="Arial" w:hAnsi="Arial" w:cs="Arial"/>
                <w:sz w:val="20"/>
                <w:szCs w:val="20"/>
              </w:rPr>
              <w:t xml:space="preserve"> </w:t>
            </w:r>
            <w:r w:rsidRPr="00F04D99">
              <w:rPr>
                <w:rFonts w:ascii="Arial" w:hAnsi="Arial" w:cs="Arial"/>
                <w:sz w:val="20"/>
                <w:szCs w:val="20"/>
              </w:rPr>
              <w:t>with support needs</w:t>
            </w:r>
          </w:p>
        </w:tc>
        <w:tc>
          <w:tcPr>
            <w:tcW w:w="1237" w:type="dxa"/>
          </w:tcPr>
          <w:p w14:paraId="32C36D09" w14:textId="77777777" w:rsidR="00CC789D" w:rsidRPr="00F04D99" w:rsidRDefault="00CC789D" w:rsidP="0014104A">
            <w:pPr>
              <w:keepNext/>
              <w:widowControl w:val="0"/>
              <w:jc w:val="center"/>
              <w:rPr>
                <w:rFonts w:ascii="Arial" w:hAnsi="Arial" w:cs="Arial"/>
                <w:spacing w:val="-2"/>
                <w:sz w:val="20"/>
                <w:szCs w:val="20"/>
              </w:rPr>
            </w:pPr>
            <w:r w:rsidRPr="00F04D99">
              <w:rPr>
                <w:rFonts w:ascii="Arial" w:hAnsi="Arial" w:cs="Arial"/>
                <w:spacing w:val="-2"/>
                <w:sz w:val="20"/>
                <w:szCs w:val="20"/>
              </w:rPr>
              <w:t>% of those with a support need</w:t>
            </w:r>
          </w:p>
        </w:tc>
      </w:tr>
      <w:tr w:rsidR="007534DC" w:rsidRPr="00F04D99" w14:paraId="1456D3FB" w14:textId="77777777" w:rsidTr="00172F56">
        <w:trPr>
          <w:jc w:val="center"/>
        </w:trPr>
        <w:tc>
          <w:tcPr>
            <w:tcW w:w="3253" w:type="dxa"/>
            <w:vAlign w:val="center"/>
          </w:tcPr>
          <w:p w14:paraId="7CFACAC7" w14:textId="77777777" w:rsidR="00F04D99" w:rsidRPr="00F04D99" w:rsidRDefault="00F04D99" w:rsidP="0014104A">
            <w:pPr>
              <w:keepNext/>
              <w:widowControl w:val="0"/>
              <w:rPr>
                <w:rFonts w:ascii="Arial" w:hAnsi="Arial" w:cs="Arial"/>
                <w:sz w:val="20"/>
                <w:szCs w:val="20"/>
              </w:rPr>
            </w:pPr>
            <w:r w:rsidRPr="00F04D99">
              <w:rPr>
                <w:rFonts w:ascii="Arial" w:hAnsi="Arial" w:cs="Arial"/>
                <w:sz w:val="20"/>
                <w:szCs w:val="20"/>
              </w:rPr>
              <w:t>Owner-occupied (no mortgage)</w:t>
            </w:r>
          </w:p>
        </w:tc>
        <w:tc>
          <w:tcPr>
            <w:tcW w:w="1236" w:type="dxa"/>
          </w:tcPr>
          <w:p w14:paraId="3C422729" w14:textId="0FD44D38" w:rsidR="00F04D99" w:rsidRPr="00F04D99" w:rsidRDefault="00F04D99" w:rsidP="0014104A">
            <w:pPr>
              <w:keepNext/>
              <w:jc w:val="center"/>
              <w:rPr>
                <w:rFonts w:ascii="Arial" w:hAnsi="Arial" w:cs="Arial"/>
                <w:sz w:val="20"/>
                <w:szCs w:val="20"/>
              </w:rPr>
            </w:pPr>
            <w:r w:rsidRPr="00F04D99">
              <w:rPr>
                <w:rFonts w:ascii="Arial" w:hAnsi="Arial" w:cs="Arial"/>
                <w:sz w:val="20"/>
                <w:szCs w:val="20"/>
              </w:rPr>
              <w:t>3,576</w:t>
            </w:r>
          </w:p>
        </w:tc>
        <w:tc>
          <w:tcPr>
            <w:tcW w:w="1237" w:type="dxa"/>
          </w:tcPr>
          <w:p w14:paraId="50E514E7" w14:textId="332A7E8C" w:rsidR="00F04D99" w:rsidRPr="00F04D99" w:rsidRDefault="00F04D99" w:rsidP="0014104A">
            <w:pPr>
              <w:keepNext/>
              <w:jc w:val="center"/>
              <w:rPr>
                <w:rFonts w:ascii="Arial" w:hAnsi="Arial" w:cs="Arial"/>
                <w:sz w:val="20"/>
                <w:szCs w:val="20"/>
              </w:rPr>
            </w:pPr>
            <w:r w:rsidRPr="00F04D99">
              <w:rPr>
                <w:rFonts w:ascii="Arial" w:hAnsi="Arial" w:cs="Arial"/>
                <w:sz w:val="20"/>
                <w:szCs w:val="20"/>
              </w:rPr>
              <w:t>17,604</w:t>
            </w:r>
          </w:p>
        </w:tc>
        <w:tc>
          <w:tcPr>
            <w:tcW w:w="1236" w:type="dxa"/>
          </w:tcPr>
          <w:p w14:paraId="7F5FC6EB" w14:textId="04C90AB1" w:rsidR="00F04D99" w:rsidRPr="00F04D99" w:rsidRDefault="00F04D99" w:rsidP="0014104A">
            <w:pPr>
              <w:keepNext/>
              <w:jc w:val="center"/>
              <w:rPr>
                <w:rFonts w:ascii="Arial" w:hAnsi="Arial" w:cs="Arial"/>
                <w:sz w:val="20"/>
                <w:szCs w:val="20"/>
              </w:rPr>
            </w:pPr>
            <w:r w:rsidRPr="00F04D99">
              <w:rPr>
                <w:rFonts w:ascii="Arial" w:hAnsi="Arial" w:cs="Arial"/>
                <w:sz w:val="20"/>
                <w:szCs w:val="20"/>
              </w:rPr>
              <w:t>20.3%</w:t>
            </w:r>
          </w:p>
        </w:tc>
        <w:tc>
          <w:tcPr>
            <w:tcW w:w="1237" w:type="dxa"/>
          </w:tcPr>
          <w:p w14:paraId="185F1FE2" w14:textId="701835F4" w:rsidR="00F04D99" w:rsidRPr="00F04D99" w:rsidRDefault="00F04D99" w:rsidP="0014104A">
            <w:pPr>
              <w:keepNext/>
              <w:jc w:val="center"/>
              <w:rPr>
                <w:rFonts w:ascii="Arial" w:hAnsi="Arial" w:cs="Arial"/>
                <w:sz w:val="20"/>
                <w:szCs w:val="20"/>
              </w:rPr>
            </w:pPr>
            <w:r w:rsidRPr="00F04D99">
              <w:rPr>
                <w:rFonts w:ascii="Arial" w:hAnsi="Arial" w:cs="Arial"/>
                <w:sz w:val="20"/>
                <w:szCs w:val="20"/>
              </w:rPr>
              <w:t>38.6%</w:t>
            </w:r>
          </w:p>
        </w:tc>
      </w:tr>
      <w:tr w:rsidR="007534DC" w:rsidRPr="00F04D99" w14:paraId="3D440977" w14:textId="77777777" w:rsidTr="00172F56">
        <w:trPr>
          <w:jc w:val="center"/>
        </w:trPr>
        <w:tc>
          <w:tcPr>
            <w:tcW w:w="3253" w:type="dxa"/>
            <w:vAlign w:val="center"/>
          </w:tcPr>
          <w:p w14:paraId="620F0478" w14:textId="77777777" w:rsidR="00F04D99" w:rsidRPr="00F04D99" w:rsidRDefault="00F04D99" w:rsidP="0014104A">
            <w:pPr>
              <w:keepNext/>
              <w:widowControl w:val="0"/>
              <w:rPr>
                <w:rFonts w:ascii="Arial" w:hAnsi="Arial" w:cs="Arial"/>
                <w:sz w:val="20"/>
                <w:szCs w:val="20"/>
              </w:rPr>
            </w:pPr>
            <w:r w:rsidRPr="00F04D99">
              <w:rPr>
                <w:rFonts w:ascii="Arial" w:hAnsi="Arial" w:cs="Arial"/>
                <w:sz w:val="20"/>
                <w:szCs w:val="20"/>
              </w:rPr>
              <w:t>Owner-occupied (with mortgage)</w:t>
            </w:r>
          </w:p>
        </w:tc>
        <w:tc>
          <w:tcPr>
            <w:tcW w:w="1236" w:type="dxa"/>
          </w:tcPr>
          <w:p w14:paraId="752B69F3" w14:textId="439E9987" w:rsidR="00F04D99" w:rsidRPr="00F04D99" w:rsidRDefault="00F04D99" w:rsidP="0014104A">
            <w:pPr>
              <w:keepNext/>
              <w:jc w:val="center"/>
              <w:rPr>
                <w:rFonts w:ascii="Arial" w:hAnsi="Arial" w:cs="Arial"/>
                <w:sz w:val="20"/>
                <w:szCs w:val="20"/>
              </w:rPr>
            </w:pPr>
            <w:r w:rsidRPr="00F04D99">
              <w:rPr>
                <w:rFonts w:ascii="Arial" w:hAnsi="Arial" w:cs="Arial"/>
                <w:sz w:val="20"/>
                <w:szCs w:val="20"/>
              </w:rPr>
              <w:t>1,313</w:t>
            </w:r>
          </w:p>
        </w:tc>
        <w:tc>
          <w:tcPr>
            <w:tcW w:w="1237" w:type="dxa"/>
          </w:tcPr>
          <w:p w14:paraId="1D8C80DF" w14:textId="369A3E46" w:rsidR="00F04D99" w:rsidRPr="00F04D99" w:rsidRDefault="00F04D99" w:rsidP="0014104A">
            <w:pPr>
              <w:keepNext/>
              <w:jc w:val="center"/>
              <w:rPr>
                <w:rFonts w:ascii="Arial" w:hAnsi="Arial" w:cs="Arial"/>
                <w:sz w:val="20"/>
                <w:szCs w:val="20"/>
              </w:rPr>
            </w:pPr>
            <w:r w:rsidRPr="00F04D99">
              <w:rPr>
                <w:rFonts w:ascii="Arial" w:hAnsi="Arial" w:cs="Arial"/>
                <w:sz w:val="20"/>
                <w:szCs w:val="20"/>
              </w:rPr>
              <w:t>10,385</w:t>
            </w:r>
          </w:p>
        </w:tc>
        <w:tc>
          <w:tcPr>
            <w:tcW w:w="1236" w:type="dxa"/>
          </w:tcPr>
          <w:p w14:paraId="3238AC93" w14:textId="6651A04B" w:rsidR="00F04D99" w:rsidRPr="00F04D99" w:rsidRDefault="00F04D99" w:rsidP="0014104A">
            <w:pPr>
              <w:keepNext/>
              <w:jc w:val="center"/>
              <w:rPr>
                <w:rFonts w:ascii="Arial" w:hAnsi="Arial" w:cs="Arial"/>
                <w:sz w:val="20"/>
                <w:szCs w:val="20"/>
              </w:rPr>
            </w:pPr>
            <w:r w:rsidRPr="00F04D99">
              <w:rPr>
                <w:rFonts w:ascii="Arial" w:hAnsi="Arial" w:cs="Arial"/>
                <w:sz w:val="20"/>
                <w:szCs w:val="20"/>
              </w:rPr>
              <w:t>12.6%</w:t>
            </w:r>
          </w:p>
        </w:tc>
        <w:tc>
          <w:tcPr>
            <w:tcW w:w="1237" w:type="dxa"/>
          </w:tcPr>
          <w:p w14:paraId="43415AC5" w14:textId="033CACF5" w:rsidR="00F04D99" w:rsidRPr="00F04D99" w:rsidRDefault="00F04D99" w:rsidP="0014104A">
            <w:pPr>
              <w:keepNext/>
              <w:jc w:val="center"/>
              <w:rPr>
                <w:rFonts w:ascii="Arial" w:hAnsi="Arial" w:cs="Arial"/>
                <w:sz w:val="20"/>
                <w:szCs w:val="20"/>
              </w:rPr>
            </w:pPr>
            <w:r w:rsidRPr="00F04D99">
              <w:rPr>
                <w:rFonts w:ascii="Arial" w:hAnsi="Arial" w:cs="Arial"/>
                <w:sz w:val="20"/>
                <w:szCs w:val="20"/>
              </w:rPr>
              <w:t>14.2%</w:t>
            </w:r>
          </w:p>
        </w:tc>
      </w:tr>
      <w:tr w:rsidR="007534DC" w:rsidRPr="00F04D99" w14:paraId="6D59FB3B" w14:textId="77777777" w:rsidTr="00172F56">
        <w:trPr>
          <w:jc w:val="center"/>
        </w:trPr>
        <w:tc>
          <w:tcPr>
            <w:tcW w:w="3253" w:type="dxa"/>
            <w:vAlign w:val="center"/>
          </w:tcPr>
          <w:p w14:paraId="762BE229" w14:textId="77777777" w:rsidR="00F04D99" w:rsidRPr="00F04D99" w:rsidRDefault="00F04D99" w:rsidP="0014104A">
            <w:pPr>
              <w:keepNext/>
              <w:widowControl w:val="0"/>
              <w:rPr>
                <w:rFonts w:ascii="Arial" w:hAnsi="Arial" w:cs="Arial"/>
                <w:sz w:val="20"/>
                <w:szCs w:val="20"/>
              </w:rPr>
            </w:pPr>
            <w:r w:rsidRPr="00F04D99">
              <w:rPr>
                <w:rFonts w:ascii="Arial" w:hAnsi="Arial" w:cs="Arial"/>
                <w:sz w:val="20"/>
                <w:szCs w:val="20"/>
              </w:rPr>
              <w:t>Social rented</w:t>
            </w:r>
          </w:p>
        </w:tc>
        <w:tc>
          <w:tcPr>
            <w:tcW w:w="1236" w:type="dxa"/>
          </w:tcPr>
          <w:p w14:paraId="0C902720" w14:textId="79966390" w:rsidR="00F04D99" w:rsidRPr="00F04D99" w:rsidRDefault="00F04D99" w:rsidP="0014104A">
            <w:pPr>
              <w:keepNext/>
              <w:jc w:val="center"/>
              <w:rPr>
                <w:rFonts w:ascii="Arial" w:hAnsi="Arial" w:cs="Arial"/>
                <w:sz w:val="20"/>
                <w:szCs w:val="20"/>
              </w:rPr>
            </w:pPr>
            <w:r w:rsidRPr="00F04D99">
              <w:rPr>
                <w:rFonts w:ascii="Arial" w:hAnsi="Arial" w:cs="Arial"/>
                <w:sz w:val="20"/>
                <w:szCs w:val="20"/>
              </w:rPr>
              <w:t>1,715</w:t>
            </w:r>
          </w:p>
        </w:tc>
        <w:tc>
          <w:tcPr>
            <w:tcW w:w="1237" w:type="dxa"/>
          </w:tcPr>
          <w:p w14:paraId="11399D37" w14:textId="7500EB0B" w:rsidR="00F04D99" w:rsidRPr="00F04D99" w:rsidRDefault="00F04D99" w:rsidP="0014104A">
            <w:pPr>
              <w:keepNext/>
              <w:jc w:val="center"/>
              <w:rPr>
                <w:rFonts w:ascii="Arial" w:hAnsi="Arial" w:cs="Arial"/>
                <w:sz w:val="20"/>
                <w:szCs w:val="20"/>
              </w:rPr>
            </w:pPr>
            <w:r w:rsidRPr="00F04D99">
              <w:rPr>
                <w:rFonts w:ascii="Arial" w:hAnsi="Arial" w:cs="Arial"/>
                <w:sz w:val="20"/>
                <w:szCs w:val="20"/>
              </w:rPr>
              <w:t>3,264</w:t>
            </w:r>
          </w:p>
        </w:tc>
        <w:tc>
          <w:tcPr>
            <w:tcW w:w="1236" w:type="dxa"/>
          </w:tcPr>
          <w:p w14:paraId="6A510F5C" w14:textId="7A95FA9E" w:rsidR="00F04D99" w:rsidRPr="00F04D99" w:rsidRDefault="00F04D99" w:rsidP="0014104A">
            <w:pPr>
              <w:keepNext/>
              <w:jc w:val="center"/>
              <w:rPr>
                <w:rFonts w:ascii="Arial" w:hAnsi="Arial" w:cs="Arial"/>
                <w:sz w:val="20"/>
                <w:szCs w:val="20"/>
              </w:rPr>
            </w:pPr>
            <w:r w:rsidRPr="00F04D99">
              <w:rPr>
                <w:rFonts w:ascii="Arial" w:hAnsi="Arial" w:cs="Arial"/>
                <w:sz w:val="20"/>
                <w:szCs w:val="20"/>
              </w:rPr>
              <w:t>52.5%</w:t>
            </w:r>
          </w:p>
        </w:tc>
        <w:tc>
          <w:tcPr>
            <w:tcW w:w="1237" w:type="dxa"/>
          </w:tcPr>
          <w:p w14:paraId="42C72818" w14:textId="64C65350" w:rsidR="00F04D99" w:rsidRPr="00F04D99" w:rsidRDefault="00F04D99" w:rsidP="0014104A">
            <w:pPr>
              <w:keepNext/>
              <w:jc w:val="center"/>
              <w:rPr>
                <w:rFonts w:ascii="Arial" w:hAnsi="Arial" w:cs="Arial"/>
                <w:sz w:val="20"/>
                <w:szCs w:val="20"/>
              </w:rPr>
            </w:pPr>
            <w:r w:rsidRPr="00F04D99">
              <w:rPr>
                <w:rFonts w:ascii="Arial" w:hAnsi="Arial" w:cs="Arial"/>
                <w:sz w:val="20"/>
                <w:szCs w:val="20"/>
              </w:rPr>
              <w:t>18.5%</w:t>
            </w:r>
          </w:p>
        </w:tc>
      </w:tr>
      <w:tr w:rsidR="007534DC" w:rsidRPr="00F04D99" w14:paraId="6FD748F8" w14:textId="77777777" w:rsidTr="00172F56">
        <w:trPr>
          <w:jc w:val="center"/>
        </w:trPr>
        <w:tc>
          <w:tcPr>
            <w:tcW w:w="3253" w:type="dxa"/>
            <w:vAlign w:val="center"/>
          </w:tcPr>
          <w:p w14:paraId="3007F075" w14:textId="77777777" w:rsidR="00F04D99" w:rsidRPr="00F04D99" w:rsidRDefault="00F04D99" w:rsidP="0014104A">
            <w:pPr>
              <w:keepNext/>
              <w:widowControl w:val="0"/>
              <w:rPr>
                <w:rFonts w:ascii="Arial" w:hAnsi="Arial" w:cs="Arial"/>
                <w:sz w:val="20"/>
                <w:szCs w:val="20"/>
              </w:rPr>
            </w:pPr>
            <w:r w:rsidRPr="00F04D99">
              <w:rPr>
                <w:rFonts w:ascii="Arial" w:hAnsi="Arial" w:cs="Arial"/>
                <w:sz w:val="20"/>
                <w:szCs w:val="20"/>
              </w:rPr>
              <w:t>Private rented</w:t>
            </w:r>
          </w:p>
        </w:tc>
        <w:tc>
          <w:tcPr>
            <w:tcW w:w="1236" w:type="dxa"/>
          </w:tcPr>
          <w:p w14:paraId="3BA0933E" w14:textId="1EF3CAAE" w:rsidR="00F04D99" w:rsidRPr="00F04D99" w:rsidRDefault="00F04D99" w:rsidP="0014104A">
            <w:pPr>
              <w:keepNext/>
              <w:jc w:val="center"/>
              <w:rPr>
                <w:rFonts w:ascii="Arial" w:hAnsi="Arial" w:cs="Arial"/>
                <w:sz w:val="20"/>
                <w:szCs w:val="20"/>
              </w:rPr>
            </w:pPr>
            <w:r w:rsidRPr="00F04D99">
              <w:rPr>
                <w:rFonts w:ascii="Arial" w:hAnsi="Arial" w:cs="Arial"/>
                <w:sz w:val="20"/>
                <w:szCs w:val="20"/>
              </w:rPr>
              <w:t>2,656</w:t>
            </w:r>
          </w:p>
        </w:tc>
        <w:tc>
          <w:tcPr>
            <w:tcW w:w="1237" w:type="dxa"/>
          </w:tcPr>
          <w:p w14:paraId="1A3D8A17" w14:textId="3E14E118" w:rsidR="00F04D99" w:rsidRPr="00F04D99" w:rsidRDefault="00F04D99" w:rsidP="0014104A">
            <w:pPr>
              <w:keepNext/>
              <w:jc w:val="center"/>
              <w:rPr>
                <w:rFonts w:ascii="Arial" w:hAnsi="Arial" w:cs="Arial"/>
                <w:sz w:val="20"/>
                <w:szCs w:val="20"/>
              </w:rPr>
            </w:pPr>
            <w:r w:rsidRPr="00F04D99">
              <w:rPr>
                <w:rFonts w:ascii="Arial" w:hAnsi="Arial" w:cs="Arial"/>
                <w:sz w:val="20"/>
                <w:szCs w:val="20"/>
              </w:rPr>
              <w:t>7,746</w:t>
            </w:r>
          </w:p>
        </w:tc>
        <w:tc>
          <w:tcPr>
            <w:tcW w:w="1236" w:type="dxa"/>
          </w:tcPr>
          <w:p w14:paraId="45E762A8" w14:textId="68CB6FA5" w:rsidR="00F04D99" w:rsidRPr="00F04D99" w:rsidRDefault="00F04D99" w:rsidP="0014104A">
            <w:pPr>
              <w:keepNext/>
              <w:jc w:val="center"/>
              <w:rPr>
                <w:rFonts w:ascii="Arial" w:hAnsi="Arial" w:cs="Arial"/>
                <w:sz w:val="20"/>
                <w:szCs w:val="20"/>
              </w:rPr>
            </w:pPr>
            <w:r w:rsidRPr="00F04D99">
              <w:rPr>
                <w:rFonts w:ascii="Arial" w:hAnsi="Arial" w:cs="Arial"/>
                <w:sz w:val="20"/>
                <w:szCs w:val="20"/>
              </w:rPr>
              <w:t>34.3%</w:t>
            </w:r>
          </w:p>
        </w:tc>
        <w:tc>
          <w:tcPr>
            <w:tcW w:w="1237" w:type="dxa"/>
          </w:tcPr>
          <w:p w14:paraId="58C099C0" w14:textId="584A160E" w:rsidR="00F04D99" w:rsidRPr="00F04D99" w:rsidRDefault="00F04D99" w:rsidP="0014104A">
            <w:pPr>
              <w:keepNext/>
              <w:jc w:val="center"/>
              <w:rPr>
                <w:rFonts w:ascii="Arial" w:hAnsi="Arial" w:cs="Arial"/>
                <w:sz w:val="20"/>
                <w:szCs w:val="20"/>
              </w:rPr>
            </w:pPr>
            <w:r w:rsidRPr="00F04D99">
              <w:rPr>
                <w:rFonts w:ascii="Arial" w:hAnsi="Arial" w:cs="Arial"/>
                <w:sz w:val="20"/>
                <w:szCs w:val="20"/>
              </w:rPr>
              <w:t>28.7%</w:t>
            </w:r>
          </w:p>
        </w:tc>
      </w:tr>
      <w:tr w:rsidR="007534DC" w:rsidRPr="00F04D99" w14:paraId="6C52B3BD" w14:textId="77777777" w:rsidTr="00172F56">
        <w:trPr>
          <w:jc w:val="center"/>
        </w:trPr>
        <w:tc>
          <w:tcPr>
            <w:tcW w:w="3253" w:type="dxa"/>
            <w:vAlign w:val="center"/>
          </w:tcPr>
          <w:p w14:paraId="3117335A" w14:textId="77777777" w:rsidR="00F04D99" w:rsidRPr="00F04D99" w:rsidRDefault="00F04D99" w:rsidP="0014104A">
            <w:pPr>
              <w:keepNext/>
              <w:widowControl w:val="0"/>
              <w:rPr>
                <w:rFonts w:ascii="Arial" w:hAnsi="Arial" w:cs="Arial"/>
                <w:sz w:val="20"/>
                <w:szCs w:val="20"/>
              </w:rPr>
            </w:pPr>
            <w:r w:rsidRPr="00F04D99">
              <w:rPr>
                <w:rFonts w:ascii="Arial" w:hAnsi="Arial" w:cs="Arial"/>
                <w:sz w:val="20"/>
                <w:szCs w:val="20"/>
              </w:rPr>
              <w:t>Total</w:t>
            </w:r>
          </w:p>
        </w:tc>
        <w:tc>
          <w:tcPr>
            <w:tcW w:w="1236" w:type="dxa"/>
          </w:tcPr>
          <w:p w14:paraId="6219D4D7" w14:textId="18F3033E" w:rsidR="00F04D99" w:rsidRPr="00F04D99" w:rsidRDefault="00F04D99" w:rsidP="0014104A">
            <w:pPr>
              <w:keepNext/>
              <w:jc w:val="center"/>
              <w:rPr>
                <w:rFonts w:ascii="Arial" w:hAnsi="Arial" w:cs="Arial"/>
                <w:sz w:val="20"/>
                <w:szCs w:val="20"/>
              </w:rPr>
            </w:pPr>
            <w:r w:rsidRPr="00F04D99">
              <w:rPr>
                <w:rFonts w:ascii="Arial" w:hAnsi="Arial" w:cs="Arial"/>
                <w:sz w:val="20"/>
                <w:szCs w:val="20"/>
              </w:rPr>
              <w:t>9,259</w:t>
            </w:r>
          </w:p>
        </w:tc>
        <w:tc>
          <w:tcPr>
            <w:tcW w:w="1237" w:type="dxa"/>
          </w:tcPr>
          <w:p w14:paraId="14073172" w14:textId="7485BE5D" w:rsidR="00F04D99" w:rsidRPr="00F04D99" w:rsidRDefault="00F04D99" w:rsidP="0014104A">
            <w:pPr>
              <w:keepNext/>
              <w:jc w:val="center"/>
              <w:rPr>
                <w:rFonts w:ascii="Arial" w:hAnsi="Arial" w:cs="Arial"/>
                <w:sz w:val="20"/>
                <w:szCs w:val="20"/>
              </w:rPr>
            </w:pPr>
            <w:r w:rsidRPr="00F04D99">
              <w:rPr>
                <w:rFonts w:ascii="Arial" w:hAnsi="Arial" w:cs="Arial"/>
                <w:sz w:val="20"/>
                <w:szCs w:val="20"/>
              </w:rPr>
              <w:t>39,000</w:t>
            </w:r>
          </w:p>
        </w:tc>
        <w:tc>
          <w:tcPr>
            <w:tcW w:w="1236" w:type="dxa"/>
          </w:tcPr>
          <w:p w14:paraId="7300A71F" w14:textId="7072D495" w:rsidR="00F04D99" w:rsidRPr="00F04D99" w:rsidRDefault="00F04D99" w:rsidP="0014104A">
            <w:pPr>
              <w:keepNext/>
              <w:jc w:val="center"/>
              <w:rPr>
                <w:rFonts w:ascii="Arial" w:hAnsi="Arial" w:cs="Arial"/>
                <w:sz w:val="20"/>
                <w:szCs w:val="20"/>
              </w:rPr>
            </w:pPr>
            <w:r w:rsidRPr="00F04D99">
              <w:rPr>
                <w:rFonts w:ascii="Arial" w:hAnsi="Arial" w:cs="Arial"/>
                <w:sz w:val="20"/>
                <w:szCs w:val="20"/>
              </w:rPr>
              <w:t>23.7%</w:t>
            </w:r>
          </w:p>
        </w:tc>
        <w:tc>
          <w:tcPr>
            <w:tcW w:w="1237" w:type="dxa"/>
          </w:tcPr>
          <w:p w14:paraId="7B183FC0" w14:textId="6FAF423F" w:rsidR="00F04D99" w:rsidRPr="00F04D99" w:rsidRDefault="00F04D99" w:rsidP="0014104A">
            <w:pPr>
              <w:keepNext/>
              <w:jc w:val="center"/>
              <w:rPr>
                <w:rFonts w:ascii="Arial" w:hAnsi="Arial" w:cs="Arial"/>
                <w:sz w:val="20"/>
                <w:szCs w:val="20"/>
              </w:rPr>
            </w:pPr>
            <w:r w:rsidRPr="00F04D99">
              <w:rPr>
                <w:rFonts w:ascii="Arial" w:hAnsi="Arial" w:cs="Arial"/>
                <w:sz w:val="20"/>
                <w:szCs w:val="20"/>
              </w:rPr>
              <w:t>100.0%</w:t>
            </w:r>
          </w:p>
        </w:tc>
      </w:tr>
    </w:tbl>
    <w:p w14:paraId="3BC657C4" w14:textId="31759FF1" w:rsidR="00CC789D" w:rsidRPr="00F04D99"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4321C8A7" w14:textId="77777777" w:rsidR="00CC789D" w:rsidRPr="00F04D99" w:rsidRDefault="00CC789D" w:rsidP="00172F56">
      <w:pPr>
        <w:pStyle w:val="Reporttext0"/>
        <w:keepLines w:val="0"/>
        <w:widowControl w:val="0"/>
        <w:numPr>
          <w:ilvl w:val="0"/>
          <w:numId w:val="0"/>
        </w:numPr>
        <w:spacing w:line="300" w:lineRule="auto"/>
        <w:jc w:val="both"/>
        <w:rPr>
          <w:rFonts w:ascii="Arial" w:hAnsi="Arial" w:cs="Arial"/>
          <w:sz w:val="20"/>
        </w:rPr>
      </w:pPr>
    </w:p>
    <w:tbl>
      <w:tblPr>
        <w:tblStyle w:val="TableGrid1"/>
        <w:tblW w:w="8199" w:type="dxa"/>
        <w:jc w:val="center"/>
        <w:tblLayout w:type="fixed"/>
        <w:tblLook w:val="00A0" w:firstRow="1" w:lastRow="0" w:firstColumn="1" w:lastColumn="0" w:noHBand="0" w:noVBand="0"/>
      </w:tblPr>
      <w:tblGrid>
        <w:gridCol w:w="2479"/>
        <w:gridCol w:w="1430"/>
        <w:gridCol w:w="1430"/>
        <w:gridCol w:w="1430"/>
        <w:gridCol w:w="1430"/>
      </w:tblGrid>
      <w:tr w:rsidR="00F04D99" w:rsidRPr="00F04D99" w14:paraId="250ADB76" w14:textId="77777777" w:rsidTr="00172F56">
        <w:trPr>
          <w:jc w:val="center"/>
        </w:trPr>
        <w:tc>
          <w:tcPr>
            <w:tcW w:w="8199" w:type="dxa"/>
            <w:gridSpan w:val="5"/>
          </w:tcPr>
          <w:p w14:paraId="288F85C0" w14:textId="55B96A8E" w:rsidR="00F04D99" w:rsidRPr="00F04D99" w:rsidRDefault="00F04D99" w:rsidP="0014104A">
            <w:pPr>
              <w:widowControl w:val="0"/>
              <w:spacing w:before="60" w:after="60" w:line="300" w:lineRule="auto"/>
              <w:jc w:val="center"/>
              <w:rPr>
                <w:rFonts w:ascii="Arial" w:hAnsi="Arial" w:cs="Arial"/>
                <w:b/>
                <w:bCs/>
                <w:sz w:val="20"/>
                <w:szCs w:val="20"/>
              </w:rPr>
            </w:pPr>
            <w:r w:rsidRPr="00F04D99">
              <w:rPr>
                <w:rFonts w:ascii="Arial" w:hAnsi="Arial" w:cs="Arial"/>
                <w:b/>
                <w:bCs/>
                <w:sz w:val="20"/>
                <w:szCs w:val="20"/>
              </w:rPr>
              <w:t xml:space="preserve">Figure 6.5: </w:t>
            </w:r>
            <w:bookmarkStart w:id="55" w:name="_Toc372039094"/>
            <w:r w:rsidR="005E68BC">
              <w:rPr>
                <w:rFonts w:ascii="Arial" w:hAnsi="Arial" w:cs="Arial"/>
                <w:b/>
                <w:bCs/>
                <w:sz w:val="20"/>
                <w:szCs w:val="20"/>
              </w:rPr>
              <w:t xml:space="preserve">Households with </w:t>
            </w:r>
            <w:r w:rsidRPr="00F04D99">
              <w:rPr>
                <w:rFonts w:ascii="Arial" w:hAnsi="Arial" w:cs="Arial"/>
                <w:b/>
                <w:bCs/>
                <w:sz w:val="20"/>
                <w:szCs w:val="20"/>
              </w:rPr>
              <w:t xml:space="preserve">Support needs </w:t>
            </w:r>
            <w:r w:rsidR="005E68BC">
              <w:rPr>
                <w:rFonts w:ascii="Arial" w:hAnsi="Arial" w:cs="Arial"/>
                <w:b/>
                <w:bCs/>
                <w:sz w:val="20"/>
                <w:szCs w:val="20"/>
              </w:rPr>
              <w:t>in</w:t>
            </w:r>
            <w:r w:rsidR="004747D5">
              <w:rPr>
                <w:rFonts w:ascii="Arial" w:hAnsi="Arial" w:cs="Arial"/>
                <w:b/>
                <w:bCs/>
                <w:sz w:val="20"/>
                <w:szCs w:val="20"/>
              </w:rPr>
              <w:t xml:space="preserve"> </w:t>
            </w:r>
            <w:r w:rsidRPr="00F04D99">
              <w:rPr>
                <w:rFonts w:ascii="Arial" w:hAnsi="Arial" w:cs="Arial"/>
                <w:b/>
                <w:bCs/>
                <w:sz w:val="20"/>
                <w:szCs w:val="20"/>
              </w:rPr>
              <w:t>Unsuitable Housing</w:t>
            </w:r>
            <w:bookmarkEnd w:id="55"/>
          </w:p>
        </w:tc>
      </w:tr>
      <w:tr w:rsidR="00CC789D" w:rsidRPr="00F04D99" w14:paraId="2AA30FAC" w14:textId="77777777" w:rsidTr="00172F56">
        <w:trPr>
          <w:jc w:val="center"/>
        </w:trPr>
        <w:tc>
          <w:tcPr>
            <w:tcW w:w="2479" w:type="dxa"/>
            <w:vMerge w:val="restart"/>
          </w:tcPr>
          <w:p w14:paraId="76564920" w14:textId="45399DF5" w:rsidR="00CC789D" w:rsidRPr="00F04D99" w:rsidRDefault="0094079E" w:rsidP="0014104A">
            <w:pPr>
              <w:widowControl w:val="0"/>
              <w:spacing w:line="300" w:lineRule="auto"/>
              <w:rPr>
                <w:rFonts w:ascii="Arial" w:hAnsi="Arial" w:cs="Arial"/>
                <w:sz w:val="20"/>
                <w:szCs w:val="20"/>
              </w:rPr>
            </w:pPr>
            <w:r>
              <w:rPr>
                <w:rFonts w:ascii="Arial" w:hAnsi="Arial" w:cs="Arial"/>
                <w:sz w:val="20"/>
                <w:szCs w:val="20"/>
              </w:rPr>
              <w:t>I</w:t>
            </w:r>
            <w:r>
              <w:rPr>
                <w:sz w:val="20"/>
                <w:szCs w:val="20"/>
              </w:rPr>
              <w:t xml:space="preserve">n </w:t>
            </w:r>
            <w:r>
              <w:rPr>
                <w:rFonts w:ascii="Arial" w:hAnsi="Arial" w:cs="Arial"/>
                <w:sz w:val="20"/>
                <w:szCs w:val="20"/>
              </w:rPr>
              <w:t>u</w:t>
            </w:r>
            <w:r w:rsidR="00CC789D" w:rsidRPr="00F04D99">
              <w:rPr>
                <w:rFonts w:ascii="Arial" w:hAnsi="Arial" w:cs="Arial"/>
                <w:sz w:val="20"/>
                <w:szCs w:val="20"/>
              </w:rPr>
              <w:t>nsuitable housing</w:t>
            </w:r>
            <w:r>
              <w:rPr>
                <w:rFonts w:ascii="Arial" w:hAnsi="Arial" w:cs="Arial"/>
                <w:sz w:val="20"/>
                <w:szCs w:val="20"/>
              </w:rPr>
              <w:t>…</w:t>
            </w:r>
          </w:p>
        </w:tc>
        <w:tc>
          <w:tcPr>
            <w:tcW w:w="5720" w:type="dxa"/>
            <w:gridSpan w:val="4"/>
          </w:tcPr>
          <w:p w14:paraId="674058FF" w14:textId="77777777" w:rsidR="00CC789D" w:rsidRPr="00F04D99" w:rsidRDefault="00CC789D" w:rsidP="0014104A">
            <w:pPr>
              <w:widowControl w:val="0"/>
              <w:spacing w:line="300" w:lineRule="auto"/>
              <w:jc w:val="center"/>
              <w:rPr>
                <w:rFonts w:ascii="Arial" w:hAnsi="Arial" w:cs="Arial"/>
                <w:sz w:val="20"/>
                <w:szCs w:val="20"/>
              </w:rPr>
            </w:pPr>
            <w:r w:rsidRPr="00F04D99">
              <w:rPr>
                <w:rFonts w:ascii="Arial" w:hAnsi="Arial" w:cs="Arial"/>
                <w:sz w:val="20"/>
                <w:szCs w:val="20"/>
              </w:rPr>
              <w:t>Support needs households</w:t>
            </w:r>
          </w:p>
        </w:tc>
      </w:tr>
      <w:tr w:rsidR="00954472" w:rsidRPr="00F04D99" w14:paraId="13CEEADC" w14:textId="77777777" w:rsidTr="00172F56">
        <w:trPr>
          <w:jc w:val="center"/>
        </w:trPr>
        <w:tc>
          <w:tcPr>
            <w:tcW w:w="2479" w:type="dxa"/>
            <w:vMerge/>
          </w:tcPr>
          <w:p w14:paraId="4C9CF594" w14:textId="77777777" w:rsidR="00CC789D" w:rsidRPr="00F04D99" w:rsidRDefault="00CC789D" w:rsidP="0014104A">
            <w:pPr>
              <w:widowControl w:val="0"/>
              <w:spacing w:line="300" w:lineRule="auto"/>
              <w:rPr>
                <w:rFonts w:ascii="Arial" w:hAnsi="Arial" w:cs="Arial"/>
                <w:sz w:val="20"/>
                <w:szCs w:val="20"/>
              </w:rPr>
            </w:pPr>
          </w:p>
        </w:tc>
        <w:tc>
          <w:tcPr>
            <w:tcW w:w="1430" w:type="dxa"/>
          </w:tcPr>
          <w:p w14:paraId="3C85FC2B" w14:textId="32E15AB5" w:rsidR="00CC789D" w:rsidRPr="00F04D99" w:rsidRDefault="00DD4E0E" w:rsidP="0014104A">
            <w:pPr>
              <w:widowControl w:val="0"/>
              <w:spacing w:line="300" w:lineRule="auto"/>
              <w:jc w:val="center"/>
              <w:rPr>
                <w:rFonts w:ascii="Arial" w:hAnsi="Arial" w:cs="Arial"/>
                <w:sz w:val="20"/>
                <w:szCs w:val="20"/>
              </w:rPr>
            </w:pPr>
            <w:r>
              <w:rPr>
                <w:rFonts w:ascii="Arial" w:hAnsi="Arial" w:cs="Arial"/>
                <w:sz w:val="20"/>
                <w:szCs w:val="20"/>
              </w:rPr>
              <w:t xml:space="preserve">Number of households </w:t>
            </w:r>
            <w:r w:rsidR="00954472">
              <w:rPr>
                <w:rFonts w:ascii="Arial" w:hAnsi="Arial" w:cs="Arial"/>
                <w:sz w:val="20"/>
                <w:szCs w:val="20"/>
              </w:rPr>
              <w:t xml:space="preserve">with </w:t>
            </w:r>
            <w:r w:rsidR="00CC789D" w:rsidRPr="00F04D99">
              <w:rPr>
                <w:rFonts w:ascii="Arial" w:hAnsi="Arial" w:cs="Arial"/>
                <w:sz w:val="20"/>
                <w:szCs w:val="20"/>
              </w:rPr>
              <w:t>Support needs</w:t>
            </w:r>
          </w:p>
        </w:tc>
        <w:tc>
          <w:tcPr>
            <w:tcW w:w="1430" w:type="dxa"/>
          </w:tcPr>
          <w:p w14:paraId="7B27C972" w14:textId="4E6D87B6" w:rsidR="00CC789D" w:rsidRPr="00F04D99" w:rsidRDefault="00954472" w:rsidP="0014104A">
            <w:pPr>
              <w:widowControl w:val="0"/>
              <w:spacing w:line="300" w:lineRule="auto"/>
              <w:jc w:val="center"/>
              <w:rPr>
                <w:rFonts w:ascii="Arial" w:hAnsi="Arial" w:cs="Arial"/>
                <w:sz w:val="20"/>
                <w:szCs w:val="20"/>
              </w:rPr>
            </w:pPr>
            <w:r>
              <w:rPr>
                <w:rFonts w:ascii="Arial" w:hAnsi="Arial" w:cs="Arial"/>
                <w:sz w:val="20"/>
                <w:szCs w:val="20"/>
              </w:rPr>
              <w:t xml:space="preserve">Total </w:t>
            </w:r>
            <w:r w:rsidR="00CC789D" w:rsidRPr="00F04D99">
              <w:rPr>
                <w:rFonts w:ascii="Arial" w:hAnsi="Arial" w:cs="Arial"/>
                <w:sz w:val="20"/>
                <w:szCs w:val="20"/>
              </w:rPr>
              <w:t xml:space="preserve">Number of </w:t>
            </w:r>
            <w:r>
              <w:rPr>
                <w:rFonts w:ascii="Arial" w:hAnsi="Arial" w:cs="Arial"/>
                <w:sz w:val="20"/>
                <w:szCs w:val="20"/>
              </w:rPr>
              <w:t>households</w:t>
            </w:r>
          </w:p>
        </w:tc>
        <w:tc>
          <w:tcPr>
            <w:tcW w:w="1430" w:type="dxa"/>
          </w:tcPr>
          <w:p w14:paraId="406813B9" w14:textId="5AFC2470" w:rsidR="00CC789D" w:rsidRPr="00F04D99" w:rsidRDefault="00CC789D" w:rsidP="0014104A">
            <w:pPr>
              <w:widowControl w:val="0"/>
              <w:spacing w:line="300" w:lineRule="auto"/>
              <w:jc w:val="center"/>
              <w:rPr>
                <w:rFonts w:ascii="Arial" w:hAnsi="Arial" w:cs="Arial"/>
                <w:sz w:val="20"/>
                <w:szCs w:val="20"/>
              </w:rPr>
            </w:pPr>
            <w:r w:rsidRPr="00F04D99">
              <w:rPr>
                <w:rFonts w:ascii="Arial" w:hAnsi="Arial" w:cs="Arial"/>
                <w:sz w:val="20"/>
                <w:szCs w:val="20"/>
              </w:rPr>
              <w:t xml:space="preserve">% of </w:t>
            </w:r>
            <w:r w:rsidR="00954472">
              <w:rPr>
                <w:rFonts w:ascii="Arial" w:hAnsi="Arial" w:cs="Arial"/>
                <w:sz w:val="20"/>
                <w:szCs w:val="20"/>
              </w:rPr>
              <w:t>households</w:t>
            </w:r>
            <w:r w:rsidR="00954472" w:rsidRPr="00F04D99">
              <w:rPr>
                <w:rFonts w:ascii="Arial" w:hAnsi="Arial" w:cs="Arial"/>
                <w:sz w:val="20"/>
                <w:szCs w:val="20"/>
              </w:rPr>
              <w:t xml:space="preserve"> </w:t>
            </w:r>
            <w:r w:rsidRPr="00F04D99">
              <w:rPr>
                <w:rFonts w:ascii="Arial" w:hAnsi="Arial" w:cs="Arial"/>
                <w:sz w:val="20"/>
                <w:szCs w:val="20"/>
              </w:rPr>
              <w:t>with support needs</w:t>
            </w:r>
          </w:p>
        </w:tc>
        <w:tc>
          <w:tcPr>
            <w:tcW w:w="1430" w:type="dxa"/>
          </w:tcPr>
          <w:p w14:paraId="73C97D0A" w14:textId="0180B875" w:rsidR="00CC789D" w:rsidRPr="00F04D99" w:rsidRDefault="00CC789D" w:rsidP="0014104A">
            <w:pPr>
              <w:widowControl w:val="0"/>
              <w:spacing w:line="300" w:lineRule="auto"/>
              <w:jc w:val="center"/>
              <w:rPr>
                <w:rFonts w:ascii="Arial" w:hAnsi="Arial" w:cs="Arial"/>
                <w:spacing w:val="-2"/>
                <w:sz w:val="20"/>
                <w:szCs w:val="20"/>
              </w:rPr>
            </w:pPr>
            <w:r w:rsidRPr="00F04D99">
              <w:rPr>
                <w:rFonts w:ascii="Arial" w:hAnsi="Arial" w:cs="Arial"/>
                <w:spacing w:val="-2"/>
                <w:sz w:val="20"/>
                <w:szCs w:val="20"/>
              </w:rPr>
              <w:t>% of those with a support need</w:t>
            </w:r>
          </w:p>
        </w:tc>
      </w:tr>
      <w:tr w:rsidR="00954472" w:rsidRPr="00F04D99" w14:paraId="43606F21" w14:textId="77777777" w:rsidTr="00172F56">
        <w:trPr>
          <w:jc w:val="center"/>
        </w:trPr>
        <w:tc>
          <w:tcPr>
            <w:tcW w:w="2479" w:type="dxa"/>
          </w:tcPr>
          <w:p w14:paraId="0414C813" w14:textId="77777777" w:rsidR="00F04D99" w:rsidRPr="00F04D99" w:rsidRDefault="00F04D99" w:rsidP="0014104A">
            <w:pPr>
              <w:widowControl w:val="0"/>
              <w:spacing w:line="300" w:lineRule="auto"/>
              <w:rPr>
                <w:rFonts w:ascii="Arial" w:hAnsi="Arial" w:cs="Arial"/>
                <w:sz w:val="20"/>
                <w:szCs w:val="20"/>
              </w:rPr>
            </w:pPr>
            <w:r w:rsidRPr="00F04D99">
              <w:rPr>
                <w:rFonts w:ascii="Arial" w:hAnsi="Arial" w:cs="Arial"/>
                <w:sz w:val="20"/>
                <w:szCs w:val="20"/>
              </w:rPr>
              <w:t>In unsuitable housing</w:t>
            </w:r>
          </w:p>
        </w:tc>
        <w:tc>
          <w:tcPr>
            <w:tcW w:w="1430" w:type="dxa"/>
          </w:tcPr>
          <w:p w14:paraId="2C4C45B0" w14:textId="754F2AB3" w:rsidR="00F04D99" w:rsidRPr="00F04D99" w:rsidRDefault="00F04D99" w:rsidP="0014104A">
            <w:pPr>
              <w:spacing w:line="300" w:lineRule="auto"/>
              <w:jc w:val="center"/>
              <w:rPr>
                <w:rFonts w:ascii="Arial" w:hAnsi="Arial" w:cs="Arial"/>
                <w:sz w:val="20"/>
                <w:szCs w:val="20"/>
              </w:rPr>
            </w:pPr>
            <w:r w:rsidRPr="00F04D99">
              <w:rPr>
                <w:rFonts w:ascii="Arial" w:hAnsi="Arial" w:cs="Arial"/>
                <w:sz w:val="20"/>
                <w:szCs w:val="20"/>
              </w:rPr>
              <w:t>2,033</w:t>
            </w:r>
          </w:p>
        </w:tc>
        <w:tc>
          <w:tcPr>
            <w:tcW w:w="1430" w:type="dxa"/>
          </w:tcPr>
          <w:p w14:paraId="051A410A" w14:textId="43293FB4" w:rsidR="00F04D99" w:rsidRPr="00F04D99" w:rsidRDefault="00F04D99" w:rsidP="0014104A">
            <w:pPr>
              <w:spacing w:line="300" w:lineRule="auto"/>
              <w:jc w:val="center"/>
              <w:rPr>
                <w:rFonts w:ascii="Arial" w:hAnsi="Arial" w:cs="Arial"/>
                <w:sz w:val="20"/>
                <w:szCs w:val="20"/>
              </w:rPr>
            </w:pPr>
            <w:r w:rsidRPr="00F04D99">
              <w:rPr>
                <w:rFonts w:ascii="Arial" w:hAnsi="Arial" w:cs="Arial"/>
                <w:sz w:val="20"/>
                <w:szCs w:val="20"/>
              </w:rPr>
              <w:t>3,900</w:t>
            </w:r>
          </w:p>
        </w:tc>
        <w:tc>
          <w:tcPr>
            <w:tcW w:w="1430" w:type="dxa"/>
          </w:tcPr>
          <w:p w14:paraId="5B3DD6C7" w14:textId="115D4BC4" w:rsidR="00F04D99" w:rsidRPr="00F04D99" w:rsidRDefault="00F04D99" w:rsidP="0014104A">
            <w:pPr>
              <w:spacing w:line="300" w:lineRule="auto"/>
              <w:jc w:val="center"/>
              <w:rPr>
                <w:rFonts w:ascii="Arial" w:hAnsi="Arial" w:cs="Arial"/>
                <w:sz w:val="20"/>
                <w:szCs w:val="20"/>
              </w:rPr>
            </w:pPr>
            <w:r w:rsidRPr="00F04D99">
              <w:rPr>
                <w:rFonts w:ascii="Arial" w:hAnsi="Arial" w:cs="Arial"/>
                <w:sz w:val="20"/>
                <w:szCs w:val="20"/>
              </w:rPr>
              <w:t>52.1%</w:t>
            </w:r>
          </w:p>
        </w:tc>
        <w:tc>
          <w:tcPr>
            <w:tcW w:w="1430" w:type="dxa"/>
          </w:tcPr>
          <w:p w14:paraId="6E656855" w14:textId="2EE59B74" w:rsidR="00F04D99" w:rsidRPr="00F04D99" w:rsidRDefault="00F04D99" w:rsidP="0014104A">
            <w:pPr>
              <w:spacing w:line="300" w:lineRule="auto"/>
              <w:jc w:val="center"/>
              <w:rPr>
                <w:rFonts w:ascii="Arial" w:hAnsi="Arial" w:cs="Arial"/>
                <w:sz w:val="20"/>
                <w:szCs w:val="20"/>
              </w:rPr>
            </w:pPr>
            <w:r w:rsidRPr="00F04D99">
              <w:rPr>
                <w:rFonts w:ascii="Arial" w:hAnsi="Arial" w:cs="Arial"/>
                <w:sz w:val="20"/>
                <w:szCs w:val="20"/>
              </w:rPr>
              <w:t>22.0%</w:t>
            </w:r>
          </w:p>
        </w:tc>
      </w:tr>
      <w:tr w:rsidR="00954472" w:rsidRPr="00F04D99" w14:paraId="2C9D19BF" w14:textId="77777777" w:rsidTr="00172F56">
        <w:trPr>
          <w:jc w:val="center"/>
        </w:trPr>
        <w:tc>
          <w:tcPr>
            <w:tcW w:w="2479" w:type="dxa"/>
          </w:tcPr>
          <w:p w14:paraId="65940E57" w14:textId="77777777" w:rsidR="00F04D99" w:rsidRPr="00F04D99" w:rsidRDefault="00F04D99" w:rsidP="0014104A">
            <w:pPr>
              <w:widowControl w:val="0"/>
              <w:spacing w:line="300" w:lineRule="auto"/>
              <w:rPr>
                <w:rFonts w:ascii="Arial" w:hAnsi="Arial" w:cs="Arial"/>
                <w:sz w:val="20"/>
                <w:szCs w:val="20"/>
              </w:rPr>
            </w:pPr>
            <w:r w:rsidRPr="00F04D99">
              <w:rPr>
                <w:rFonts w:ascii="Arial" w:hAnsi="Arial" w:cs="Arial"/>
                <w:sz w:val="20"/>
                <w:szCs w:val="20"/>
              </w:rPr>
              <w:t>Not in unsuitable housing</w:t>
            </w:r>
          </w:p>
        </w:tc>
        <w:tc>
          <w:tcPr>
            <w:tcW w:w="1430" w:type="dxa"/>
          </w:tcPr>
          <w:p w14:paraId="7BF71923" w14:textId="6C4994FE" w:rsidR="00F04D99" w:rsidRPr="00F04D99" w:rsidRDefault="00F04D99" w:rsidP="0014104A">
            <w:pPr>
              <w:spacing w:line="300" w:lineRule="auto"/>
              <w:jc w:val="center"/>
              <w:rPr>
                <w:rFonts w:ascii="Arial" w:hAnsi="Arial" w:cs="Arial"/>
                <w:sz w:val="20"/>
                <w:szCs w:val="20"/>
              </w:rPr>
            </w:pPr>
            <w:r w:rsidRPr="00F04D99">
              <w:rPr>
                <w:rFonts w:ascii="Arial" w:hAnsi="Arial" w:cs="Arial"/>
                <w:sz w:val="20"/>
                <w:szCs w:val="20"/>
              </w:rPr>
              <w:t>7,226</w:t>
            </w:r>
          </w:p>
        </w:tc>
        <w:tc>
          <w:tcPr>
            <w:tcW w:w="1430" w:type="dxa"/>
          </w:tcPr>
          <w:p w14:paraId="518C4561" w14:textId="51C80417" w:rsidR="00F04D99" w:rsidRPr="00F04D99" w:rsidRDefault="00F04D99" w:rsidP="0014104A">
            <w:pPr>
              <w:spacing w:line="300" w:lineRule="auto"/>
              <w:jc w:val="center"/>
              <w:rPr>
                <w:rFonts w:ascii="Arial" w:hAnsi="Arial" w:cs="Arial"/>
                <w:sz w:val="20"/>
                <w:szCs w:val="20"/>
              </w:rPr>
            </w:pPr>
            <w:r w:rsidRPr="00F04D99">
              <w:rPr>
                <w:rFonts w:ascii="Arial" w:hAnsi="Arial" w:cs="Arial"/>
                <w:sz w:val="20"/>
                <w:szCs w:val="20"/>
              </w:rPr>
              <w:t>35,100</w:t>
            </w:r>
          </w:p>
        </w:tc>
        <w:tc>
          <w:tcPr>
            <w:tcW w:w="1430" w:type="dxa"/>
          </w:tcPr>
          <w:p w14:paraId="0D4E8936" w14:textId="36DA0043" w:rsidR="00F04D99" w:rsidRPr="00F04D99" w:rsidRDefault="00F04D99" w:rsidP="0014104A">
            <w:pPr>
              <w:spacing w:line="300" w:lineRule="auto"/>
              <w:jc w:val="center"/>
              <w:rPr>
                <w:rFonts w:ascii="Arial" w:hAnsi="Arial" w:cs="Arial"/>
                <w:sz w:val="20"/>
                <w:szCs w:val="20"/>
              </w:rPr>
            </w:pPr>
            <w:r w:rsidRPr="00F04D99">
              <w:rPr>
                <w:rFonts w:ascii="Arial" w:hAnsi="Arial" w:cs="Arial"/>
                <w:sz w:val="20"/>
                <w:szCs w:val="20"/>
              </w:rPr>
              <w:t>20.6%</w:t>
            </w:r>
          </w:p>
        </w:tc>
        <w:tc>
          <w:tcPr>
            <w:tcW w:w="1430" w:type="dxa"/>
          </w:tcPr>
          <w:p w14:paraId="18F29078" w14:textId="59474E4A" w:rsidR="00F04D99" w:rsidRPr="00F04D99" w:rsidRDefault="00F04D99" w:rsidP="0014104A">
            <w:pPr>
              <w:spacing w:line="300" w:lineRule="auto"/>
              <w:jc w:val="center"/>
              <w:rPr>
                <w:rFonts w:ascii="Arial" w:hAnsi="Arial" w:cs="Arial"/>
                <w:sz w:val="20"/>
                <w:szCs w:val="20"/>
              </w:rPr>
            </w:pPr>
            <w:r w:rsidRPr="00F04D99">
              <w:rPr>
                <w:rFonts w:ascii="Arial" w:hAnsi="Arial" w:cs="Arial"/>
                <w:sz w:val="20"/>
                <w:szCs w:val="20"/>
              </w:rPr>
              <w:t>78.0%</w:t>
            </w:r>
          </w:p>
        </w:tc>
      </w:tr>
      <w:tr w:rsidR="00954472" w:rsidRPr="00F04D99" w14:paraId="1B9BC7FE" w14:textId="77777777" w:rsidTr="00172F56">
        <w:trPr>
          <w:jc w:val="center"/>
        </w:trPr>
        <w:tc>
          <w:tcPr>
            <w:tcW w:w="2479" w:type="dxa"/>
          </w:tcPr>
          <w:p w14:paraId="21F1792C" w14:textId="77777777" w:rsidR="00F04D99" w:rsidRPr="00F04D99" w:rsidRDefault="00F04D99" w:rsidP="0014104A">
            <w:pPr>
              <w:widowControl w:val="0"/>
              <w:spacing w:line="300" w:lineRule="auto"/>
              <w:rPr>
                <w:rFonts w:ascii="Arial" w:hAnsi="Arial" w:cs="Arial"/>
                <w:sz w:val="20"/>
                <w:szCs w:val="20"/>
              </w:rPr>
            </w:pPr>
            <w:r w:rsidRPr="00F04D99">
              <w:rPr>
                <w:rFonts w:ascii="Arial" w:hAnsi="Arial" w:cs="Arial"/>
                <w:sz w:val="20"/>
                <w:szCs w:val="20"/>
              </w:rPr>
              <w:t>Total</w:t>
            </w:r>
          </w:p>
        </w:tc>
        <w:tc>
          <w:tcPr>
            <w:tcW w:w="1430" w:type="dxa"/>
          </w:tcPr>
          <w:p w14:paraId="47C25D15" w14:textId="7085B372" w:rsidR="00F04D99" w:rsidRPr="00F04D99" w:rsidRDefault="00F04D99" w:rsidP="0014104A">
            <w:pPr>
              <w:spacing w:line="300" w:lineRule="auto"/>
              <w:jc w:val="center"/>
              <w:rPr>
                <w:rFonts w:ascii="Arial" w:hAnsi="Arial" w:cs="Arial"/>
                <w:sz w:val="20"/>
                <w:szCs w:val="20"/>
              </w:rPr>
            </w:pPr>
            <w:r w:rsidRPr="00F04D99">
              <w:rPr>
                <w:rFonts w:ascii="Arial" w:hAnsi="Arial" w:cs="Arial"/>
                <w:sz w:val="20"/>
                <w:szCs w:val="20"/>
              </w:rPr>
              <w:t>9,259</w:t>
            </w:r>
          </w:p>
        </w:tc>
        <w:tc>
          <w:tcPr>
            <w:tcW w:w="1430" w:type="dxa"/>
          </w:tcPr>
          <w:p w14:paraId="0679CF24" w14:textId="044E4DCF" w:rsidR="00F04D99" w:rsidRPr="00F04D99" w:rsidRDefault="00F04D99" w:rsidP="0014104A">
            <w:pPr>
              <w:spacing w:line="300" w:lineRule="auto"/>
              <w:jc w:val="center"/>
              <w:rPr>
                <w:rFonts w:ascii="Arial" w:hAnsi="Arial" w:cs="Arial"/>
                <w:sz w:val="20"/>
                <w:szCs w:val="20"/>
              </w:rPr>
            </w:pPr>
            <w:r w:rsidRPr="00F04D99">
              <w:rPr>
                <w:rFonts w:ascii="Arial" w:hAnsi="Arial" w:cs="Arial"/>
                <w:sz w:val="20"/>
                <w:szCs w:val="20"/>
              </w:rPr>
              <w:t>39,000</w:t>
            </w:r>
          </w:p>
        </w:tc>
        <w:tc>
          <w:tcPr>
            <w:tcW w:w="1430" w:type="dxa"/>
          </w:tcPr>
          <w:p w14:paraId="0A0C49C2" w14:textId="1A6FAE3D" w:rsidR="00F04D99" w:rsidRPr="00F04D99" w:rsidRDefault="00F04D99" w:rsidP="0014104A">
            <w:pPr>
              <w:spacing w:line="300" w:lineRule="auto"/>
              <w:jc w:val="center"/>
              <w:rPr>
                <w:rFonts w:ascii="Arial" w:hAnsi="Arial" w:cs="Arial"/>
                <w:sz w:val="20"/>
                <w:szCs w:val="20"/>
              </w:rPr>
            </w:pPr>
            <w:r w:rsidRPr="00F04D99">
              <w:rPr>
                <w:rFonts w:ascii="Arial" w:hAnsi="Arial" w:cs="Arial"/>
                <w:sz w:val="20"/>
                <w:szCs w:val="20"/>
              </w:rPr>
              <w:t>23.7%</w:t>
            </w:r>
          </w:p>
        </w:tc>
        <w:tc>
          <w:tcPr>
            <w:tcW w:w="1430" w:type="dxa"/>
          </w:tcPr>
          <w:p w14:paraId="14765B5D" w14:textId="388B47B9" w:rsidR="00F04D99" w:rsidRPr="00F04D99" w:rsidRDefault="00F04D99" w:rsidP="0014104A">
            <w:pPr>
              <w:spacing w:line="300" w:lineRule="auto"/>
              <w:jc w:val="center"/>
              <w:rPr>
                <w:rFonts w:ascii="Arial" w:hAnsi="Arial" w:cs="Arial"/>
                <w:sz w:val="20"/>
                <w:szCs w:val="20"/>
              </w:rPr>
            </w:pPr>
            <w:r w:rsidRPr="00F04D99">
              <w:rPr>
                <w:rFonts w:ascii="Arial" w:hAnsi="Arial" w:cs="Arial"/>
                <w:sz w:val="20"/>
                <w:szCs w:val="20"/>
              </w:rPr>
              <w:t>100.0%</w:t>
            </w:r>
          </w:p>
        </w:tc>
      </w:tr>
    </w:tbl>
    <w:p w14:paraId="42542082" w14:textId="0E381566" w:rsidR="00CC789D"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3F2EB3B2" w14:textId="2E093F86" w:rsidR="00F04D99" w:rsidRDefault="00F04D99" w:rsidP="00172F56">
      <w:pPr>
        <w:pStyle w:val="Reporttext0"/>
        <w:keepLines w:val="0"/>
        <w:widowControl w:val="0"/>
        <w:numPr>
          <w:ilvl w:val="0"/>
          <w:numId w:val="0"/>
        </w:numPr>
        <w:spacing w:line="300" w:lineRule="auto"/>
        <w:jc w:val="both"/>
        <w:rPr>
          <w:rFonts w:ascii="Arial" w:hAnsi="Arial" w:cs="Arial"/>
          <w:sz w:val="20"/>
        </w:rPr>
      </w:pPr>
    </w:p>
    <w:p w14:paraId="306FEEC6" w14:textId="1AA85CE9" w:rsidR="00CC789D" w:rsidRDefault="00CC789D">
      <w:pPr>
        <w:pStyle w:val="11Bodytext"/>
        <w:numPr>
          <w:ilvl w:val="1"/>
          <w:numId w:val="65"/>
        </w:numPr>
        <w:spacing w:before="0" w:after="0" w:line="300" w:lineRule="auto"/>
        <w:ind w:left="720" w:hanging="720"/>
        <w:rPr>
          <w:color w:val="auto"/>
        </w:rPr>
      </w:pPr>
      <w:r w:rsidRPr="00F04D99">
        <w:rPr>
          <w:color w:val="auto"/>
        </w:rPr>
        <w:t>T</w:t>
      </w:r>
      <w:r w:rsidR="00F04D99">
        <w:rPr>
          <w:color w:val="auto"/>
        </w:rPr>
        <w:t>he t</w:t>
      </w:r>
      <w:r w:rsidRPr="00F04D99">
        <w:rPr>
          <w:color w:val="auto"/>
        </w:rPr>
        <w:t>able below shows the average income and savings levels for support needs households in comparison to other households. The table shows that support needs households have an average income level of about half the average for non-support needs households whilst levels of savings are also lower.</w:t>
      </w:r>
    </w:p>
    <w:p w14:paraId="4801235F" w14:textId="77777777" w:rsidR="00AE5C84" w:rsidRPr="00F04D99" w:rsidRDefault="00AE5C84" w:rsidP="00172F56">
      <w:pPr>
        <w:pStyle w:val="11Bodytext"/>
        <w:numPr>
          <w:ilvl w:val="0"/>
          <w:numId w:val="0"/>
        </w:numPr>
        <w:spacing w:before="0" w:after="0" w:line="300" w:lineRule="auto"/>
        <w:rPr>
          <w:color w:val="auto"/>
        </w:rPr>
      </w:pPr>
    </w:p>
    <w:tbl>
      <w:tblPr>
        <w:tblStyle w:val="TableGrid1"/>
        <w:tblW w:w="8199" w:type="dxa"/>
        <w:jc w:val="center"/>
        <w:tblLook w:val="00A0" w:firstRow="1" w:lastRow="0" w:firstColumn="1" w:lastColumn="0" w:noHBand="0" w:noVBand="0"/>
      </w:tblPr>
      <w:tblGrid>
        <w:gridCol w:w="2871"/>
        <w:gridCol w:w="2664"/>
        <w:gridCol w:w="2664"/>
      </w:tblGrid>
      <w:tr w:rsidR="00AE5C84" w:rsidRPr="00AE5C84" w14:paraId="27939405" w14:textId="77777777" w:rsidTr="00AE5C84">
        <w:trPr>
          <w:jc w:val="center"/>
        </w:trPr>
        <w:tc>
          <w:tcPr>
            <w:tcW w:w="8199" w:type="dxa"/>
            <w:gridSpan w:val="3"/>
          </w:tcPr>
          <w:p w14:paraId="285D8A69" w14:textId="160EB5EE" w:rsidR="00AE5C84" w:rsidRPr="00AE5C84" w:rsidRDefault="00AE5C84" w:rsidP="0014104A">
            <w:pPr>
              <w:keepNext/>
              <w:widowControl w:val="0"/>
              <w:spacing w:before="60" w:after="60" w:line="300" w:lineRule="auto"/>
              <w:jc w:val="center"/>
              <w:rPr>
                <w:rFonts w:ascii="Arial" w:eastAsia="MS Mincho" w:hAnsi="Arial" w:cs="Arial"/>
                <w:b/>
                <w:bCs/>
                <w:sz w:val="20"/>
                <w:szCs w:val="20"/>
              </w:rPr>
            </w:pPr>
            <w:r w:rsidRPr="00AE5C84">
              <w:rPr>
                <w:rFonts w:ascii="Arial" w:eastAsia="MS Mincho" w:hAnsi="Arial" w:cs="Arial"/>
                <w:b/>
                <w:bCs/>
                <w:sz w:val="20"/>
                <w:szCs w:val="20"/>
              </w:rPr>
              <w:t>Figure 6.</w:t>
            </w:r>
            <w:r w:rsidR="00AD29A6">
              <w:rPr>
                <w:rFonts w:ascii="Arial" w:eastAsia="MS Mincho" w:hAnsi="Arial" w:cs="Arial"/>
                <w:b/>
                <w:bCs/>
                <w:sz w:val="20"/>
                <w:szCs w:val="20"/>
              </w:rPr>
              <w:t>6</w:t>
            </w:r>
            <w:r w:rsidRPr="00AE5C84">
              <w:rPr>
                <w:rFonts w:ascii="Arial" w:eastAsia="MS Mincho" w:hAnsi="Arial" w:cs="Arial"/>
                <w:b/>
                <w:bCs/>
                <w:sz w:val="20"/>
                <w:szCs w:val="20"/>
              </w:rPr>
              <w:t xml:space="preserve">: </w:t>
            </w:r>
            <w:bookmarkStart w:id="56" w:name="_Toc372039095"/>
            <w:r w:rsidRPr="00AE5C84">
              <w:rPr>
                <w:rFonts w:ascii="Arial" w:hAnsi="Arial" w:cs="Arial"/>
                <w:b/>
                <w:bCs/>
                <w:sz w:val="20"/>
                <w:szCs w:val="20"/>
              </w:rPr>
              <w:t xml:space="preserve">Income and Savings Levels of </w:t>
            </w:r>
            <w:r w:rsidR="004747D5">
              <w:rPr>
                <w:rFonts w:ascii="Arial" w:hAnsi="Arial" w:cs="Arial"/>
                <w:b/>
                <w:bCs/>
                <w:sz w:val="20"/>
                <w:szCs w:val="20"/>
              </w:rPr>
              <w:t xml:space="preserve">Households with </w:t>
            </w:r>
            <w:r w:rsidRPr="00AE5C84">
              <w:rPr>
                <w:rFonts w:ascii="Arial" w:hAnsi="Arial" w:cs="Arial"/>
                <w:b/>
                <w:bCs/>
                <w:sz w:val="20"/>
                <w:szCs w:val="20"/>
              </w:rPr>
              <w:t xml:space="preserve">Support Needs </w:t>
            </w:r>
            <w:bookmarkEnd w:id="56"/>
          </w:p>
        </w:tc>
      </w:tr>
      <w:tr w:rsidR="00CC789D" w:rsidRPr="00E12B61" w14:paraId="5C58323A" w14:textId="77777777" w:rsidTr="00AE5C84">
        <w:trPr>
          <w:jc w:val="center"/>
        </w:trPr>
        <w:tc>
          <w:tcPr>
            <w:tcW w:w="2871" w:type="dxa"/>
          </w:tcPr>
          <w:p w14:paraId="73CAFBE6" w14:textId="68CF8276" w:rsidR="00CC789D" w:rsidRPr="00E12B61" w:rsidRDefault="00CC789D" w:rsidP="0014104A">
            <w:pPr>
              <w:keepNext/>
              <w:widowControl w:val="0"/>
              <w:spacing w:line="300" w:lineRule="auto"/>
              <w:rPr>
                <w:rFonts w:ascii="Arial" w:hAnsi="Arial" w:cs="Arial"/>
                <w:sz w:val="20"/>
                <w:szCs w:val="20"/>
              </w:rPr>
            </w:pPr>
          </w:p>
        </w:tc>
        <w:tc>
          <w:tcPr>
            <w:tcW w:w="2664" w:type="dxa"/>
          </w:tcPr>
          <w:p w14:paraId="4D2E8D95" w14:textId="77777777" w:rsidR="00CC789D" w:rsidRPr="00E12B61" w:rsidRDefault="00CC789D" w:rsidP="0014104A">
            <w:pPr>
              <w:keepNext/>
              <w:widowControl w:val="0"/>
              <w:spacing w:line="300" w:lineRule="auto"/>
              <w:jc w:val="center"/>
              <w:rPr>
                <w:rFonts w:ascii="Arial" w:eastAsia="MS Mincho" w:hAnsi="Arial" w:cs="Arial"/>
                <w:sz w:val="20"/>
                <w:szCs w:val="20"/>
              </w:rPr>
            </w:pPr>
            <w:r w:rsidRPr="00E12B61">
              <w:rPr>
                <w:rFonts w:ascii="Arial" w:eastAsia="MS Mincho" w:hAnsi="Arial" w:cs="Arial"/>
                <w:sz w:val="20"/>
                <w:szCs w:val="20"/>
              </w:rPr>
              <w:t>Annual gross household income (median)</w:t>
            </w:r>
          </w:p>
        </w:tc>
        <w:tc>
          <w:tcPr>
            <w:tcW w:w="2664" w:type="dxa"/>
          </w:tcPr>
          <w:p w14:paraId="0DFA749C" w14:textId="77777777" w:rsidR="00CC789D" w:rsidRPr="00E12B61" w:rsidRDefault="00CC789D" w:rsidP="0014104A">
            <w:pPr>
              <w:keepNext/>
              <w:widowControl w:val="0"/>
              <w:spacing w:line="300" w:lineRule="auto"/>
              <w:jc w:val="center"/>
              <w:rPr>
                <w:rFonts w:ascii="Arial" w:eastAsia="MS Mincho" w:hAnsi="Arial" w:cs="Arial"/>
                <w:sz w:val="20"/>
                <w:szCs w:val="20"/>
              </w:rPr>
            </w:pPr>
            <w:r w:rsidRPr="00E12B61">
              <w:rPr>
                <w:rFonts w:ascii="Arial" w:eastAsia="MS Mincho" w:hAnsi="Arial" w:cs="Arial"/>
                <w:sz w:val="20"/>
                <w:szCs w:val="20"/>
              </w:rPr>
              <w:t>Average household savings (median)</w:t>
            </w:r>
          </w:p>
        </w:tc>
      </w:tr>
      <w:tr w:rsidR="002D1DE4" w:rsidRPr="00E12B61" w14:paraId="1F0EF993" w14:textId="77777777" w:rsidTr="00AE5C84">
        <w:trPr>
          <w:jc w:val="center"/>
        </w:trPr>
        <w:tc>
          <w:tcPr>
            <w:tcW w:w="2871" w:type="dxa"/>
          </w:tcPr>
          <w:p w14:paraId="3E8BC5B2" w14:textId="77777777" w:rsidR="002D1DE4" w:rsidRPr="00E12B61" w:rsidRDefault="002D1DE4" w:rsidP="0014104A">
            <w:pPr>
              <w:keepNext/>
              <w:widowControl w:val="0"/>
              <w:spacing w:line="300" w:lineRule="auto"/>
              <w:rPr>
                <w:rFonts w:ascii="Arial" w:hAnsi="Arial" w:cs="Arial"/>
                <w:b/>
                <w:sz w:val="20"/>
                <w:szCs w:val="20"/>
              </w:rPr>
            </w:pPr>
            <w:r w:rsidRPr="00E12B61">
              <w:rPr>
                <w:rFonts w:ascii="Arial" w:hAnsi="Arial" w:cs="Arial"/>
                <w:sz w:val="20"/>
                <w:szCs w:val="20"/>
              </w:rPr>
              <w:t>Support needs</w:t>
            </w:r>
          </w:p>
        </w:tc>
        <w:tc>
          <w:tcPr>
            <w:tcW w:w="2664" w:type="dxa"/>
          </w:tcPr>
          <w:p w14:paraId="132C035A" w14:textId="0CC5932A" w:rsidR="002D1DE4" w:rsidRPr="002D1DE4" w:rsidRDefault="002D1DE4" w:rsidP="0014104A">
            <w:pPr>
              <w:keepNext/>
              <w:spacing w:line="300" w:lineRule="auto"/>
              <w:jc w:val="center"/>
              <w:rPr>
                <w:rFonts w:ascii="Arial" w:hAnsi="Arial" w:cs="Arial"/>
                <w:color w:val="000000"/>
                <w:sz w:val="20"/>
                <w:szCs w:val="20"/>
              </w:rPr>
            </w:pPr>
            <w:r w:rsidRPr="002D1DE4">
              <w:rPr>
                <w:rFonts w:ascii="Arial" w:hAnsi="Arial" w:cs="Arial"/>
                <w:color w:val="000000"/>
                <w:sz w:val="20"/>
                <w:szCs w:val="20"/>
              </w:rPr>
              <w:t>£19,777</w:t>
            </w:r>
          </w:p>
        </w:tc>
        <w:tc>
          <w:tcPr>
            <w:tcW w:w="2664" w:type="dxa"/>
          </w:tcPr>
          <w:p w14:paraId="1A894454" w14:textId="5356BB62" w:rsidR="002D1DE4" w:rsidRPr="002D1DE4" w:rsidRDefault="002D1DE4" w:rsidP="0014104A">
            <w:pPr>
              <w:keepNext/>
              <w:spacing w:line="300" w:lineRule="auto"/>
              <w:jc w:val="center"/>
              <w:rPr>
                <w:rFonts w:ascii="Arial" w:hAnsi="Arial" w:cs="Arial"/>
                <w:color w:val="000000"/>
                <w:sz w:val="20"/>
                <w:szCs w:val="20"/>
              </w:rPr>
            </w:pPr>
            <w:r w:rsidRPr="002D1DE4">
              <w:rPr>
                <w:rFonts w:ascii="Arial" w:hAnsi="Arial" w:cs="Arial"/>
                <w:color w:val="000000"/>
                <w:sz w:val="20"/>
                <w:szCs w:val="20"/>
              </w:rPr>
              <w:t>£701</w:t>
            </w:r>
          </w:p>
        </w:tc>
      </w:tr>
      <w:tr w:rsidR="002D1DE4" w:rsidRPr="00E12B61" w14:paraId="0B713A4C" w14:textId="77777777" w:rsidTr="00AE5C84">
        <w:trPr>
          <w:jc w:val="center"/>
        </w:trPr>
        <w:tc>
          <w:tcPr>
            <w:tcW w:w="2871" w:type="dxa"/>
          </w:tcPr>
          <w:p w14:paraId="1C893294" w14:textId="77777777" w:rsidR="002D1DE4" w:rsidRPr="00E12B61" w:rsidRDefault="002D1DE4" w:rsidP="0014104A">
            <w:pPr>
              <w:keepNext/>
              <w:widowControl w:val="0"/>
              <w:spacing w:line="300" w:lineRule="auto"/>
              <w:rPr>
                <w:rFonts w:ascii="Arial" w:hAnsi="Arial" w:cs="Arial"/>
                <w:b/>
                <w:sz w:val="20"/>
                <w:szCs w:val="20"/>
              </w:rPr>
            </w:pPr>
            <w:r w:rsidRPr="00E12B61">
              <w:rPr>
                <w:rFonts w:ascii="Arial" w:hAnsi="Arial" w:cs="Arial"/>
                <w:sz w:val="20"/>
                <w:szCs w:val="20"/>
              </w:rPr>
              <w:t>No support needs</w:t>
            </w:r>
          </w:p>
        </w:tc>
        <w:tc>
          <w:tcPr>
            <w:tcW w:w="2664" w:type="dxa"/>
          </w:tcPr>
          <w:p w14:paraId="566617C1" w14:textId="085704CF" w:rsidR="002D1DE4" w:rsidRPr="002D1DE4" w:rsidRDefault="002D1DE4" w:rsidP="0014104A">
            <w:pPr>
              <w:keepNext/>
              <w:spacing w:line="300" w:lineRule="auto"/>
              <w:jc w:val="center"/>
              <w:rPr>
                <w:rFonts w:ascii="Arial" w:hAnsi="Arial" w:cs="Arial"/>
                <w:color w:val="000000"/>
                <w:sz w:val="20"/>
                <w:szCs w:val="20"/>
              </w:rPr>
            </w:pPr>
            <w:r w:rsidRPr="002D1DE4">
              <w:rPr>
                <w:rFonts w:ascii="Arial" w:hAnsi="Arial" w:cs="Arial"/>
                <w:color w:val="000000"/>
                <w:sz w:val="20"/>
                <w:szCs w:val="20"/>
              </w:rPr>
              <w:t>£34,101</w:t>
            </w:r>
          </w:p>
        </w:tc>
        <w:tc>
          <w:tcPr>
            <w:tcW w:w="2664" w:type="dxa"/>
          </w:tcPr>
          <w:p w14:paraId="25AA259A" w14:textId="402E1D09" w:rsidR="002D1DE4" w:rsidRPr="002D1DE4" w:rsidRDefault="002D1DE4" w:rsidP="0014104A">
            <w:pPr>
              <w:keepNext/>
              <w:spacing w:line="300" w:lineRule="auto"/>
              <w:jc w:val="center"/>
              <w:rPr>
                <w:rFonts w:ascii="Arial" w:hAnsi="Arial" w:cs="Arial"/>
                <w:color w:val="000000"/>
                <w:sz w:val="20"/>
                <w:szCs w:val="20"/>
              </w:rPr>
            </w:pPr>
            <w:r w:rsidRPr="002D1DE4">
              <w:rPr>
                <w:rFonts w:ascii="Arial" w:hAnsi="Arial" w:cs="Arial"/>
                <w:color w:val="000000"/>
                <w:sz w:val="20"/>
                <w:szCs w:val="20"/>
              </w:rPr>
              <w:t>£6,786</w:t>
            </w:r>
          </w:p>
        </w:tc>
      </w:tr>
      <w:tr w:rsidR="002D1DE4" w:rsidRPr="00E12B61" w14:paraId="0EABDB19" w14:textId="77777777" w:rsidTr="00AE5C84">
        <w:trPr>
          <w:jc w:val="center"/>
        </w:trPr>
        <w:tc>
          <w:tcPr>
            <w:tcW w:w="2871" w:type="dxa"/>
          </w:tcPr>
          <w:p w14:paraId="11D635AD" w14:textId="77777777" w:rsidR="002D1DE4" w:rsidRPr="00E12B61" w:rsidRDefault="002D1DE4" w:rsidP="0014104A">
            <w:pPr>
              <w:keepNext/>
              <w:widowControl w:val="0"/>
              <w:spacing w:line="300" w:lineRule="auto"/>
              <w:rPr>
                <w:rFonts w:ascii="Arial" w:hAnsi="Arial" w:cs="Arial"/>
                <w:b/>
                <w:sz w:val="20"/>
                <w:szCs w:val="20"/>
              </w:rPr>
            </w:pPr>
            <w:r w:rsidRPr="00E12B61">
              <w:rPr>
                <w:rFonts w:ascii="Arial" w:hAnsi="Arial" w:cs="Arial"/>
                <w:sz w:val="20"/>
                <w:szCs w:val="20"/>
              </w:rPr>
              <w:t>All households</w:t>
            </w:r>
          </w:p>
        </w:tc>
        <w:tc>
          <w:tcPr>
            <w:tcW w:w="2664" w:type="dxa"/>
          </w:tcPr>
          <w:p w14:paraId="61D5ECEF" w14:textId="1A83B136" w:rsidR="002D1DE4" w:rsidRPr="002D1DE4" w:rsidRDefault="002D1DE4" w:rsidP="0014104A">
            <w:pPr>
              <w:keepNext/>
              <w:spacing w:line="300" w:lineRule="auto"/>
              <w:jc w:val="center"/>
              <w:rPr>
                <w:rFonts w:ascii="Arial" w:hAnsi="Arial" w:cs="Arial"/>
                <w:color w:val="000000"/>
                <w:sz w:val="20"/>
                <w:szCs w:val="20"/>
              </w:rPr>
            </w:pPr>
            <w:r w:rsidRPr="002D1DE4">
              <w:rPr>
                <w:rFonts w:ascii="Arial" w:hAnsi="Arial" w:cs="Arial"/>
                <w:color w:val="000000"/>
                <w:sz w:val="20"/>
                <w:szCs w:val="20"/>
              </w:rPr>
              <w:t>£30,377</w:t>
            </w:r>
          </w:p>
        </w:tc>
        <w:tc>
          <w:tcPr>
            <w:tcW w:w="2664" w:type="dxa"/>
          </w:tcPr>
          <w:p w14:paraId="66EF8AC7" w14:textId="25DDF3D6" w:rsidR="002D1DE4" w:rsidRPr="002D1DE4" w:rsidRDefault="002D1DE4" w:rsidP="0014104A">
            <w:pPr>
              <w:keepNext/>
              <w:spacing w:line="300" w:lineRule="auto"/>
              <w:jc w:val="center"/>
              <w:rPr>
                <w:rFonts w:ascii="Arial" w:hAnsi="Arial" w:cs="Arial"/>
                <w:color w:val="000000"/>
                <w:sz w:val="20"/>
                <w:szCs w:val="20"/>
              </w:rPr>
            </w:pPr>
            <w:r w:rsidRPr="002D1DE4">
              <w:rPr>
                <w:rFonts w:ascii="Arial" w:hAnsi="Arial" w:cs="Arial"/>
                <w:color w:val="000000"/>
                <w:sz w:val="20"/>
                <w:szCs w:val="20"/>
              </w:rPr>
              <w:t>£4,147</w:t>
            </w:r>
          </w:p>
        </w:tc>
      </w:tr>
    </w:tbl>
    <w:p w14:paraId="720109A6" w14:textId="5945B02E" w:rsidR="00CC789D" w:rsidRPr="00E12B61"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1C0D49C4" w14:textId="352C34D9" w:rsidR="00AE5C84" w:rsidRDefault="00AE5C84" w:rsidP="0033047F">
      <w:pPr>
        <w:pStyle w:val="11Bodytext"/>
        <w:numPr>
          <w:ilvl w:val="0"/>
          <w:numId w:val="0"/>
        </w:numPr>
        <w:spacing w:before="0" w:after="0" w:line="300" w:lineRule="auto"/>
        <w:ind w:left="794" w:hanging="794"/>
        <w:rPr>
          <w:color w:val="auto"/>
        </w:rPr>
      </w:pPr>
    </w:p>
    <w:p w14:paraId="2CDC0EA8" w14:textId="4D662BC0" w:rsidR="00CC789D" w:rsidRDefault="00CC789D">
      <w:pPr>
        <w:pStyle w:val="11Bodytext"/>
        <w:numPr>
          <w:ilvl w:val="1"/>
          <w:numId w:val="65"/>
        </w:numPr>
        <w:spacing w:before="0" w:after="0" w:line="300" w:lineRule="auto"/>
        <w:ind w:left="720" w:hanging="720"/>
        <w:rPr>
          <w:color w:val="auto"/>
        </w:rPr>
      </w:pPr>
      <w:r w:rsidRPr="00E12B61">
        <w:t xml:space="preserve">Those households with a member with support needs were asked to indicate if there was a need for improvements to their current accommodation and/or services. The responses are detailed in Figure </w:t>
      </w:r>
      <w:r>
        <w:t>6.7</w:t>
      </w:r>
      <w:r w:rsidRPr="00E12B61">
        <w:t xml:space="preserve"> below. The results show requirements for a wide range of adaptations and improvements </w:t>
      </w:r>
      <w:r w:rsidRPr="00AE5C84">
        <w:rPr>
          <w:color w:val="auto"/>
        </w:rPr>
        <w:t>across the support needs households. Those most needed were:</w:t>
      </w:r>
    </w:p>
    <w:p w14:paraId="1376602B" w14:textId="77777777" w:rsidR="00AE5C84" w:rsidRPr="00AE5C84" w:rsidRDefault="00AE5C84" w:rsidP="00172F56">
      <w:pPr>
        <w:pStyle w:val="11Bodytext"/>
        <w:numPr>
          <w:ilvl w:val="0"/>
          <w:numId w:val="0"/>
        </w:numPr>
        <w:spacing w:before="0" w:after="0" w:line="300" w:lineRule="auto"/>
        <w:rPr>
          <w:color w:val="auto"/>
        </w:rPr>
      </w:pPr>
    </w:p>
    <w:p w14:paraId="112B057F" w14:textId="060661BE" w:rsidR="00CC789D" w:rsidRPr="00E12B61" w:rsidRDefault="00CC789D">
      <w:pPr>
        <w:pStyle w:val="Bulletblueplain"/>
        <w:numPr>
          <w:ilvl w:val="0"/>
          <w:numId w:val="68"/>
        </w:numPr>
        <w:spacing w:before="0" w:after="0" w:line="300" w:lineRule="auto"/>
        <w:rPr>
          <w:color w:val="auto"/>
          <w:szCs w:val="20"/>
        </w:rPr>
      </w:pPr>
      <w:r w:rsidRPr="00E12B61">
        <w:rPr>
          <w:color w:val="auto"/>
          <w:szCs w:val="20"/>
        </w:rPr>
        <w:t>Need help maintaining home</w:t>
      </w:r>
      <w:r w:rsidR="004F6444">
        <w:rPr>
          <w:color w:val="auto"/>
          <w:szCs w:val="20"/>
        </w:rPr>
        <w:t>;</w:t>
      </w:r>
    </w:p>
    <w:p w14:paraId="3A7E9109" w14:textId="22D5005F" w:rsidR="00CC789D" w:rsidRPr="00E12B61" w:rsidRDefault="00CC789D">
      <w:pPr>
        <w:pStyle w:val="Bulletblueplain"/>
        <w:numPr>
          <w:ilvl w:val="0"/>
          <w:numId w:val="68"/>
        </w:numPr>
        <w:spacing w:before="0" w:after="0" w:line="300" w:lineRule="auto"/>
        <w:rPr>
          <w:color w:val="auto"/>
          <w:szCs w:val="20"/>
        </w:rPr>
      </w:pPr>
      <w:r w:rsidRPr="00E12B61">
        <w:rPr>
          <w:color w:val="auto"/>
          <w:szCs w:val="20"/>
        </w:rPr>
        <w:t>Level access shower unit</w:t>
      </w:r>
      <w:r w:rsidR="004F6444">
        <w:rPr>
          <w:color w:val="auto"/>
          <w:szCs w:val="20"/>
        </w:rPr>
        <w:t>; and</w:t>
      </w:r>
    </w:p>
    <w:p w14:paraId="248ECD14" w14:textId="77AF3FCA" w:rsidR="00CC789D" w:rsidRPr="00E12B61" w:rsidRDefault="00BE39E9">
      <w:pPr>
        <w:pStyle w:val="Bulletblueplain"/>
        <w:numPr>
          <w:ilvl w:val="0"/>
          <w:numId w:val="68"/>
        </w:numPr>
        <w:spacing w:before="0" w:after="0" w:line="300" w:lineRule="auto"/>
        <w:rPr>
          <w:color w:val="auto"/>
          <w:szCs w:val="20"/>
        </w:rPr>
      </w:pPr>
      <w:r>
        <w:rPr>
          <w:color w:val="auto"/>
          <w:szCs w:val="20"/>
        </w:rPr>
        <w:t xml:space="preserve">Car </w:t>
      </w:r>
      <w:r w:rsidR="00432414">
        <w:rPr>
          <w:color w:val="auto"/>
          <w:szCs w:val="20"/>
        </w:rPr>
        <w:t>parking</w:t>
      </w:r>
      <w:r>
        <w:rPr>
          <w:color w:val="auto"/>
          <w:szCs w:val="20"/>
        </w:rPr>
        <w:t xml:space="preserve"> space near front door</w:t>
      </w:r>
      <w:r w:rsidR="004F6444">
        <w:rPr>
          <w:color w:val="auto"/>
          <w:szCs w:val="20"/>
        </w:rPr>
        <w:t>.</w:t>
      </w:r>
    </w:p>
    <w:p w14:paraId="155E44B2" w14:textId="77777777" w:rsidR="00CC789D" w:rsidRPr="00E12B61" w:rsidRDefault="00CC789D" w:rsidP="00172F56">
      <w:pPr>
        <w:pStyle w:val="Reportlistbullet"/>
        <w:widowControl w:val="0"/>
        <w:numPr>
          <w:ilvl w:val="0"/>
          <w:numId w:val="0"/>
        </w:numPr>
        <w:spacing w:line="300" w:lineRule="auto"/>
        <w:jc w:val="both"/>
        <w:rPr>
          <w:rFonts w:ascii="Arial" w:hAnsi="Arial" w:cs="Arial"/>
          <w:sz w:val="20"/>
          <w:szCs w:val="20"/>
        </w:rPr>
      </w:pPr>
    </w:p>
    <w:tbl>
      <w:tblPr>
        <w:tblStyle w:val="TableGrid10"/>
        <w:tblW w:w="8199" w:type="dxa"/>
        <w:jc w:val="center"/>
        <w:tblLook w:val="00A0" w:firstRow="1" w:lastRow="0" w:firstColumn="1" w:lastColumn="0" w:noHBand="0" w:noVBand="0"/>
      </w:tblPr>
      <w:tblGrid>
        <w:gridCol w:w="8199"/>
      </w:tblGrid>
      <w:tr w:rsidR="00BE39E9" w:rsidRPr="00E12B61" w14:paraId="2826E798" w14:textId="77777777" w:rsidTr="00BE39E9">
        <w:trPr>
          <w:jc w:val="center"/>
        </w:trPr>
        <w:tc>
          <w:tcPr>
            <w:tcW w:w="8199" w:type="dxa"/>
          </w:tcPr>
          <w:p w14:paraId="3FA14027" w14:textId="63A938BE" w:rsidR="00BE39E9" w:rsidRPr="00E12B61" w:rsidRDefault="00BE39E9" w:rsidP="0014104A">
            <w:pPr>
              <w:pStyle w:val="FigureHeading"/>
              <w:keepNext/>
              <w:spacing w:after="0" w:line="300" w:lineRule="auto"/>
              <w:ind w:left="0" w:firstLine="0"/>
              <w:jc w:val="center"/>
              <w:rPr>
                <w:noProof/>
                <w:szCs w:val="20"/>
              </w:rPr>
            </w:pPr>
            <w:r>
              <w:rPr>
                <w:szCs w:val="20"/>
              </w:rPr>
              <w:t>Figure 6.</w:t>
            </w:r>
            <w:r w:rsidR="00AD29A6">
              <w:rPr>
                <w:szCs w:val="20"/>
              </w:rPr>
              <w:t>7</w:t>
            </w:r>
            <w:r>
              <w:rPr>
                <w:szCs w:val="20"/>
              </w:rPr>
              <w:t xml:space="preserve">: </w:t>
            </w:r>
            <w:r w:rsidR="004747D5">
              <w:rPr>
                <w:szCs w:val="20"/>
              </w:rPr>
              <w:t xml:space="preserve">Households with </w:t>
            </w:r>
            <w:r w:rsidRPr="00E12B61">
              <w:rPr>
                <w:szCs w:val="20"/>
              </w:rPr>
              <w:t>Support Needs: Improvements to Accommodation &amp; Services</w:t>
            </w:r>
          </w:p>
        </w:tc>
      </w:tr>
      <w:tr w:rsidR="00CC789D" w:rsidRPr="00E12B61" w14:paraId="3BC79CC4" w14:textId="77777777" w:rsidTr="00BE39E9">
        <w:trPr>
          <w:jc w:val="center"/>
        </w:trPr>
        <w:tc>
          <w:tcPr>
            <w:tcW w:w="8199" w:type="dxa"/>
          </w:tcPr>
          <w:p w14:paraId="130ED9D6" w14:textId="77777777" w:rsidR="00CC789D" w:rsidRPr="00E12B61" w:rsidRDefault="00CC789D" w:rsidP="0014104A">
            <w:pPr>
              <w:pStyle w:val="NormalWeb"/>
              <w:keepNext/>
              <w:widowControl w:val="0"/>
              <w:spacing w:before="0" w:after="0"/>
              <w:jc w:val="center"/>
              <w:rPr>
                <w:rFonts w:ascii="Arial" w:hAnsi="Arial" w:cs="Arial"/>
                <w:sz w:val="20"/>
                <w:szCs w:val="20"/>
              </w:rPr>
            </w:pPr>
            <w:r w:rsidRPr="00E12B61">
              <w:rPr>
                <w:rFonts w:ascii="Arial" w:hAnsi="Arial" w:cs="Arial"/>
                <w:noProof/>
                <w:sz w:val="20"/>
                <w:szCs w:val="20"/>
              </w:rPr>
              <w:drawing>
                <wp:inline distT="0" distB="0" distL="0" distR="0" wp14:anchorId="220C7AF9" wp14:editId="00B7D19A">
                  <wp:extent cx="5040000" cy="4320000"/>
                  <wp:effectExtent l="0" t="0" r="8255" b="4445"/>
                  <wp:docPr id="110" name="Chart 1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14:paraId="73D5E39E" w14:textId="3AC461E9" w:rsidR="00CC789D" w:rsidRPr="00E12B61"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3BCC65A4" w14:textId="4F8A471B" w:rsidR="00C14FB6" w:rsidRDefault="00C14FB6" w:rsidP="0033047F">
      <w:pPr>
        <w:pStyle w:val="Bulletblueplain"/>
        <w:numPr>
          <w:ilvl w:val="0"/>
          <w:numId w:val="0"/>
        </w:numPr>
        <w:spacing w:before="0" w:after="0" w:line="300" w:lineRule="auto"/>
        <w:rPr>
          <w:szCs w:val="20"/>
        </w:rPr>
      </w:pPr>
      <w:bookmarkStart w:id="57" w:name="_Toc177896290"/>
      <w:bookmarkStart w:id="58" w:name="_Toc179971636"/>
      <w:bookmarkStart w:id="59" w:name="_Toc226258735"/>
      <w:bookmarkStart w:id="60" w:name="_Toc147741365"/>
      <w:bookmarkStart w:id="61" w:name="_Toc147891375"/>
      <w:bookmarkEnd w:id="50"/>
      <w:bookmarkEnd w:id="51"/>
    </w:p>
    <w:p w14:paraId="06D6BE4A" w14:textId="77777777" w:rsidR="00734EBE" w:rsidRDefault="00734EBE" w:rsidP="0033047F">
      <w:pPr>
        <w:pStyle w:val="Bulletblueplain"/>
        <w:numPr>
          <w:ilvl w:val="0"/>
          <w:numId w:val="0"/>
        </w:numPr>
        <w:spacing w:before="0" w:after="0" w:line="300" w:lineRule="auto"/>
        <w:rPr>
          <w:szCs w:val="20"/>
        </w:rPr>
      </w:pPr>
    </w:p>
    <w:p w14:paraId="2B6408D7" w14:textId="4F2AC742" w:rsidR="00C14FB6" w:rsidRPr="007236BD" w:rsidRDefault="00C14FB6" w:rsidP="00172F56">
      <w:pPr>
        <w:spacing w:line="300" w:lineRule="auto"/>
        <w:jc w:val="both"/>
        <w:rPr>
          <w:rFonts w:ascii="Arial" w:hAnsi="Arial" w:cs="Arial"/>
          <w:b/>
          <w:lang w:eastAsia="ja-JP"/>
        </w:rPr>
      </w:pPr>
      <w:r>
        <w:rPr>
          <w:rFonts w:ascii="Arial" w:hAnsi="Arial" w:cs="Arial"/>
          <w:b/>
          <w:lang w:eastAsia="ja-JP"/>
        </w:rPr>
        <w:t>Older Person Households</w:t>
      </w:r>
    </w:p>
    <w:p w14:paraId="37B3E5CA" w14:textId="77777777" w:rsidR="00C14FB6" w:rsidRPr="00E12B61" w:rsidRDefault="00C14FB6" w:rsidP="00172F56">
      <w:pPr>
        <w:spacing w:line="300" w:lineRule="auto"/>
        <w:jc w:val="both"/>
        <w:rPr>
          <w:rFonts w:ascii="Arial" w:hAnsi="Arial" w:cs="Arial"/>
          <w:sz w:val="20"/>
          <w:szCs w:val="20"/>
          <w:lang w:eastAsia="ja-JP"/>
        </w:rPr>
      </w:pPr>
    </w:p>
    <w:bookmarkEnd w:id="57"/>
    <w:bookmarkEnd w:id="58"/>
    <w:bookmarkEnd w:id="59"/>
    <w:p w14:paraId="4B959BA3" w14:textId="2A95FCCF" w:rsidR="00CC789D" w:rsidRPr="00C14FB6" w:rsidRDefault="0094079E">
      <w:pPr>
        <w:pStyle w:val="11Bodytext"/>
        <w:numPr>
          <w:ilvl w:val="1"/>
          <w:numId w:val="65"/>
        </w:numPr>
        <w:spacing w:before="0" w:after="0" w:line="300" w:lineRule="auto"/>
        <w:ind w:left="720" w:hanging="720"/>
        <w:rPr>
          <w:color w:val="auto"/>
        </w:rPr>
      </w:pPr>
      <w:r>
        <w:t>For the purposes of the survey, o</w:t>
      </w:r>
      <w:r w:rsidR="00CC789D" w:rsidRPr="00C14FB6">
        <w:t>lder people are defined as those over the state pension eligibility age (</w:t>
      </w:r>
      <w:r>
        <w:t xml:space="preserve">taken to be </w:t>
      </w:r>
      <w:r w:rsidR="00CC789D" w:rsidRPr="00C14FB6">
        <w:t>aged 65 and over</w:t>
      </w:r>
      <w:r>
        <w:t xml:space="preserve"> although it is recognised that the pension age is increasing</w:t>
      </w:r>
      <w:r w:rsidR="00CC789D" w:rsidRPr="00C14FB6">
        <w:t xml:space="preserve">). For </w:t>
      </w:r>
      <w:r>
        <w:t>analysis</w:t>
      </w:r>
      <w:r w:rsidR="00CC789D" w:rsidRPr="00C14FB6">
        <w:t>, households have been divided into three categories:</w:t>
      </w:r>
    </w:p>
    <w:p w14:paraId="710E1467" w14:textId="77777777" w:rsidR="00C14FB6" w:rsidRPr="00C14FB6" w:rsidRDefault="00C14FB6" w:rsidP="00172F56">
      <w:pPr>
        <w:pStyle w:val="11Bodytext"/>
        <w:numPr>
          <w:ilvl w:val="0"/>
          <w:numId w:val="0"/>
        </w:numPr>
        <w:spacing w:before="0" w:after="0" w:line="300" w:lineRule="auto"/>
        <w:rPr>
          <w:color w:val="auto"/>
        </w:rPr>
      </w:pPr>
    </w:p>
    <w:p w14:paraId="45809E12" w14:textId="723EF2F5" w:rsidR="00CC789D" w:rsidRPr="00E12B61" w:rsidRDefault="00CC789D">
      <w:pPr>
        <w:pStyle w:val="Bulletblueplain"/>
        <w:numPr>
          <w:ilvl w:val="0"/>
          <w:numId w:val="69"/>
        </w:numPr>
        <w:spacing w:before="0" w:after="0" w:line="300" w:lineRule="auto"/>
        <w:rPr>
          <w:szCs w:val="20"/>
        </w:rPr>
      </w:pPr>
      <w:r w:rsidRPr="00E12B61">
        <w:rPr>
          <w:szCs w:val="20"/>
        </w:rPr>
        <w:t>Households without older persons</w:t>
      </w:r>
      <w:r w:rsidR="004F6444">
        <w:rPr>
          <w:szCs w:val="20"/>
        </w:rPr>
        <w:t>;</w:t>
      </w:r>
    </w:p>
    <w:p w14:paraId="723CFAEB" w14:textId="4958D25E" w:rsidR="00CC789D" w:rsidRPr="00E12B61" w:rsidRDefault="00CC789D">
      <w:pPr>
        <w:pStyle w:val="Bulletblueplain"/>
        <w:numPr>
          <w:ilvl w:val="0"/>
          <w:numId w:val="69"/>
        </w:numPr>
        <w:spacing w:before="0" w:after="0" w:line="300" w:lineRule="auto"/>
        <w:rPr>
          <w:szCs w:val="20"/>
        </w:rPr>
      </w:pPr>
      <w:r w:rsidRPr="00E12B61">
        <w:rPr>
          <w:szCs w:val="20"/>
        </w:rPr>
        <w:t>Households with both older and non-older persons</w:t>
      </w:r>
      <w:r w:rsidR="004F6444">
        <w:rPr>
          <w:szCs w:val="20"/>
        </w:rPr>
        <w:t>; and</w:t>
      </w:r>
    </w:p>
    <w:p w14:paraId="2872F62B" w14:textId="2126ACF0" w:rsidR="00CC789D" w:rsidRDefault="00CC789D">
      <w:pPr>
        <w:pStyle w:val="Bulletblueplain"/>
        <w:numPr>
          <w:ilvl w:val="0"/>
          <w:numId w:val="69"/>
        </w:numPr>
        <w:spacing w:before="0" w:after="0" w:line="300" w:lineRule="auto"/>
        <w:rPr>
          <w:szCs w:val="20"/>
        </w:rPr>
      </w:pPr>
      <w:r w:rsidRPr="00E12B61">
        <w:rPr>
          <w:szCs w:val="20"/>
        </w:rPr>
        <w:t>Households with only older persons</w:t>
      </w:r>
      <w:r w:rsidR="004F6444">
        <w:rPr>
          <w:szCs w:val="20"/>
        </w:rPr>
        <w:t>.</w:t>
      </w:r>
    </w:p>
    <w:p w14:paraId="10041ED1" w14:textId="498A5895" w:rsidR="00C14FB6" w:rsidRDefault="00C14FB6" w:rsidP="0033047F">
      <w:pPr>
        <w:pStyle w:val="Bulletblueplain"/>
        <w:numPr>
          <w:ilvl w:val="0"/>
          <w:numId w:val="0"/>
        </w:numPr>
        <w:spacing w:before="0" w:after="0" w:line="300" w:lineRule="auto"/>
        <w:rPr>
          <w:szCs w:val="20"/>
        </w:rPr>
      </w:pPr>
    </w:p>
    <w:p w14:paraId="5D5A9F91" w14:textId="130FB8BB" w:rsidR="00CC789D" w:rsidRPr="00C14FB6" w:rsidRDefault="00CC789D">
      <w:pPr>
        <w:pStyle w:val="11Bodytext"/>
        <w:numPr>
          <w:ilvl w:val="1"/>
          <w:numId w:val="65"/>
        </w:numPr>
        <w:spacing w:before="0" w:after="0" w:line="300" w:lineRule="auto"/>
        <w:ind w:left="720" w:hanging="720"/>
        <w:rPr>
          <w:color w:val="auto"/>
        </w:rPr>
      </w:pPr>
      <w:r w:rsidRPr="00E12B61">
        <w:t xml:space="preserve">A </w:t>
      </w:r>
      <w:r w:rsidR="00C14FB6">
        <w:t>third</w:t>
      </w:r>
      <w:r w:rsidRPr="00E12B61">
        <w:t xml:space="preserve"> of all households contain only older people and a further </w:t>
      </w:r>
      <w:r w:rsidR="00C14FB6">
        <w:t>9</w:t>
      </w:r>
      <w:r w:rsidRPr="00E12B61">
        <w:t>% contain both older and non-older people. The table below shows the number and percentage of households in each group.</w:t>
      </w:r>
    </w:p>
    <w:p w14:paraId="5D2E9382" w14:textId="77777777" w:rsidR="00C14FB6" w:rsidRPr="00C14FB6" w:rsidRDefault="00C14FB6" w:rsidP="00172F56">
      <w:pPr>
        <w:pStyle w:val="11Bodytext"/>
        <w:numPr>
          <w:ilvl w:val="0"/>
          <w:numId w:val="0"/>
        </w:numPr>
        <w:spacing w:before="0" w:after="0" w:line="300" w:lineRule="auto"/>
        <w:rPr>
          <w:color w:val="auto"/>
        </w:rPr>
      </w:pPr>
    </w:p>
    <w:tbl>
      <w:tblPr>
        <w:tblStyle w:val="TableTheme"/>
        <w:tblW w:w="8199" w:type="dxa"/>
        <w:jc w:val="center"/>
        <w:tblLayout w:type="fixed"/>
        <w:tblLook w:val="01E0" w:firstRow="1" w:lastRow="1" w:firstColumn="1" w:lastColumn="1" w:noHBand="0" w:noVBand="0"/>
      </w:tblPr>
      <w:tblGrid>
        <w:gridCol w:w="4861"/>
        <w:gridCol w:w="1669"/>
        <w:gridCol w:w="1669"/>
      </w:tblGrid>
      <w:tr w:rsidR="00C14FB6" w:rsidRPr="00C14FB6" w14:paraId="74D78574" w14:textId="77777777" w:rsidTr="00C14FB6">
        <w:trPr>
          <w:jc w:val="center"/>
        </w:trPr>
        <w:tc>
          <w:tcPr>
            <w:tcW w:w="8199" w:type="dxa"/>
            <w:gridSpan w:val="3"/>
          </w:tcPr>
          <w:p w14:paraId="7BF1585B" w14:textId="7EC078DB" w:rsidR="00C14FB6" w:rsidRPr="00C14FB6" w:rsidRDefault="00C14FB6" w:rsidP="0014104A">
            <w:pPr>
              <w:keepNext/>
              <w:widowControl w:val="0"/>
              <w:spacing w:before="60" w:after="60" w:line="300" w:lineRule="auto"/>
              <w:jc w:val="center"/>
              <w:rPr>
                <w:rFonts w:ascii="Arial" w:hAnsi="Arial" w:cs="Arial"/>
                <w:b/>
                <w:bCs/>
                <w:iCs/>
                <w:sz w:val="20"/>
                <w:szCs w:val="20"/>
              </w:rPr>
            </w:pPr>
            <w:r w:rsidRPr="00C14FB6">
              <w:rPr>
                <w:rFonts w:ascii="Arial" w:hAnsi="Arial" w:cs="Arial"/>
                <w:b/>
                <w:bCs/>
                <w:iCs/>
                <w:sz w:val="20"/>
                <w:szCs w:val="20"/>
              </w:rPr>
              <w:t>Figure 6.</w:t>
            </w:r>
            <w:r w:rsidR="00AD29A6">
              <w:rPr>
                <w:rFonts w:ascii="Arial" w:hAnsi="Arial" w:cs="Arial"/>
                <w:b/>
                <w:bCs/>
                <w:iCs/>
                <w:sz w:val="20"/>
                <w:szCs w:val="20"/>
              </w:rPr>
              <w:t>8</w:t>
            </w:r>
            <w:r w:rsidRPr="00C14FB6">
              <w:rPr>
                <w:rFonts w:ascii="Arial" w:hAnsi="Arial" w:cs="Arial"/>
                <w:b/>
                <w:bCs/>
                <w:iCs/>
                <w:sz w:val="20"/>
                <w:szCs w:val="20"/>
              </w:rPr>
              <w:t xml:space="preserve">: </w:t>
            </w:r>
            <w:bookmarkStart w:id="62" w:name="_Toc372039098"/>
            <w:r w:rsidRPr="00C14FB6">
              <w:rPr>
                <w:rFonts w:ascii="Arial" w:hAnsi="Arial" w:cs="Arial"/>
                <w:b/>
                <w:bCs/>
                <w:sz w:val="20"/>
                <w:szCs w:val="20"/>
              </w:rPr>
              <w:t>Older Person Households</w:t>
            </w:r>
            <w:bookmarkEnd w:id="62"/>
          </w:p>
        </w:tc>
      </w:tr>
      <w:tr w:rsidR="00CC789D" w:rsidRPr="00E12B61" w14:paraId="1C80496F" w14:textId="77777777" w:rsidTr="00C14FB6">
        <w:trPr>
          <w:jc w:val="center"/>
        </w:trPr>
        <w:tc>
          <w:tcPr>
            <w:tcW w:w="4861" w:type="dxa"/>
          </w:tcPr>
          <w:p w14:paraId="71DB1EF4" w14:textId="77777777" w:rsidR="00CC789D" w:rsidRPr="00C14FB6" w:rsidRDefault="00CC789D" w:rsidP="0014104A">
            <w:pPr>
              <w:keepNext/>
              <w:widowControl w:val="0"/>
              <w:spacing w:line="300" w:lineRule="auto"/>
              <w:rPr>
                <w:rFonts w:ascii="Arial" w:hAnsi="Arial" w:cs="Arial"/>
                <w:iCs/>
                <w:sz w:val="20"/>
                <w:szCs w:val="20"/>
              </w:rPr>
            </w:pPr>
            <w:r w:rsidRPr="00C14FB6">
              <w:rPr>
                <w:rFonts w:ascii="Arial" w:hAnsi="Arial" w:cs="Arial"/>
                <w:iCs/>
                <w:sz w:val="20"/>
                <w:szCs w:val="20"/>
              </w:rPr>
              <w:t>Categories</w:t>
            </w:r>
          </w:p>
        </w:tc>
        <w:tc>
          <w:tcPr>
            <w:tcW w:w="1669" w:type="dxa"/>
          </w:tcPr>
          <w:p w14:paraId="7E3F6036" w14:textId="77777777" w:rsidR="00CC789D" w:rsidRPr="00C14FB6" w:rsidRDefault="00CC789D" w:rsidP="0014104A">
            <w:pPr>
              <w:keepNext/>
              <w:widowControl w:val="0"/>
              <w:spacing w:line="300" w:lineRule="auto"/>
              <w:jc w:val="center"/>
              <w:rPr>
                <w:rFonts w:ascii="Arial" w:hAnsi="Arial" w:cs="Arial"/>
                <w:iCs/>
                <w:sz w:val="20"/>
                <w:szCs w:val="20"/>
              </w:rPr>
            </w:pPr>
            <w:r w:rsidRPr="00C14FB6">
              <w:rPr>
                <w:rFonts w:ascii="Arial" w:hAnsi="Arial" w:cs="Arial"/>
                <w:iCs/>
                <w:sz w:val="20"/>
                <w:szCs w:val="20"/>
              </w:rPr>
              <w:t xml:space="preserve">Number of </w:t>
            </w:r>
            <w:r w:rsidRPr="00C14FB6">
              <w:rPr>
                <w:rFonts w:ascii="Arial" w:hAnsi="Arial" w:cs="Arial"/>
                <w:iCs/>
                <w:spacing w:val="-6"/>
                <w:sz w:val="20"/>
                <w:szCs w:val="20"/>
              </w:rPr>
              <w:t>households</w:t>
            </w:r>
          </w:p>
        </w:tc>
        <w:tc>
          <w:tcPr>
            <w:tcW w:w="1669" w:type="dxa"/>
          </w:tcPr>
          <w:p w14:paraId="605AF545" w14:textId="77777777" w:rsidR="00CC789D" w:rsidRPr="00C14FB6" w:rsidRDefault="00CC789D" w:rsidP="0014104A">
            <w:pPr>
              <w:keepNext/>
              <w:widowControl w:val="0"/>
              <w:spacing w:line="300" w:lineRule="auto"/>
              <w:jc w:val="center"/>
              <w:rPr>
                <w:rFonts w:ascii="Arial" w:hAnsi="Arial" w:cs="Arial"/>
                <w:iCs/>
                <w:sz w:val="20"/>
                <w:szCs w:val="20"/>
              </w:rPr>
            </w:pPr>
            <w:r w:rsidRPr="00C14FB6">
              <w:rPr>
                <w:rFonts w:ascii="Arial" w:hAnsi="Arial" w:cs="Arial"/>
                <w:iCs/>
                <w:sz w:val="20"/>
                <w:szCs w:val="20"/>
              </w:rPr>
              <w:t xml:space="preserve">% of all </w:t>
            </w:r>
            <w:r w:rsidRPr="00C14FB6">
              <w:rPr>
                <w:rFonts w:ascii="Arial" w:hAnsi="Arial" w:cs="Arial"/>
                <w:iCs/>
                <w:spacing w:val="-6"/>
                <w:sz w:val="20"/>
                <w:szCs w:val="20"/>
              </w:rPr>
              <w:t>households</w:t>
            </w:r>
          </w:p>
        </w:tc>
      </w:tr>
      <w:tr w:rsidR="00C14FB6" w:rsidRPr="00E12B61" w14:paraId="0B599A70" w14:textId="77777777" w:rsidTr="00C14FB6">
        <w:trPr>
          <w:jc w:val="center"/>
        </w:trPr>
        <w:tc>
          <w:tcPr>
            <w:tcW w:w="4861" w:type="dxa"/>
          </w:tcPr>
          <w:p w14:paraId="008DFA59" w14:textId="77777777" w:rsidR="00C14FB6" w:rsidRPr="00C14FB6" w:rsidRDefault="00C14FB6" w:rsidP="0014104A">
            <w:pPr>
              <w:keepNext/>
              <w:widowControl w:val="0"/>
              <w:spacing w:line="300" w:lineRule="auto"/>
              <w:rPr>
                <w:rFonts w:ascii="Arial" w:hAnsi="Arial" w:cs="Arial"/>
                <w:b/>
                <w:iCs/>
                <w:sz w:val="20"/>
                <w:szCs w:val="20"/>
              </w:rPr>
            </w:pPr>
            <w:r w:rsidRPr="00C14FB6">
              <w:rPr>
                <w:rFonts w:ascii="Arial" w:hAnsi="Arial" w:cs="Arial"/>
                <w:iCs/>
                <w:sz w:val="20"/>
                <w:szCs w:val="20"/>
              </w:rPr>
              <w:t>Households without older persons</w:t>
            </w:r>
          </w:p>
        </w:tc>
        <w:tc>
          <w:tcPr>
            <w:tcW w:w="1669" w:type="dxa"/>
            <w:vAlign w:val="bottom"/>
          </w:tcPr>
          <w:p w14:paraId="61C9E5B2" w14:textId="11EF94E2" w:rsidR="00C14FB6" w:rsidRPr="00C14FB6" w:rsidRDefault="00C14FB6" w:rsidP="0014104A">
            <w:pPr>
              <w:keepNext/>
              <w:spacing w:line="300" w:lineRule="auto"/>
              <w:jc w:val="center"/>
              <w:rPr>
                <w:rFonts w:ascii="Arial" w:hAnsi="Arial" w:cs="Arial"/>
                <w:color w:val="000000"/>
                <w:sz w:val="20"/>
                <w:szCs w:val="20"/>
              </w:rPr>
            </w:pPr>
            <w:r w:rsidRPr="00C14FB6">
              <w:rPr>
                <w:rFonts w:ascii="Arial" w:hAnsi="Arial" w:cs="Arial"/>
                <w:color w:val="000000"/>
                <w:sz w:val="20"/>
                <w:szCs w:val="20"/>
              </w:rPr>
              <w:t>22,592</w:t>
            </w:r>
          </w:p>
        </w:tc>
        <w:tc>
          <w:tcPr>
            <w:tcW w:w="1669" w:type="dxa"/>
            <w:vAlign w:val="bottom"/>
          </w:tcPr>
          <w:p w14:paraId="197DD4CE" w14:textId="661CD28E" w:rsidR="00C14FB6" w:rsidRPr="00C14FB6" w:rsidRDefault="00C14FB6" w:rsidP="0014104A">
            <w:pPr>
              <w:keepNext/>
              <w:spacing w:line="300" w:lineRule="auto"/>
              <w:jc w:val="center"/>
              <w:rPr>
                <w:rFonts w:ascii="Arial" w:hAnsi="Arial" w:cs="Arial"/>
                <w:b/>
                <w:color w:val="000000"/>
                <w:sz w:val="20"/>
                <w:szCs w:val="20"/>
              </w:rPr>
            </w:pPr>
            <w:r w:rsidRPr="00C14FB6">
              <w:rPr>
                <w:rFonts w:ascii="Arial" w:hAnsi="Arial" w:cs="Arial"/>
                <w:color w:val="000000"/>
                <w:sz w:val="20"/>
                <w:szCs w:val="20"/>
              </w:rPr>
              <w:t>57.9</w:t>
            </w:r>
            <w:r>
              <w:rPr>
                <w:rFonts w:ascii="Arial" w:hAnsi="Arial" w:cs="Arial"/>
                <w:color w:val="000000"/>
                <w:sz w:val="20"/>
                <w:szCs w:val="20"/>
              </w:rPr>
              <w:t>%</w:t>
            </w:r>
          </w:p>
        </w:tc>
      </w:tr>
      <w:tr w:rsidR="00C14FB6" w:rsidRPr="00E12B61" w14:paraId="4E807B4E" w14:textId="77777777" w:rsidTr="00C14FB6">
        <w:trPr>
          <w:jc w:val="center"/>
        </w:trPr>
        <w:tc>
          <w:tcPr>
            <w:tcW w:w="4861" w:type="dxa"/>
          </w:tcPr>
          <w:p w14:paraId="078665A0" w14:textId="77777777" w:rsidR="00C14FB6" w:rsidRPr="00C14FB6" w:rsidRDefault="00C14FB6" w:rsidP="0014104A">
            <w:pPr>
              <w:keepNext/>
              <w:widowControl w:val="0"/>
              <w:spacing w:line="300" w:lineRule="auto"/>
              <w:rPr>
                <w:rFonts w:ascii="Arial" w:hAnsi="Arial" w:cs="Arial"/>
                <w:b/>
                <w:iCs/>
                <w:sz w:val="20"/>
                <w:szCs w:val="20"/>
              </w:rPr>
            </w:pPr>
            <w:r w:rsidRPr="00C14FB6">
              <w:rPr>
                <w:rFonts w:ascii="Arial" w:hAnsi="Arial" w:cs="Arial"/>
                <w:iCs/>
                <w:sz w:val="20"/>
                <w:szCs w:val="20"/>
              </w:rPr>
              <w:t>Households with both older and non-older persons</w:t>
            </w:r>
          </w:p>
        </w:tc>
        <w:tc>
          <w:tcPr>
            <w:tcW w:w="1669" w:type="dxa"/>
            <w:vAlign w:val="bottom"/>
          </w:tcPr>
          <w:p w14:paraId="49F561AC" w14:textId="694AE241" w:rsidR="00C14FB6" w:rsidRPr="00C14FB6" w:rsidRDefault="00C14FB6" w:rsidP="0014104A">
            <w:pPr>
              <w:keepNext/>
              <w:spacing w:line="300" w:lineRule="auto"/>
              <w:jc w:val="center"/>
              <w:rPr>
                <w:rFonts w:ascii="Arial" w:hAnsi="Arial" w:cs="Arial"/>
                <w:color w:val="000000"/>
                <w:sz w:val="20"/>
                <w:szCs w:val="20"/>
              </w:rPr>
            </w:pPr>
            <w:r w:rsidRPr="00C14FB6">
              <w:rPr>
                <w:rFonts w:ascii="Arial" w:hAnsi="Arial" w:cs="Arial"/>
                <w:color w:val="000000"/>
                <w:sz w:val="20"/>
                <w:szCs w:val="20"/>
              </w:rPr>
              <w:t>3,345</w:t>
            </w:r>
          </w:p>
        </w:tc>
        <w:tc>
          <w:tcPr>
            <w:tcW w:w="1669" w:type="dxa"/>
            <w:vAlign w:val="bottom"/>
          </w:tcPr>
          <w:p w14:paraId="65B0E650" w14:textId="345CF8E0" w:rsidR="00C14FB6" w:rsidRPr="00C14FB6" w:rsidRDefault="00C14FB6" w:rsidP="0014104A">
            <w:pPr>
              <w:keepNext/>
              <w:spacing w:line="300" w:lineRule="auto"/>
              <w:jc w:val="center"/>
              <w:rPr>
                <w:rFonts w:ascii="Arial" w:hAnsi="Arial" w:cs="Arial"/>
                <w:b/>
                <w:color w:val="000000"/>
                <w:sz w:val="20"/>
                <w:szCs w:val="20"/>
              </w:rPr>
            </w:pPr>
            <w:r w:rsidRPr="00C14FB6">
              <w:rPr>
                <w:rFonts w:ascii="Arial" w:hAnsi="Arial" w:cs="Arial"/>
                <w:color w:val="000000"/>
                <w:sz w:val="20"/>
                <w:szCs w:val="20"/>
              </w:rPr>
              <w:t>8.6</w:t>
            </w:r>
            <w:r>
              <w:rPr>
                <w:rFonts w:ascii="Arial" w:hAnsi="Arial" w:cs="Arial"/>
                <w:color w:val="000000"/>
                <w:sz w:val="20"/>
                <w:szCs w:val="20"/>
              </w:rPr>
              <w:t>%</w:t>
            </w:r>
          </w:p>
        </w:tc>
      </w:tr>
      <w:tr w:rsidR="00C14FB6" w:rsidRPr="00E12B61" w14:paraId="55FB2B9E" w14:textId="77777777" w:rsidTr="00C14FB6">
        <w:trPr>
          <w:jc w:val="center"/>
        </w:trPr>
        <w:tc>
          <w:tcPr>
            <w:tcW w:w="4861" w:type="dxa"/>
          </w:tcPr>
          <w:p w14:paraId="32073CEC" w14:textId="77777777" w:rsidR="00C14FB6" w:rsidRPr="00C14FB6" w:rsidRDefault="00C14FB6" w:rsidP="0014104A">
            <w:pPr>
              <w:keepNext/>
              <w:widowControl w:val="0"/>
              <w:spacing w:line="300" w:lineRule="auto"/>
              <w:rPr>
                <w:rFonts w:ascii="Arial" w:hAnsi="Arial" w:cs="Arial"/>
                <w:b/>
                <w:iCs/>
                <w:sz w:val="20"/>
                <w:szCs w:val="20"/>
              </w:rPr>
            </w:pPr>
            <w:r w:rsidRPr="00C14FB6">
              <w:rPr>
                <w:rFonts w:ascii="Arial" w:hAnsi="Arial" w:cs="Arial"/>
                <w:iCs/>
                <w:sz w:val="20"/>
                <w:szCs w:val="20"/>
              </w:rPr>
              <w:t>Households with older persons only</w:t>
            </w:r>
          </w:p>
        </w:tc>
        <w:tc>
          <w:tcPr>
            <w:tcW w:w="1669" w:type="dxa"/>
            <w:vAlign w:val="bottom"/>
          </w:tcPr>
          <w:p w14:paraId="5AB8FE8D" w14:textId="0655C824" w:rsidR="00C14FB6" w:rsidRPr="00C14FB6" w:rsidRDefault="00C14FB6" w:rsidP="0014104A">
            <w:pPr>
              <w:keepNext/>
              <w:spacing w:line="300" w:lineRule="auto"/>
              <w:jc w:val="center"/>
              <w:rPr>
                <w:rFonts w:ascii="Arial" w:hAnsi="Arial" w:cs="Arial"/>
                <w:color w:val="000000"/>
                <w:sz w:val="20"/>
                <w:szCs w:val="20"/>
              </w:rPr>
            </w:pPr>
            <w:r w:rsidRPr="00C14FB6">
              <w:rPr>
                <w:rFonts w:ascii="Arial" w:hAnsi="Arial" w:cs="Arial"/>
                <w:color w:val="000000"/>
                <w:sz w:val="20"/>
                <w:szCs w:val="20"/>
              </w:rPr>
              <w:t>13,063</w:t>
            </w:r>
          </w:p>
        </w:tc>
        <w:tc>
          <w:tcPr>
            <w:tcW w:w="1669" w:type="dxa"/>
            <w:vAlign w:val="bottom"/>
          </w:tcPr>
          <w:p w14:paraId="060A58BE" w14:textId="18984218" w:rsidR="00C14FB6" w:rsidRPr="00C14FB6" w:rsidRDefault="00C14FB6" w:rsidP="0014104A">
            <w:pPr>
              <w:keepNext/>
              <w:spacing w:line="300" w:lineRule="auto"/>
              <w:jc w:val="center"/>
              <w:rPr>
                <w:rFonts w:ascii="Arial" w:hAnsi="Arial" w:cs="Arial"/>
                <w:b/>
                <w:color w:val="000000"/>
                <w:sz w:val="20"/>
                <w:szCs w:val="20"/>
              </w:rPr>
            </w:pPr>
            <w:r w:rsidRPr="00C14FB6">
              <w:rPr>
                <w:rFonts w:ascii="Arial" w:hAnsi="Arial" w:cs="Arial"/>
                <w:color w:val="000000"/>
                <w:sz w:val="20"/>
                <w:szCs w:val="20"/>
              </w:rPr>
              <w:t>33.5</w:t>
            </w:r>
            <w:r>
              <w:rPr>
                <w:rFonts w:ascii="Arial" w:hAnsi="Arial" w:cs="Arial"/>
                <w:color w:val="000000"/>
                <w:sz w:val="20"/>
                <w:szCs w:val="20"/>
              </w:rPr>
              <w:t>%</w:t>
            </w:r>
          </w:p>
        </w:tc>
      </w:tr>
      <w:tr w:rsidR="00C14FB6" w:rsidRPr="00E12B61" w14:paraId="23BC8741" w14:textId="77777777" w:rsidTr="00C14FB6">
        <w:trPr>
          <w:jc w:val="center"/>
        </w:trPr>
        <w:tc>
          <w:tcPr>
            <w:tcW w:w="4861" w:type="dxa"/>
          </w:tcPr>
          <w:p w14:paraId="1FC527E3" w14:textId="77777777" w:rsidR="00C14FB6" w:rsidRPr="00C14FB6" w:rsidRDefault="00C14FB6" w:rsidP="0014104A">
            <w:pPr>
              <w:keepNext/>
              <w:widowControl w:val="0"/>
              <w:spacing w:line="300" w:lineRule="auto"/>
              <w:rPr>
                <w:rFonts w:ascii="Arial" w:hAnsi="Arial" w:cs="Arial"/>
                <w:b/>
                <w:iCs/>
                <w:sz w:val="20"/>
                <w:szCs w:val="20"/>
              </w:rPr>
            </w:pPr>
            <w:r w:rsidRPr="00C14FB6">
              <w:rPr>
                <w:rFonts w:ascii="Arial" w:hAnsi="Arial" w:cs="Arial"/>
                <w:iCs/>
                <w:sz w:val="20"/>
                <w:szCs w:val="20"/>
              </w:rPr>
              <w:t>Total</w:t>
            </w:r>
          </w:p>
        </w:tc>
        <w:tc>
          <w:tcPr>
            <w:tcW w:w="1669" w:type="dxa"/>
            <w:vAlign w:val="bottom"/>
          </w:tcPr>
          <w:p w14:paraId="699800FC" w14:textId="4B46616F" w:rsidR="00C14FB6" w:rsidRPr="00C14FB6" w:rsidRDefault="00C14FB6" w:rsidP="0014104A">
            <w:pPr>
              <w:keepNext/>
              <w:spacing w:line="300" w:lineRule="auto"/>
              <w:jc w:val="center"/>
              <w:rPr>
                <w:rFonts w:ascii="Arial" w:hAnsi="Arial" w:cs="Arial"/>
                <w:b/>
                <w:color w:val="000000"/>
                <w:sz w:val="20"/>
                <w:szCs w:val="20"/>
              </w:rPr>
            </w:pPr>
            <w:r w:rsidRPr="00C14FB6">
              <w:rPr>
                <w:rFonts w:ascii="Arial" w:hAnsi="Arial" w:cs="Arial"/>
                <w:color w:val="000000"/>
                <w:sz w:val="20"/>
                <w:szCs w:val="20"/>
              </w:rPr>
              <w:t>39,000</w:t>
            </w:r>
          </w:p>
        </w:tc>
        <w:tc>
          <w:tcPr>
            <w:tcW w:w="1669" w:type="dxa"/>
            <w:vAlign w:val="bottom"/>
          </w:tcPr>
          <w:p w14:paraId="076AB55E" w14:textId="5AA1198B" w:rsidR="00C14FB6" w:rsidRPr="00C14FB6" w:rsidRDefault="00C14FB6" w:rsidP="0014104A">
            <w:pPr>
              <w:keepNext/>
              <w:spacing w:line="300" w:lineRule="auto"/>
              <w:jc w:val="center"/>
              <w:rPr>
                <w:rFonts w:ascii="Arial" w:hAnsi="Arial" w:cs="Arial"/>
                <w:b/>
                <w:color w:val="000000"/>
                <w:sz w:val="20"/>
                <w:szCs w:val="20"/>
              </w:rPr>
            </w:pPr>
            <w:r w:rsidRPr="00C14FB6">
              <w:rPr>
                <w:rFonts w:ascii="Arial" w:hAnsi="Arial" w:cs="Arial"/>
                <w:color w:val="000000"/>
                <w:sz w:val="20"/>
                <w:szCs w:val="20"/>
              </w:rPr>
              <w:t>100</w:t>
            </w:r>
            <w:r>
              <w:rPr>
                <w:rFonts w:ascii="Arial" w:hAnsi="Arial" w:cs="Arial"/>
                <w:color w:val="000000"/>
                <w:sz w:val="20"/>
                <w:szCs w:val="20"/>
              </w:rPr>
              <w:t>.0%</w:t>
            </w:r>
          </w:p>
        </w:tc>
      </w:tr>
    </w:tbl>
    <w:p w14:paraId="4234E76B" w14:textId="1272B74E" w:rsidR="00CC789D"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49233377" w14:textId="77777777" w:rsidR="00C14FB6" w:rsidRPr="002F2EEC" w:rsidRDefault="00C14FB6" w:rsidP="0033047F">
      <w:pPr>
        <w:pStyle w:val="Bulletblueplain"/>
        <w:numPr>
          <w:ilvl w:val="0"/>
          <w:numId w:val="0"/>
        </w:numPr>
        <w:spacing w:before="0" w:after="0" w:line="300" w:lineRule="auto"/>
        <w:rPr>
          <w:bCs/>
          <w:color w:val="auto"/>
          <w:szCs w:val="20"/>
        </w:rPr>
      </w:pPr>
    </w:p>
    <w:p w14:paraId="029ED79B" w14:textId="18C6EECC" w:rsidR="00CC789D" w:rsidRPr="002F2EEC" w:rsidRDefault="00C14FB6">
      <w:pPr>
        <w:pStyle w:val="11Bodytext"/>
        <w:numPr>
          <w:ilvl w:val="1"/>
          <w:numId w:val="65"/>
        </w:numPr>
        <w:spacing w:before="0" w:after="0" w:line="300" w:lineRule="auto"/>
        <w:ind w:left="720" w:hanging="720"/>
        <w:rPr>
          <w:color w:val="auto"/>
        </w:rPr>
      </w:pPr>
      <w:r w:rsidRPr="002F2EEC">
        <w:rPr>
          <w:color w:val="auto"/>
        </w:rPr>
        <w:t>The t</w:t>
      </w:r>
      <w:r w:rsidR="00CC789D" w:rsidRPr="002F2EEC">
        <w:rPr>
          <w:color w:val="auto"/>
        </w:rPr>
        <w:t xml:space="preserve">able </w:t>
      </w:r>
      <w:r w:rsidRPr="002F2EEC">
        <w:rPr>
          <w:color w:val="auto"/>
        </w:rPr>
        <w:t>below</w:t>
      </w:r>
      <w:r w:rsidR="00CC789D" w:rsidRPr="002F2EEC">
        <w:rPr>
          <w:color w:val="auto"/>
        </w:rPr>
        <w:t xml:space="preserve"> shows the number of older person only households in each sub-</w:t>
      </w:r>
      <w:r w:rsidRPr="002F2EEC">
        <w:rPr>
          <w:color w:val="auto"/>
        </w:rPr>
        <w:t>area</w:t>
      </w:r>
      <w:r w:rsidR="00CC789D" w:rsidRPr="002F2EEC">
        <w:rPr>
          <w:color w:val="auto"/>
        </w:rPr>
        <w:t xml:space="preserve">. The data shows </w:t>
      </w:r>
      <w:r w:rsidR="002F2EEC" w:rsidRPr="002F2EEC">
        <w:rPr>
          <w:color w:val="auto"/>
        </w:rPr>
        <w:t xml:space="preserve">a higher proportion of older person only households in </w:t>
      </w:r>
      <w:r w:rsidR="002F2EEC" w:rsidRPr="4B959270">
        <w:rPr>
          <w:color w:val="auto"/>
        </w:rPr>
        <w:t xml:space="preserve">St Annes and </w:t>
      </w:r>
      <w:r w:rsidR="002F2EEC" w:rsidRPr="002F2EEC">
        <w:rPr>
          <w:color w:val="auto"/>
        </w:rPr>
        <w:t xml:space="preserve">Lytham and a much lower percentage in some areas (notably </w:t>
      </w:r>
      <w:r w:rsidR="002F2EEC" w:rsidRPr="4B959270">
        <w:rPr>
          <w:color w:val="auto"/>
        </w:rPr>
        <w:t xml:space="preserve">FB Periphery, </w:t>
      </w:r>
      <w:r w:rsidR="002F2EEC" w:rsidRPr="002F2EEC">
        <w:rPr>
          <w:color w:val="auto"/>
        </w:rPr>
        <w:t>Wesham and Warton)</w:t>
      </w:r>
      <w:r w:rsidR="00CC789D" w:rsidRPr="002F2EEC">
        <w:rPr>
          <w:color w:val="auto"/>
        </w:rPr>
        <w:t>.</w:t>
      </w:r>
    </w:p>
    <w:p w14:paraId="22C1FFB8" w14:textId="0DE5B055" w:rsidR="00CC789D" w:rsidRPr="002F2EEC" w:rsidRDefault="00CC789D" w:rsidP="00172F56">
      <w:pPr>
        <w:spacing w:line="300" w:lineRule="auto"/>
        <w:jc w:val="both"/>
        <w:rPr>
          <w:rFonts w:ascii="Arial" w:hAnsi="Arial" w:cs="Arial"/>
          <w:bCs/>
          <w:sz w:val="20"/>
          <w:szCs w:val="20"/>
        </w:rPr>
      </w:pPr>
    </w:p>
    <w:tbl>
      <w:tblPr>
        <w:tblStyle w:val="TableGrid10"/>
        <w:tblW w:w="8199" w:type="dxa"/>
        <w:jc w:val="center"/>
        <w:tblLook w:val="04A0" w:firstRow="1" w:lastRow="0" w:firstColumn="1" w:lastColumn="0" w:noHBand="0" w:noVBand="1"/>
      </w:tblPr>
      <w:tblGrid>
        <w:gridCol w:w="2049"/>
        <w:gridCol w:w="2050"/>
        <w:gridCol w:w="2050"/>
        <w:gridCol w:w="2050"/>
      </w:tblGrid>
      <w:tr w:rsidR="00C14FB6" w:rsidRPr="008820D2" w14:paraId="389CE290" w14:textId="77777777" w:rsidTr="008469E3">
        <w:trPr>
          <w:jc w:val="center"/>
        </w:trPr>
        <w:tc>
          <w:tcPr>
            <w:tcW w:w="8199" w:type="dxa"/>
            <w:gridSpan w:val="4"/>
          </w:tcPr>
          <w:p w14:paraId="39B0398F" w14:textId="7E0548C1" w:rsidR="00C14FB6" w:rsidRPr="008820D2" w:rsidRDefault="00C14FB6" w:rsidP="0014104A">
            <w:pPr>
              <w:keepNext/>
              <w:spacing w:before="60" w:after="60"/>
              <w:jc w:val="center"/>
              <w:rPr>
                <w:rFonts w:ascii="Arial" w:hAnsi="Arial" w:cs="Arial"/>
                <w:b/>
                <w:bCs/>
                <w:sz w:val="20"/>
                <w:szCs w:val="20"/>
                <w:lang w:eastAsia="ja-JP"/>
              </w:rPr>
            </w:pPr>
            <w:r w:rsidRPr="008820D2">
              <w:rPr>
                <w:rFonts w:ascii="Arial" w:hAnsi="Arial" w:cs="Arial"/>
                <w:b/>
                <w:bCs/>
                <w:sz w:val="20"/>
                <w:szCs w:val="20"/>
                <w:lang w:eastAsia="ja-JP"/>
              </w:rPr>
              <w:t>Figure 6.</w:t>
            </w:r>
            <w:r w:rsidR="00AD29A6">
              <w:rPr>
                <w:rFonts w:ascii="Arial" w:hAnsi="Arial" w:cs="Arial"/>
                <w:b/>
                <w:bCs/>
                <w:sz w:val="20"/>
                <w:szCs w:val="20"/>
                <w:lang w:eastAsia="ja-JP"/>
              </w:rPr>
              <w:t>9</w:t>
            </w:r>
            <w:r w:rsidRPr="008820D2">
              <w:rPr>
                <w:rFonts w:ascii="Arial" w:hAnsi="Arial" w:cs="Arial"/>
                <w:b/>
                <w:bCs/>
                <w:sz w:val="20"/>
                <w:szCs w:val="20"/>
                <w:lang w:eastAsia="ja-JP"/>
              </w:rPr>
              <w:t xml:space="preserve">: </w:t>
            </w:r>
            <w:r>
              <w:rPr>
                <w:rFonts w:ascii="Arial" w:hAnsi="Arial" w:cs="Arial"/>
                <w:b/>
                <w:bCs/>
                <w:sz w:val="20"/>
                <w:szCs w:val="20"/>
                <w:lang w:eastAsia="ja-JP"/>
              </w:rPr>
              <w:t>Older person households</w:t>
            </w:r>
            <w:r w:rsidRPr="008820D2">
              <w:rPr>
                <w:rFonts w:ascii="Arial" w:hAnsi="Arial" w:cs="Arial"/>
                <w:b/>
                <w:bCs/>
                <w:sz w:val="20"/>
                <w:szCs w:val="20"/>
                <w:lang w:eastAsia="ja-JP"/>
              </w:rPr>
              <w:t xml:space="preserve"> by sub-area</w:t>
            </w:r>
          </w:p>
        </w:tc>
      </w:tr>
      <w:tr w:rsidR="00C14FB6" w14:paraId="1E1C2486" w14:textId="77777777" w:rsidTr="008469E3">
        <w:trPr>
          <w:jc w:val="center"/>
        </w:trPr>
        <w:tc>
          <w:tcPr>
            <w:tcW w:w="2049" w:type="dxa"/>
          </w:tcPr>
          <w:p w14:paraId="75AC9051" w14:textId="77777777" w:rsidR="00C14FB6" w:rsidRPr="008820D2" w:rsidRDefault="00C14FB6" w:rsidP="0014104A">
            <w:pPr>
              <w:keepNext/>
              <w:rPr>
                <w:rFonts w:ascii="Arial" w:hAnsi="Arial" w:cs="Arial"/>
                <w:sz w:val="20"/>
                <w:szCs w:val="20"/>
                <w:lang w:eastAsia="ja-JP"/>
              </w:rPr>
            </w:pPr>
          </w:p>
        </w:tc>
        <w:tc>
          <w:tcPr>
            <w:tcW w:w="2050" w:type="dxa"/>
            <w:vAlign w:val="center"/>
          </w:tcPr>
          <w:p w14:paraId="782963BD" w14:textId="634FB860" w:rsidR="00C14FB6" w:rsidRPr="008820D2" w:rsidRDefault="00C14FB6" w:rsidP="0014104A">
            <w:pPr>
              <w:keepNext/>
              <w:jc w:val="center"/>
              <w:rPr>
                <w:rFonts w:ascii="Arial" w:hAnsi="Arial" w:cs="Arial"/>
                <w:sz w:val="20"/>
                <w:szCs w:val="20"/>
                <w:lang w:eastAsia="ja-JP"/>
              </w:rPr>
            </w:pPr>
            <w:r w:rsidRPr="008820D2">
              <w:rPr>
                <w:rFonts w:ascii="Arial" w:hAnsi="Arial" w:cs="Arial"/>
                <w:sz w:val="20"/>
                <w:szCs w:val="20"/>
              </w:rPr>
              <w:t>Number of households</w:t>
            </w:r>
            <w:r>
              <w:rPr>
                <w:rFonts w:ascii="Arial" w:hAnsi="Arial" w:cs="Arial"/>
                <w:sz w:val="20"/>
                <w:szCs w:val="20"/>
              </w:rPr>
              <w:t xml:space="preserve"> with all older people</w:t>
            </w:r>
          </w:p>
        </w:tc>
        <w:tc>
          <w:tcPr>
            <w:tcW w:w="2050" w:type="dxa"/>
            <w:vAlign w:val="center"/>
          </w:tcPr>
          <w:p w14:paraId="66E454A6" w14:textId="67F531A6" w:rsidR="00C14FB6" w:rsidRPr="008820D2" w:rsidRDefault="00C14FB6" w:rsidP="0014104A">
            <w:pPr>
              <w:keepNext/>
              <w:jc w:val="center"/>
              <w:rPr>
                <w:rFonts w:ascii="Arial" w:hAnsi="Arial" w:cs="Arial"/>
                <w:sz w:val="20"/>
                <w:szCs w:val="20"/>
                <w:lang w:eastAsia="ja-JP"/>
              </w:rPr>
            </w:pPr>
            <w:r w:rsidRPr="008820D2">
              <w:rPr>
                <w:rFonts w:ascii="Arial" w:hAnsi="Arial" w:cs="Arial"/>
                <w:sz w:val="20"/>
                <w:szCs w:val="20"/>
              </w:rPr>
              <w:t>% of all households</w:t>
            </w:r>
            <w:r>
              <w:rPr>
                <w:rFonts w:ascii="Arial" w:hAnsi="Arial" w:cs="Arial"/>
                <w:sz w:val="20"/>
                <w:szCs w:val="20"/>
              </w:rPr>
              <w:t xml:space="preserve"> in area</w:t>
            </w:r>
          </w:p>
        </w:tc>
        <w:tc>
          <w:tcPr>
            <w:tcW w:w="2050" w:type="dxa"/>
            <w:vAlign w:val="center"/>
          </w:tcPr>
          <w:p w14:paraId="60906268" w14:textId="113D0931" w:rsidR="00C14FB6" w:rsidRPr="008820D2" w:rsidRDefault="00C14FB6" w:rsidP="0014104A">
            <w:pPr>
              <w:keepNext/>
              <w:jc w:val="center"/>
              <w:rPr>
                <w:rFonts w:ascii="Arial" w:hAnsi="Arial" w:cs="Arial"/>
                <w:sz w:val="20"/>
                <w:szCs w:val="20"/>
                <w:lang w:eastAsia="ja-JP"/>
              </w:rPr>
            </w:pPr>
            <w:r w:rsidRPr="008820D2">
              <w:rPr>
                <w:rFonts w:ascii="Arial" w:hAnsi="Arial" w:cs="Arial"/>
                <w:sz w:val="20"/>
                <w:szCs w:val="20"/>
              </w:rPr>
              <w:t xml:space="preserve">% of </w:t>
            </w:r>
            <w:r>
              <w:rPr>
                <w:rFonts w:ascii="Arial" w:hAnsi="Arial" w:cs="Arial"/>
                <w:sz w:val="20"/>
                <w:szCs w:val="20"/>
              </w:rPr>
              <w:t>older person</w:t>
            </w:r>
            <w:r w:rsidRPr="008820D2">
              <w:rPr>
                <w:rFonts w:ascii="Arial" w:hAnsi="Arial" w:cs="Arial"/>
                <w:sz w:val="20"/>
                <w:szCs w:val="20"/>
              </w:rPr>
              <w:t xml:space="preserve"> households</w:t>
            </w:r>
          </w:p>
        </w:tc>
      </w:tr>
      <w:tr w:rsidR="002F2EEC" w14:paraId="44DB749E" w14:textId="77777777" w:rsidTr="008469E3">
        <w:trPr>
          <w:jc w:val="center"/>
        </w:trPr>
        <w:tc>
          <w:tcPr>
            <w:tcW w:w="2049" w:type="dxa"/>
          </w:tcPr>
          <w:p w14:paraId="38B1DC02" w14:textId="6161906E" w:rsidR="002F2EEC" w:rsidRPr="008820D2" w:rsidRDefault="00432414" w:rsidP="0014104A">
            <w:pPr>
              <w:keepNext/>
              <w:rPr>
                <w:rFonts w:ascii="Arial" w:hAnsi="Arial" w:cs="Arial"/>
                <w:sz w:val="20"/>
                <w:szCs w:val="20"/>
                <w:lang w:eastAsia="ja-JP"/>
              </w:rPr>
            </w:pPr>
            <w:r>
              <w:rPr>
                <w:rFonts w:ascii="Arial" w:hAnsi="Arial" w:cs="Arial"/>
                <w:color w:val="000000"/>
                <w:sz w:val="20"/>
                <w:szCs w:val="20"/>
              </w:rPr>
              <w:t>St. Annes</w:t>
            </w:r>
          </w:p>
        </w:tc>
        <w:tc>
          <w:tcPr>
            <w:tcW w:w="2050" w:type="dxa"/>
            <w:vAlign w:val="bottom"/>
          </w:tcPr>
          <w:p w14:paraId="1A51FC77" w14:textId="1D918D8C"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4,766</w:t>
            </w:r>
          </w:p>
        </w:tc>
        <w:tc>
          <w:tcPr>
            <w:tcW w:w="2050" w:type="dxa"/>
            <w:vAlign w:val="bottom"/>
          </w:tcPr>
          <w:p w14:paraId="564F1C7F" w14:textId="5A4A8935"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34.5%</w:t>
            </w:r>
          </w:p>
        </w:tc>
        <w:tc>
          <w:tcPr>
            <w:tcW w:w="2050" w:type="dxa"/>
            <w:vAlign w:val="bottom"/>
          </w:tcPr>
          <w:p w14:paraId="340527FA" w14:textId="2D9555EC"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36.5%</w:t>
            </w:r>
          </w:p>
        </w:tc>
      </w:tr>
      <w:tr w:rsidR="002F2EEC" w14:paraId="2BAF1243" w14:textId="77777777" w:rsidTr="008469E3">
        <w:trPr>
          <w:jc w:val="center"/>
        </w:trPr>
        <w:tc>
          <w:tcPr>
            <w:tcW w:w="2049" w:type="dxa"/>
          </w:tcPr>
          <w:p w14:paraId="3215A039" w14:textId="77777777" w:rsidR="002F2EEC" w:rsidRPr="008820D2" w:rsidRDefault="002F2EEC" w:rsidP="0014104A">
            <w:pPr>
              <w:keepNext/>
              <w:rPr>
                <w:rFonts w:ascii="Arial" w:hAnsi="Arial" w:cs="Arial"/>
                <w:sz w:val="20"/>
                <w:szCs w:val="20"/>
                <w:lang w:eastAsia="ja-JP"/>
              </w:rPr>
            </w:pPr>
            <w:r w:rsidRPr="008820D2">
              <w:rPr>
                <w:rFonts w:ascii="Arial" w:hAnsi="Arial" w:cs="Arial"/>
                <w:color w:val="000000"/>
                <w:sz w:val="20"/>
                <w:szCs w:val="20"/>
              </w:rPr>
              <w:t>Lytham</w:t>
            </w:r>
          </w:p>
        </w:tc>
        <w:tc>
          <w:tcPr>
            <w:tcW w:w="2050" w:type="dxa"/>
            <w:vAlign w:val="bottom"/>
          </w:tcPr>
          <w:p w14:paraId="02B087D9" w14:textId="17112540"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3,396</w:t>
            </w:r>
          </w:p>
        </w:tc>
        <w:tc>
          <w:tcPr>
            <w:tcW w:w="2050" w:type="dxa"/>
            <w:vAlign w:val="bottom"/>
          </w:tcPr>
          <w:p w14:paraId="49583AD7" w14:textId="254EAED7"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40.0%</w:t>
            </w:r>
          </w:p>
        </w:tc>
        <w:tc>
          <w:tcPr>
            <w:tcW w:w="2050" w:type="dxa"/>
            <w:vAlign w:val="bottom"/>
          </w:tcPr>
          <w:p w14:paraId="58D62DFC" w14:textId="5E0DE3B0"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26.0%</w:t>
            </w:r>
          </w:p>
        </w:tc>
      </w:tr>
      <w:tr w:rsidR="002F2EEC" w14:paraId="087065BF" w14:textId="77777777" w:rsidTr="008469E3">
        <w:trPr>
          <w:jc w:val="center"/>
        </w:trPr>
        <w:tc>
          <w:tcPr>
            <w:tcW w:w="2049" w:type="dxa"/>
          </w:tcPr>
          <w:p w14:paraId="765C5586" w14:textId="77777777" w:rsidR="002F2EEC" w:rsidRPr="008820D2" w:rsidRDefault="002F2EEC" w:rsidP="0014104A">
            <w:pPr>
              <w:keepNext/>
              <w:rPr>
                <w:rFonts w:ascii="Arial" w:hAnsi="Arial" w:cs="Arial"/>
                <w:sz w:val="20"/>
                <w:szCs w:val="20"/>
                <w:lang w:eastAsia="ja-JP"/>
              </w:rPr>
            </w:pPr>
            <w:r w:rsidRPr="008820D2">
              <w:rPr>
                <w:rFonts w:ascii="Arial" w:hAnsi="Arial" w:cs="Arial"/>
                <w:color w:val="000000"/>
                <w:sz w:val="20"/>
                <w:szCs w:val="20"/>
              </w:rPr>
              <w:t>Warton</w:t>
            </w:r>
          </w:p>
        </w:tc>
        <w:tc>
          <w:tcPr>
            <w:tcW w:w="2050" w:type="dxa"/>
            <w:vAlign w:val="bottom"/>
          </w:tcPr>
          <w:p w14:paraId="4F49F6EE" w14:textId="44A02E76"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490</w:t>
            </w:r>
          </w:p>
        </w:tc>
        <w:tc>
          <w:tcPr>
            <w:tcW w:w="2050" w:type="dxa"/>
            <w:vAlign w:val="bottom"/>
          </w:tcPr>
          <w:p w14:paraId="6392EF09" w14:textId="72380249"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22.9%</w:t>
            </w:r>
          </w:p>
        </w:tc>
        <w:tc>
          <w:tcPr>
            <w:tcW w:w="2050" w:type="dxa"/>
            <w:vAlign w:val="bottom"/>
          </w:tcPr>
          <w:p w14:paraId="16E91FA9" w14:textId="05FF8C2F"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3.8%</w:t>
            </w:r>
          </w:p>
        </w:tc>
      </w:tr>
      <w:tr w:rsidR="002F2EEC" w14:paraId="2CBB55A7" w14:textId="77777777" w:rsidTr="008469E3">
        <w:trPr>
          <w:jc w:val="center"/>
        </w:trPr>
        <w:tc>
          <w:tcPr>
            <w:tcW w:w="2049" w:type="dxa"/>
          </w:tcPr>
          <w:p w14:paraId="5AFC1193" w14:textId="77777777" w:rsidR="002F2EEC" w:rsidRPr="008820D2" w:rsidRDefault="002F2EEC" w:rsidP="0014104A">
            <w:pPr>
              <w:keepNext/>
              <w:rPr>
                <w:rFonts w:ascii="Arial" w:hAnsi="Arial" w:cs="Arial"/>
                <w:sz w:val="20"/>
                <w:szCs w:val="20"/>
                <w:lang w:eastAsia="ja-JP"/>
              </w:rPr>
            </w:pPr>
            <w:r w:rsidRPr="008820D2">
              <w:rPr>
                <w:rFonts w:ascii="Arial" w:hAnsi="Arial" w:cs="Arial"/>
                <w:color w:val="000000"/>
                <w:sz w:val="20"/>
                <w:szCs w:val="20"/>
              </w:rPr>
              <w:t>FB Periphery</w:t>
            </w:r>
          </w:p>
        </w:tc>
        <w:tc>
          <w:tcPr>
            <w:tcW w:w="2050" w:type="dxa"/>
            <w:vAlign w:val="bottom"/>
          </w:tcPr>
          <w:p w14:paraId="133B0F4B" w14:textId="30C86452"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347</w:t>
            </w:r>
          </w:p>
        </w:tc>
        <w:tc>
          <w:tcPr>
            <w:tcW w:w="2050" w:type="dxa"/>
            <w:vAlign w:val="bottom"/>
          </w:tcPr>
          <w:p w14:paraId="5BC67062" w14:textId="0A2A4716"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30.8%</w:t>
            </w:r>
          </w:p>
        </w:tc>
        <w:tc>
          <w:tcPr>
            <w:tcW w:w="2050" w:type="dxa"/>
            <w:vAlign w:val="bottom"/>
          </w:tcPr>
          <w:p w14:paraId="66D24C05" w14:textId="7A0C1345"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2.7%</w:t>
            </w:r>
          </w:p>
        </w:tc>
      </w:tr>
      <w:tr w:rsidR="002F2EEC" w14:paraId="24D87A75" w14:textId="77777777" w:rsidTr="008469E3">
        <w:trPr>
          <w:jc w:val="center"/>
        </w:trPr>
        <w:tc>
          <w:tcPr>
            <w:tcW w:w="2049" w:type="dxa"/>
          </w:tcPr>
          <w:p w14:paraId="29D1A87C" w14:textId="77777777" w:rsidR="002F2EEC" w:rsidRPr="008820D2" w:rsidRDefault="002F2EEC" w:rsidP="0014104A">
            <w:pPr>
              <w:keepNext/>
              <w:rPr>
                <w:rFonts w:ascii="Arial" w:hAnsi="Arial" w:cs="Arial"/>
                <w:sz w:val="20"/>
                <w:szCs w:val="20"/>
                <w:lang w:eastAsia="ja-JP"/>
              </w:rPr>
            </w:pPr>
            <w:r w:rsidRPr="008820D2">
              <w:rPr>
                <w:rFonts w:ascii="Arial" w:hAnsi="Arial" w:cs="Arial"/>
                <w:color w:val="000000"/>
                <w:sz w:val="20"/>
                <w:szCs w:val="20"/>
              </w:rPr>
              <w:t>Kirkham</w:t>
            </w:r>
          </w:p>
        </w:tc>
        <w:tc>
          <w:tcPr>
            <w:tcW w:w="2050" w:type="dxa"/>
            <w:vAlign w:val="bottom"/>
          </w:tcPr>
          <w:p w14:paraId="6B395517" w14:textId="55D239CF"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904</w:t>
            </w:r>
          </w:p>
        </w:tc>
        <w:tc>
          <w:tcPr>
            <w:tcW w:w="2050" w:type="dxa"/>
            <w:vAlign w:val="bottom"/>
          </w:tcPr>
          <w:p w14:paraId="11824E77" w14:textId="19533FC8"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27.5%</w:t>
            </w:r>
          </w:p>
        </w:tc>
        <w:tc>
          <w:tcPr>
            <w:tcW w:w="2050" w:type="dxa"/>
            <w:vAlign w:val="bottom"/>
          </w:tcPr>
          <w:p w14:paraId="4F08EF7D" w14:textId="2BF36F3E"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6.9%</w:t>
            </w:r>
          </w:p>
        </w:tc>
      </w:tr>
      <w:tr w:rsidR="002F2EEC" w14:paraId="3AD4FA85" w14:textId="77777777" w:rsidTr="008469E3">
        <w:trPr>
          <w:jc w:val="center"/>
        </w:trPr>
        <w:tc>
          <w:tcPr>
            <w:tcW w:w="2049" w:type="dxa"/>
          </w:tcPr>
          <w:p w14:paraId="1FDEB17F" w14:textId="77777777" w:rsidR="002F2EEC" w:rsidRPr="008820D2" w:rsidRDefault="002F2EEC" w:rsidP="0014104A">
            <w:pPr>
              <w:keepNext/>
              <w:rPr>
                <w:rFonts w:ascii="Arial" w:hAnsi="Arial" w:cs="Arial"/>
                <w:sz w:val="20"/>
                <w:szCs w:val="20"/>
                <w:lang w:eastAsia="ja-JP"/>
              </w:rPr>
            </w:pPr>
            <w:r w:rsidRPr="008820D2">
              <w:rPr>
                <w:rFonts w:ascii="Arial" w:hAnsi="Arial" w:cs="Arial"/>
                <w:color w:val="000000"/>
                <w:sz w:val="20"/>
                <w:szCs w:val="20"/>
              </w:rPr>
              <w:t>Wesham</w:t>
            </w:r>
          </w:p>
        </w:tc>
        <w:tc>
          <w:tcPr>
            <w:tcW w:w="2050" w:type="dxa"/>
            <w:vAlign w:val="bottom"/>
          </w:tcPr>
          <w:p w14:paraId="3D4C2A8E" w14:textId="47597F0B"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405</w:t>
            </w:r>
          </w:p>
        </w:tc>
        <w:tc>
          <w:tcPr>
            <w:tcW w:w="2050" w:type="dxa"/>
            <w:vAlign w:val="bottom"/>
          </w:tcPr>
          <w:p w14:paraId="2E096620" w14:textId="701BF45C"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20.9%</w:t>
            </w:r>
          </w:p>
        </w:tc>
        <w:tc>
          <w:tcPr>
            <w:tcW w:w="2050" w:type="dxa"/>
            <w:vAlign w:val="bottom"/>
          </w:tcPr>
          <w:p w14:paraId="399F999D" w14:textId="1FBE880D"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3.1%</w:t>
            </w:r>
          </w:p>
        </w:tc>
      </w:tr>
      <w:tr w:rsidR="002F2EEC" w14:paraId="40184994" w14:textId="77777777" w:rsidTr="008469E3">
        <w:trPr>
          <w:jc w:val="center"/>
        </w:trPr>
        <w:tc>
          <w:tcPr>
            <w:tcW w:w="2049" w:type="dxa"/>
          </w:tcPr>
          <w:p w14:paraId="179B9C08" w14:textId="77777777" w:rsidR="002F2EEC" w:rsidRPr="008820D2" w:rsidRDefault="002F2EEC" w:rsidP="0014104A">
            <w:pPr>
              <w:keepNext/>
              <w:rPr>
                <w:rFonts w:ascii="Arial" w:hAnsi="Arial" w:cs="Arial"/>
                <w:color w:val="000000"/>
                <w:sz w:val="20"/>
                <w:szCs w:val="20"/>
              </w:rPr>
            </w:pPr>
            <w:r w:rsidRPr="008820D2">
              <w:rPr>
                <w:rFonts w:ascii="Arial" w:hAnsi="Arial" w:cs="Arial"/>
                <w:color w:val="000000"/>
                <w:sz w:val="20"/>
                <w:szCs w:val="20"/>
              </w:rPr>
              <w:t>Freckleton</w:t>
            </w:r>
          </w:p>
        </w:tc>
        <w:tc>
          <w:tcPr>
            <w:tcW w:w="2050" w:type="dxa"/>
            <w:vAlign w:val="bottom"/>
          </w:tcPr>
          <w:p w14:paraId="47BD9EF8" w14:textId="2D4A7256"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917</w:t>
            </w:r>
          </w:p>
        </w:tc>
        <w:tc>
          <w:tcPr>
            <w:tcW w:w="2050" w:type="dxa"/>
            <w:vAlign w:val="bottom"/>
          </w:tcPr>
          <w:p w14:paraId="5088758C" w14:textId="5640C2E4"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34.3%</w:t>
            </w:r>
          </w:p>
        </w:tc>
        <w:tc>
          <w:tcPr>
            <w:tcW w:w="2050" w:type="dxa"/>
            <w:vAlign w:val="bottom"/>
          </w:tcPr>
          <w:p w14:paraId="1E125374" w14:textId="3C3B73EA"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7.0%</w:t>
            </w:r>
          </w:p>
        </w:tc>
      </w:tr>
      <w:tr w:rsidR="002F2EEC" w14:paraId="1B5C25E0" w14:textId="77777777" w:rsidTr="008469E3">
        <w:trPr>
          <w:jc w:val="center"/>
        </w:trPr>
        <w:tc>
          <w:tcPr>
            <w:tcW w:w="2049" w:type="dxa"/>
          </w:tcPr>
          <w:p w14:paraId="7ECB94B2" w14:textId="77777777" w:rsidR="002F2EEC" w:rsidRPr="008820D2" w:rsidRDefault="002F2EEC" w:rsidP="0014104A">
            <w:pPr>
              <w:keepNext/>
              <w:rPr>
                <w:rFonts w:ascii="Arial" w:hAnsi="Arial" w:cs="Arial"/>
                <w:color w:val="000000"/>
                <w:sz w:val="20"/>
                <w:szCs w:val="20"/>
              </w:rPr>
            </w:pPr>
            <w:r w:rsidRPr="008820D2">
              <w:rPr>
                <w:rFonts w:ascii="Arial" w:hAnsi="Arial" w:cs="Arial"/>
                <w:color w:val="000000"/>
                <w:sz w:val="20"/>
                <w:szCs w:val="20"/>
              </w:rPr>
              <w:t>Rural North</w:t>
            </w:r>
          </w:p>
        </w:tc>
        <w:tc>
          <w:tcPr>
            <w:tcW w:w="2050" w:type="dxa"/>
            <w:vAlign w:val="bottom"/>
          </w:tcPr>
          <w:p w14:paraId="63145A03" w14:textId="128CB307"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882</w:t>
            </w:r>
          </w:p>
        </w:tc>
        <w:tc>
          <w:tcPr>
            <w:tcW w:w="2050" w:type="dxa"/>
            <w:vAlign w:val="bottom"/>
          </w:tcPr>
          <w:p w14:paraId="1ECE0DEB" w14:textId="7679A481"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31.0%</w:t>
            </w:r>
          </w:p>
        </w:tc>
        <w:tc>
          <w:tcPr>
            <w:tcW w:w="2050" w:type="dxa"/>
            <w:vAlign w:val="bottom"/>
          </w:tcPr>
          <w:p w14:paraId="61F8A844" w14:textId="6FFC9A33"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6.7%</w:t>
            </w:r>
          </w:p>
        </w:tc>
      </w:tr>
      <w:tr w:rsidR="002F2EEC" w14:paraId="2BC6615E" w14:textId="77777777" w:rsidTr="008469E3">
        <w:trPr>
          <w:jc w:val="center"/>
        </w:trPr>
        <w:tc>
          <w:tcPr>
            <w:tcW w:w="2049" w:type="dxa"/>
          </w:tcPr>
          <w:p w14:paraId="3925CECD" w14:textId="77777777" w:rsidR="002F2EEC" w:rsidRPr="008820D2" w:rsidRDefault="002F2EEC" w:rsidP="0014104A">
            <w:pPr>
              <w:keepNext/>
              <w:rPr>
                <w:rFonts w:ascii="Arial" w:hAnsi="Arial" w:cs="Arial"/>
                <w:color w:val="000000"/>
                <w:sz w:val="20"/>
                <w:szCs w:val="20"/>
              </w:rPr>
            </w:pPr>
            <w:r w:rsidRPr="008820D2">
              <w:rPr>
                <w:rFonts w:ascii="Arial" w:hAnsi="Arial" w:cs="Arial"/>
                <w:color w:val="000000"/>
                <w:sz w:val="20"/>
                <w:szCs w:val="20"/>
              </w:rPr>
              <w:t>Rural West</w:t>
            </w:r>
          </w:p>
        </w:tc>
        <w:tc>
          <w:tcPr>
            <w:tcW w:w="2050" w:type="dxa"/>
            <w:vAlign w:val="bottom"/>
          </w:tcPr>
          <w:p w14:paraId="7A7B72CC" w14:textId="50301679"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517</w:t>
            </w:r>
          </w:p>
        </w:tc>
        <w:tc>
          <w:tcPr>
            <w:tcW w:w="2050" w:type="dxa"/>
            <w:vAlign w:val="bottom"/>
          </w:tcPr>
          <w:p w14:paraId="6CF004A0" w14:textId="71B8D5BB"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39.0%</w:t>
            </w:r>
          </w:p>
        </w:tc>
        <w:tc>
          <w:tcPr>
            <w:tcW w:w="2050" w:type="dxa"/>
            <w:vAlign w:val="bottom"/>
          </w:tcPr>
          <w:p w14:paraId="4EEE6C87" w14:textId="39886389"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4.0%</w:t>
            </w:r>
          </w:p>
        </w:tc>
      </w:tr>
      <w:tr w:rsidR="002F2EEC" w14:paraId="091EB78B" w14:textId="77777777" w:rsidTr="008469E3">
        <w:trPr>
          <w:jc w:val="center"/>
        </w:trPr>
        <w:tc>
          <w:tcPr>
            <w:tcW w:w="2049" w:type="dxa"/>
          </w:tcPr>
          <w:p w14:paraId="74922352" w14:textId="77777777" w:rsidR="002F2EEC" w:rsidRPr="008820D2" w:rsidRDefault="002F2EEC" w:rsidP="0014104A">
            <w:pPr>
              <w:keepNext/>
              <w:rPr>
                <w:rFonts w:ascii="Arial" w:hAnsi="Arial" w:cs="Arial"/>
                <w:color w:val="000000"/>
                <w:sz w:val="20"/>
                <w:szCs w:val="20"/>
              </w:rPr>
            </w:pPr>
            <w:r w:rsidRPr="008820D2">
              <w:rPr>
                <w:rFonts w:ascii="Arial" w:hAnsi="Arial" w:cs="Arial"/>
                <w:color w:val="000000"/>
                <w:sz w:val="20"/>
                <w:szCs w:val="20"/>
              </w:rPr>
              <w:t>Rural East</w:t>
            </w:r>
          </w:p>
        </w:tc>
        <w:tc>
          <w:tcPr>
            <w:tcW w:w="2050" w:type="dxa"/>
            <w:vAlign w:val="bottom"/>
          </w:tcPr>
          <w:p w14:paraId="2561E844" w14:textId="236FDA83"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439</w:t>
            </w:r>
          </w:p>
        </w:tc>
        <w:tc>
          <w:tcPr>
            <w:tcW w:w="2050" w:type="dxa"/>
            <w:vAlign w:val="bottom"/>
          </w:tcPr>
          <w:p w14:paraId="38184CB3" w14:textId="5194AD4D"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32.6%</w:t>
            </w:r>
          </w:p>
        </w:tc>
        <w:tc>
          <w:tcPr>
            <w:tcW w:w="2050" w:type="dxa"/>
            <w:vAlign w:val="bottom"/>
          </w:tcPr>
          <w:p w14:paraId="17433A42" w14:textId="76CCE21E"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3.4%</w:t>
            </w:r>
          </w:p>
        </w:tc>
      </w:tr>
      <w:tr w:rsidR="002F2EEC" w14:paraId="0D6791B3" w14:textId="77777777" w:rsidTr="008469E3">
        <w:trPr>
          <w:jc w:val="center"/>
        </w:trPr>
        <w:tc>
          <w:tcPr>
            <w:tcW w:w="2049" w:type="dxa"/>
          </w:tcPr>
          <w:p w14:paraId="7A74007F" w14:textId="77777777" w:rsidR="002F2EEC" w:rsidRPr="008820D2" w:rsidRDefault="002F2EEC" w:rsidP="0014104A">
            <w:pPr>
              <w:keepNext/>
              <w:rPr>
                <w:rFonts w:ascii="Arial" w:hAnsi="Arial" w:cs="Arial"/>
                <w:color w:val="000000"/>
                <w:sz w:val="20"/>
                <w:szCs w:val="20"/>
              </w:rPr>
            </w:pPr>
            <w:r w:rsidRPr="008820D2">
              <w:rPr>
                <w:rFonts w:ascii="Arial" w:hAnsi="Arial" w:cs="Arial"/>
                <w:color w:val="000000"/>
                <w:sz w:val="20"/>
                <w:szCs w:val="20"/>
              </w:rPr>
              <w:t>TOTAL</w:t>
            </w:r>
          </w:p>
        </w:tc>
        <w:tc>
          <w:tcPr>
            <w:tcW w:w="2050" w:type="dxa"/>
            <w:vAlign w:val="bottom"/>
          </w:tcPr>
          <w:p w14:paraId="4F440065" w14:textId="317326D1"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13,063</w:t>
            </w:r>
          </w:p>
        </w:tc>
        <w:tc>
          <w:tcPr>
            <w:tcW w:w="2050" w:type="dxa"/>
            <w:vAlign w:val="bottom"/>
          </w:tcPr>
          <w:p w14:paraId="7ED0110F" w14:textId="36AA616C"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33.5%</w:t>
            </w:r>
          </w:p>
        </w:tc>
        <w:tc>
          <w:tcPr>
            <w:tcW w:w="2050" w:type="dxa"/>
            <w:vAlign w:val="bottom"/>
          </w:tcPr>
          <w:p w14:paraId="0F2B5BA5" w14:textId="5794813D" w:rsidR="002F2EEC" w:rsidRPr="002F2EEC" w:rsidRDefault="002F2EEC" w:rsidP="0014104A">
            <w:pPr>
              <w:keepNext/>
              <w:jc w:val="center"/>
              <w:rPr>
                <w:rFonts w:ascii="Arial" w:hAnsi="Arial" w:cs="Arial"/>
                <w:sz w:val="20"/>
                <w:szCs w:val="20"/>
                <w:lang w:eastAsia="ja-JP"/>
              </w:rPr>
            </w:pPr>
            <w:r w:rsidRPr="002F2EEC">
              <w:rPr>
                <w:rFonts w:ascii="Arial" w:hAnsi="Arial" w:cs="Arial"/>
                <w:color w:val="000000"/>
                <w:sz w:val="20"/>
                <w:szCs w:val="20"/>
              </w:rPr>
              <w:t>100.0%</w:t>
            </w:r>
          </w:p>
        </w:tc>
      </w:tr>
    </w:tbl>
    <w:p w14:paraId="594D41D0" w14:textId="4BC9367D" w:rsidR="00C14FB6" w:rsidRDefault="00AB789F" w:rsidP="00172F56">
      <w:pPr>
        <w:pStyle w:val="Reporttext0"/>
        <w:keepLines w:val="0"/>
        <w:widowControl w:val="0"/>
        <w:numPr>
          <w:ilvl w:val="0"/>
          <w:numId w:val="0"/>
        </w:numPr>
        <w:spacing w:line="300" w:lineRule="auto"/>
        <w:ind w:left="720" w:hanging="720"/>
        <w:jc w:val="center"/>
        <w:rPr>
          <w:rFonts w:ascii="Arial" w:hAnsi="Arial" w:cs="Arial"/>
          <w:iCs/>
          <w:sz w:val="20"/>
        </w:rPr>
      </w:pPr>
      <w:r>
        <w:rPr>
          <w:rFonts w:ascii="Arial" w:hAnsi="Arial" w:cs="Arial"/>
          <w:iCs/>
          <w:sz w:val="20"/>
        </w:rPr>
        <w:t>Source: Household survey</w:t>
      </w:r>
    </w:p>
    <w:p w14:paraId="349D5302" w14:textId="215131F7" w:rsidR="002F2EEC" w:rsidRDefault="002F2EEC" w:rsidP="00172F56">
      <w:pPr>
        <w:pStyle w:val="Reporttext0"/>
        <w:keepLines w:val="0"/>
        <w:widowControl w:val="0"/>
        <w:numPr>
          <w:ilvl w:val="0"/>
          <w:numId w:val="0"/>
        </w:numPr>
        <w:spacing w:line="300" w:lineRule="auto"/>
        <w:ind w:left="720" w:hanging="720"/>
        <w:jc w:val="both"/>
        <w:rPr>
          <w:rFonts w:ascii="Arial" w:hAnsi="Arial" w:cs="Arial"/>
          <w:iCs/>
          <w:sz w:val="20"/>
        </w:rPr>
      </w:pPr>
    </w:p>
    <w:p w14:paraId="16F9BDFB" w14:textId="3095A270" w:rsidR="00CC789D" w:rsidRPr="00172F56" w:rsidRDefault="002F2EEC">
      <w:pPr>
        <w:pStyle w:val="11Bodytext"/>
        <w:numPr>
          <w:ilvl w:val="1"/>
          <w:numId w:val="65"/>
        </w:numPr>
        <w:spacing w:before="0" w:after="0" w:line="300" w:lineRule="auto"/>
        <w:ind w:left="720" w:hanging="720"/>
        <w:rPr>
          <w:color w:val="auto"/>
        </w:rPr>
      </w:pPr>
      <w:r>
        <w:t>T</w:t>
      </w:r>
      <w:r w:rsidR="00CC789D" w:rsidRPr="00E12B61">
        <w:t xml:space="preserve">he number of occupants in older person households is shown in the table below. The data suggests that </w:t>
      </w:r>
      <w:r w:rsidR="005256CE">
        <w:t xml:space="preserve">virtually </w:t>
      </w:r>
      <w:r w:rsidR="00CC789D" w:rsidRPr="00E12B61">
        <w:t xml:space="preserve">all households containing older persons only are comprised of one or two persons only. Some </w:t>
      </w:r>
      <w:r w:rsidR="005256CE">
        <w:t>5</w:t>
      </w:r>
      <w:r w:rsidR="00CC789D" w:rsidRPr="00E12B61">
        <w:t>6% of all single person households are older person households.</w:t>
      </w:r>
    </w:p>
    <w:p w14:paraId="77856D3D" w14:textId="77777777" w:rsidR="004F6444" w:rsidRPr="002F2EEC" w:rsidRDefault="004F6444" w:rsidP="00172F56">
      <w:pPr>
        <w:pStyle w:val="11Bodytext"/>
        <w:numPr>
          <w:ilvl w:val="0"/>
          <w:numId w:val="0"/>
        </w:numPr>
        <w:spacing w:before="0" w:after="0" w:line="300" w:lineRule="auto"/>
        <w:rPr>
          <w:color w:val="auto"/>
        </w:rPr>
      </w:pPr>
    </w:p>
    <w:tbl>
      <w:tblPr>
        <w:tblStyle w:val="TableGrid10"/>
        <w:tblW w:w="8199" w:type="dxa"/>
        <w:jc w:val="center"/>
        <w:tblLayout w:type="fixed"/>
        <w:tblLook w:val="01E0" w:firstRow="1" w:lastRow="1" w:firstColumn="1" w:lastColumn="1" w:noHBand="0" w:noVBand="0"/>
      </w:tblPr>
      <w:tblGrid>
        <w:gridCol w:w="1787"/>
        <w:gridCol w:w="1603"/>
        <w:gridCol w:w="1603"/>
        <w:gridCol w:w="1603"/>
        <w:gridCol w:w="1603"/>
      </w:tblGrid>
      <w:tr w:rsidR="002F2EEC" w:rsidRPr="002F2EEC" w14:paraId="7D4C8D43" w14:textId="77777777" w:rsidTr="008469E3">
        <w:trPr>
          <w:jc w:val="center"/>
        </w:trPr>
        <w:tc>
          <w:tcPr>
            <w:cnfStyle w:val="000100000000" w:firstRow="0" w:lastRow="0" w:firstColumn="0" w:lastColumn="1" w:oddVBand="0" w:evenVBand="0" w:oddHBand="0" w:evenHBand="0" w:firstRowFirstColumn="0" w:firstRowLastColumn="0" w:lastRowFirstColumn="0" w:lastRowLastColumn="0"/>
            <w:tcW w:w="8199" w:type="dxa"/>
            <w:gridSpan w:val="5"/>
          </w:tcPr>
          <w:p w14:paraId="005FFBD3" w14:textId="7E287FF4" w:rsidR="002F2EEC" w:rsidRPr="002F2EEC" w:rsidRDefault="002F2EEC" w:rsidP="0014104A">
            <w:pPr>
              <w:keepNext/>
              <w:widowControl w:val="0"/>
              <w:spacing w:before="60" w:after="60"/>
              <w:jc w:val="center"/>
              <w:rPr>
                <w:rFonts w:ascii="Arial" w:hAnsi="Arial" w:cs="Arial"/>
                <w:b/>
                <w:bCs/>
                <w:i w:val="0"/>
                <w:sz w:val="20"/>
                <w:szCs w:val="20"/>
              </w:rPr>
            </w:pPr>
            <w:r w:rsidRPr="002F2EEC">
              <w:rPr>
                <w:rFonts w:ascii="Arial" w:hAnsi="Arial" w:cs="Arial"/>
                <w:b/>
                <w:bCs/>
                <w:i w:val="0"/>
                <w:sz w:val="20"/>
                <w:szCs w:val="20"/>
              </w:rPr>
              <w:t>Figure 6.</w:t>
            </w:r>
            <w:r w:rsidR="00AD29A6">
              <w:rPr>
                <w:rFonts w:ascii="Arial" w:hAnsi="Arial" w:cs="Arial"/>
                <w:b/>
                <w:bCs/>
                <w:i w:val="0"/>
                <w:sz w:val="20"/>
                <w:szCs w:val="20"/>
              </w:rPr>
              <w:t>10</w:t>
            </w:r>
            <w:r w:rsidRPr="002F2EEC">
              <w:rPr>
                <w:rFonts w:ascii="Arial" w:hAnsi="Arial" w:cs="Arial"/>
                <w:b/>
                <w:bCs/>
                <w:i w:val="0"/>
                <w:sz w:val="20"/>
                <w:szCs w:val="20"/>
              </w:rPr>
              <w:t xml:space="preserve">: </w:t>
            </w:r>
            <w:bookmarkStart w:id="63" w:name="_Toc372039100"/>
            <w:r w:rsidRPr="002F2EEC">
              <w:rPr>
                <w:rFonts w:ascii="Arial" w:hAnsi="Arial" w:cs="Arial"/>
                <w:b/>
                <w:bCs/>
                <w:i w:val="0"/>
                <w:sz w:val="20"/>
                <w:szCs w:val="20"/>
              </w:rPr>
              <w:t>Size of Older Person Only households</w:t>
            </w:r>
            <w:bookmarkEnd w:id="63"/>
          </w:p>
        </w:tc>
      </w:tr>
      <w:tr w:rsidR="00CC789D" w:rsidRPr="00E12B61" w14:paraId="506B01DF" w14:textId="77777777" w:rsidTr="002F2EEC">
        <w:trPr>
          <w:jc w:val="center"/>
        </w:trPr>
        <w:tc>
          <w:tcPr>
            <w:tcW w:w="1787" w:type="dxa"/>
            <w:vMerge w:val="restart"/>
          </w:tcPr>
          <w:p w14:paraId="61CEDB5C" w14:textId="77777777" w:rsidR="00CC789D" w:rsidRPr="002F2EEC" w:rsidRDefault="00CC789D" w:rsidP="0014104A">
            <w:pPr>
              <w:keepNext/>
              <w:widowControl w:val="0"/>
              <w:rPr>
                <w:rFonts w:ascii="Arial" w:hAnsi="Arial" w:cs="Arial"/>
                <w:iCs/>
                <w:sz w:val="20"/>
                <w:szCs w:val="20"/>
              </w:rPr>
            </w:pPr>
            <w:r w:rsidRPr="002F2EEC">
              <w:rPr>
                <w:rFonts w:ascii="Arial" w:hAnsi="Arial" w:cs="Arial"/>
                <w:iCs/>
                <w:sz w:val="20"/>
                <w:szCs w:val="20"/>
              </w:rPr>
              <w:t>Number of persons in household</w:t>
            </w:r>
          </w:p>
        </w:tc>
        <w:tc>
          <w:tcPr>
            <w:cnfStyle w:val="000100000000" w:firstRow="0" w:lastRow="0" w:firstColumn="0" w:lastColumn="1" w:oddVBand="0" w:evenVBand="0" w:oddHBand="0" w:evenHBand="0" w:firstRowFirstColumn="0" w:firstRowLastColumn="0" w:lastRowFirstColumn="0" w:lastRowLastColumn="0"/>
            <w:tcW w:w="6412" w:type="dxa"/>
            <w:gridSpan w:val="4"/>
          </w:tcPr>
          <w:p w14:paraId="57C234A8" w14:textId="77777777" w:rsidR="00CC789D" w:rsidRPr="002F2EEC" w:rsidRDefault="00CC789D" w:rsidP="0014104A">
            <w:pPr>
              <w:keepNext/>
              <w:widowControl w:val="0"/>
              <w:jc w:val="center"/>
              <w:rPr>
                <w:rFonts w:ascii="Arial" w:hAnsi="Arial" w:cs="Arial"/>
                <w:i w:val="0"/>
                <w:sz w:val="20"/>
                <w:szCs w:val="20"/>
              </w:rPr>
            </w:pPr>
            <w:r w:rsidRPr="002F2EEC">
              <w:rPr>
                <w:rFonts w:ascii="Arial" w:hAnsi="Arial" w:cs="Arial"/>
                <w:i w:val="0"/>
                <w:sz w:val="20"/>
                <w:szCs w:val="20"/>
              </w:rPr>
              <w:t>Age group</w:t>
            </w:r>
          </w:p>
        </w:tc>
      </w:tr>
      <w:tr w:rsidR="00CC789D" w:rsidRPr="00E12B61" w14:paraId="38DC5742" w14:textId="77777777" w:rsidTr="002F2EEC">
        <w:trPr>
          <w:jc w:val="center"/>
        </w:trPr>
        <w:tc>
          <w:tcPr>
            <w:tcW w:w="1787" w:type="dxa"/>
            <w:vMerge/>
          </w:tcPr>
          <w:p w14:paraId="3433B6FB" w14:textId="77777777" w:rsidR="00CC789D" w:rsidRPr="002F2EEC" w:rsidRDefault="00CC789D" w:rsidP="0014104A">
            <w:pPr>
              <w:keepNext/>
              <w:widowControl w:val="0"/>
              <w:rPr>
                <w:rFonts w:ascii="Arial" w:hAnsi="Arial" w:cs="Arial"/>
                <w:iCs/>
                <w:sz w:val="20"/>
                <w:szCs w:val="20"/>
              </w:rPr>
            </w:pPr>
          </w:p>
        </w:tc>
        <w:tc>
          <w:tcPr>
            <w:tcW w:w="1603" w:type="dxa"/>
          </w:tcPr>
          <w:p w14:paraId="3EFF9566" w14:textId="77777777" w:rsidR="00CC789D" w:rsidRPr="002F2EEC" w:rsidRDefault="00CC789D" w:rsidP="0014104A">
            <w:pPr>
              <w:keepNext/>
              <w:widowControl w:val="0"/>
              <w:jc w:val="center"/>
              <w:rPr>
                <w:rFonts w:ascii="Arial" w:hAnsi="Arial" w:cs="Arial"/>
                <w:iCs/>
                <w:sz w:val="20"/>
                <w:szCs w:val="20"/>
              </w:rPr>
            </w:pPr>
            <w:r w:rsidRPr="002F2EEC">
              <w:rPr>
                <w:rFonts w:ascii="Arial" w:hAnsi="Arial" w:cs="Arial"/>
                <w:iCs/>
                <w:sz w:val="20"/>
                <w:szCs w:val="20"/>
              </w:rPr>
              <w:t>Older persons only</w:t>
            </w:r>
          </w:p>
        </w:tc>
        <w:tc>
          <w:tcPr>
            <w:tcW w:w="1603" w:type="dxa"/>
          </w:tcPr>
          <w:p w14:paraId="6E133834" w14:textId="77777777" w:rsidR="00CC789D" w:rsidRPr="002F2EEC" w:rsidRDefault="00CC789D" w:rsidP="0014104A">
            <w:pPr>
              <w:keepNext/>
              <w:widowControl w:val="0"/>
              <w:jc w:val="center"/>
              <w:rPr>
                <w:rFonts w:ascii="Arial" w:hAnsi="Arial" w:cs="Arial"/>
                <w:iCs/>
                <w:sz w:val="20"/>
                <w:szCs w:val="20"/>
              </w:rPr>
            </w:pPr>
            <w:r w:rsidRPr="002F2EEC">
              <w:rPr>
                <w:rFonts w:ascii="Arial" w:hAnsi="Arial" w:cs="Arial"/>
                <w:iCs/>
                <w:sz w:val="20"/>
                <w:szCs w:val="20"/>
              </w:rPr>
              <w:t>Number of h’holds</w:t>
            </w:r>
          </w:p>
        </w:tc>
        <w:tc>
          <w:tcPr>
            <w:tcW w:w="1603" w:type="dxa"/>
          </w:tcPr>
          <w:p w14:paraId="72600E09" w14:textId="77777777" w:rsidR="00CC789D" w:rsidRPr="002F2EEC" w:rsidRDefault="00CC789D" w:rsidP="0014104A">
            <w:pPr>
              <w:keepNext/>
              <w:widowControl w:val="0"/>
              <w:jc w:val="center"/>
              <w:rPr>
                <w:rFonts w:ascii="Arial" w:hAnsi="Arial" w:cs="Arial"/>
                <w:iCs/>
                <w:sz w:val="20"/>
                <w:szCs w:val="20"/>
              </w:rPr>
            </w:pPr>
            <w:r w:rsidRPr="002F2EEC">
              <w:rPr>
                <w:rFonts w:ascii="Arial" w:hAnsi="Arial" w:cs="Arial"/>
                <w:iCs/>
                <w:sz w:val="20"/>
                <w:szCs w:val="20"/>
              </w:rPr>
              <w:t>% of total h’holds with older persons</w:t>
            </w:r>
          </w:p>
        </w:tc>
        <w:tc>
          <w:tcPr>
            <w:cnfStyle w:val="000100000000" w:firstRow="0" w:lastRow="0" w:firstColumn="0" w:lastColumn="1" w:oddVBand="0" w:evenVBand="0" w:oddHBand="0" w:evenHBand="0" w:firstRowFirstColumn="0" w:firstRowLastColumn="0" w:lastRowFirstColumn="0" w:lastRowLastColumn="0"/>
            <w:tcW w:w="1603" w:type="dxa"/>
          </w:tcPr>
          <w:p w14:paraId="6A0765E1" w14:textId="77777777" w:rsidR="00CC789D" w:rsidRPr="002F2EEC" w:rsidRDefault="00CC789D" w:rsidP="0014104A">
            <w:pPr>
              <w:keepNext/>
              <w:widowControl w:val="0"/>
              <w:jc w:val="center"/>
              <w:rPr>
                <w:rFonts w:ascii="Arial" w:hAnsi="Arial" w:cs="Arial"/>
                <w:i w:val="0"/>
                <w:sz w:val="20"/>
                <w:szCs w:val="20"/>
              </w:rPr>
            </w:pPr>
            <w:r w:rsidRPr="002F2EEC">
              <w:rPr>
                <w:rFonts w:ascii="Arial" w:hAnsi="Arial" w:cs="Arial"/>
                <w:i w:val="0"/>
                <w:sz w:val="20"/>
                <w:szCs w:val="20"/>
              </w:rPr>
              <w:t>% of those with older persons</w:t>
            </w:r>
          </w:p>
        </w:tc>
      </w:tr>
      <w:tr w:rsidR="002F2EEC" w:rsidRPr="00E12B61" w14:paraId="6BFD4387" w14:textId="77777777" w:rsidTr="002F2EEC">
        <w:trPr>
          <w:jc w:val="center"/>
        </w:trPr>
        <w:tc>
          <w:tcPr>
            <w:tcW w:w="1787" w:type="dxa"/>
          </w:tcPr>
          <w:p w14:paraId="780C55BE" w14:textId="77777777" w:rsidR="002F2EEC" w:rsidRPr="002F2EEC" w:rsidRDefault="002F2EEC" w:rsidP="0014104A">
            <w:pPr>
              <w:keepNext/>
              <w:widowControl w:val="0"/>
              <w:rPr>
                <w:rFonts w:ascii="Arial" w:hAnsi="Arial" w:cs="Arial"/>
                <w:iCs/>
                <w:sz w:val="20"/>
                <w:szCs w:val="20"/>
              </w:rPr>
            </w:pPr>
            <w:r w:rsidRPr="002F2EEC">
              <w:rPr>
                <w:rFonts w:ascii="Arial" w:hAnsi="Arial" w:cs="Arial"/>
                <w:iCs/>
                <w:sz w:val="20"/>
                <w:szCs w:val="20"/>
              </w:rPr>
              <w:t>One</w:t>
            </w:r>
          </w:p>
        </w:tc>
        <w:tc>
          <w:tcPr>
            <w:tcW w:w="1603" w:type="dxa"/>
          </w:tcPr>
          <w:p w14:paraId="0C4240E7" w14:textId="0441592B" w:rsidR="002F2EEC" w:rsidRPr="002F2EEC" w:rsidRDefault="002F2EEC" w:rsidP="0014104A">
            <w:pPr>
              <w:keepNext/>
              <w:jc w:val="center"/>
              <w:rPr>
                <w:rFonts w:ascii="Arial" w:hAnsi="Arial" w:cs="Arial"/>
                <w:iCs/>
                <w:sz w:val="20"/>
                <w:szCs w:val="20"/>
              </w:rPr>
            </w:pPr>
            <w:r w:rsidRPr="002F2EEC">
              <w:rPr>
                <w:rFonts w:ascii="Arial" w:hAnsi="Arial" w:cs="Arial"/>
                <w:iCs/>
                <w:sz w:val="20"/>
                <w:szCs w:val="20"/>
              </w:rPr>
              <w:t>6,950</w:t>
            </w:r>
          </w:p>
        </w:tc>
        <w:tc>
          <w:tcPr>
            <w:tcW w:w="1603" w:type="dxa"/>
          </w:tcPr>
          <w:p w14:paraId="64C0A087" w14:textId="46757805" w:rsidR="002F2EEC" w:rsidRPr="002F2EEC" w:rsidRDefault="002F2EEC" w:rsidP="0014104A">
            <w:pPr>
              <w:keepNext/>
              <w:jc w:val="center"/>
              <w:rPr>
                <w:rFonts w:ascii="Arial" w:hAnsi="Arial" w:cs="Arial"/>
                <w:iCs/>
                <w:sz w:val="20"/>
                <w:szCs w:val="20"/>
              </w:rPr>
            </w:pPr>
            <w:r w:rsidRPr="002F2EEC">
              <w:rPr>
                <w:rFonts w:ascii="Arial" w:hAnsi="Arial" w:cs="Arial"/>
                <w:iCs/>
                <w:sz w:val="20"/>
                <w:szCs w:val="20"/>
              </w:rPr>
              <w:t>12,365</w:t>
            </w:r>
          </w:p>
        </w:tc>
        <w:tc>
          <w:tcPr>
            <w:tcW w:w="1603" w:type="dxa"/>
          </w:tcPr>
          <w:p w14:paraId="4CDB473D" w14:textId="080A26EC" w:rsidR="002F2EEC" w:rsidRPr="002F2EEC" w:rsidRDefault="002F2EEC" w:rsidP="0014104A">
            <w:pPr>
              <w:keepNext/>
              <w:jc w:val="center"/>
              <w:rPr>
                <w:rFonts w:ascii="Arial" w:hAnsi="Arial" w:cs="Arial"/>
                <w:iCs/>
                <w:sz w:val="20"/>
                <w:szCs w:val="20"/>
              </w:rPr>
            </w:pPr>
            <w:r w:rsidRPr="002F2EEC">
              <w:rPr>
                <w:rFonts w:ascii="Arial" w:hAnsi="Arial" w:cs="Arial"/>
                <w:iCs/>
                <w:sz w:val="20"/>
                <w:szCs w:val="20"/>
              </w:rPr>
              <w:t>56.2%</w:t>
            </w:r>
          </w:p>
        </w:tc>
        <w:tc>
          <w:tcPr>
            <w:cnfStyle w:val="000100000000" w:firstRow="0" w:lastRow="0" w:firstColumn="0" w:lastColumn="1" w:oddVBand="0" w:evenVBand="0" w:oddHBand="0" w:evenHBand="0" w:firstRowFirstColumn="0" w:firstRowLastColumn="0" w:lastRowFirstColumn="0" w:lastRowLastColumn="0"/>
            <w:tcW w:w="1603" w:type="dxa"/>
          </w:tcPr>
          <w:p w14:paraId="1348D417" w14:textId="462B0B62" w:rsidR="002F2EEC" w:rsidRPr="002F2EEC" w:rsidRDefault="002F2EEC" w:rsidP="0014104A">
            <w:pPr>
              <w:keepNext/>
              <w:jc w:val="center"/>
              <w:rPr>
                <w:rFonts w:ascii="Arial" w:hAnsi="Arial" w:cs="Arial"/>
                <w:i w:val="0"/>
                <w:sz w:val="20"/>
                <w:szCs w:val="20"/>
              </w:rPr>
            </w:pPr>
            <w:r w:rsidRPr="002F2EEC">
              <w:rPr>
                <w:rFonts w:ascii="Arial" w:hAnsi="Arial" w:cs="Arial"/>
                <w:i w:val="0"/>
                <w:sz w:val="20"/>
                <w:szCs w:val="20"/>
              </w:rPr>
              <w:t>53.2%</w:t>
            </w:r>
          </w:p>
        </w:tc>
      </w:tr>
      <w:tr w:rsidR="002F2EEC" w:rsidRPr="00E12B61" w14:paraId="53ECCA99" w14:textId="77777777" w:rsidTr="002F2EEC">
        <w:trPr>
          <w:jc w:val="center"/>
        </w:trPr>
        <w:tc>
          <w:tcPr>
            <w:tcW w:w="1787" w:type="dxa"/>
          </w:tcPr>
          <w:p w14:paraId="6E1495B1" w14:textId="77777777" w:rsidR="002F2EEC" w:rsidRPr="002F2EEC" w:rsidRDefault="002F2EEC" w:rsidP="0014104A">
            <w:pPr>
              <w:keepNext/>
              <w:widowControl w:val="0"/>
              <w:rPr>
                <w:rFonts w:ascii="Arial" w:hAnsi="Arial" w:cs="Arial"/>
                <w:iCs/>
                <w:sz w:val="20"/>
                <w:szCs w:val="20"/>
              </w:rPr>
            </w:pPr>
            <w:r w:rsidRPr="002F2EEC">
              <w:rPr>
                <w:rFonts w:ascii="Arial" w:hAnsi="Arial" w:cs="Arial"/>
                <w:iCs/>
                <w:sz w:val="20"/>
                <w:szCs w:val="20"/>
              </w:rPr>
              <w:t>Two</w:t>
            </w:r>
          </w:p>
        </w:tc>
        <w:tc>
          <w:tcPr>
            <w:tcW w:w="1603" w:type="dxa"/>
          </w:tcPr>
          <w:p w14:paraId="26BF86B0" w14:textId="1FBAF914" w:rsidR="002F2EEC" w:rsidRPr="002F2EEC" w:rsidRDefault="002F2EEC" w:rsidP="0014104A">
            <w:pPr>
              <w:keepNext/>
              <w:jc w:val="center"/>
              <w:rPr>
                <w:rFonts w:ascii="Arial" w:hAnsi="Arial" w:cs="Arial"/>
                <w:iCs/>
                <w:sz w:val="20"/>
                <w:szCs w:val="20"/>
              </w:rPr>
            </w:pPr>
            <w:r w:rsidRPr="002F2EEC">
              <w:rPr>
                <w:rFonts w:ascii="Arial" w:hAnsi="Arial" w:cs="Arial"/>
                <w:iCs/>
                <w:sz w:val="20"/>
                <w:szCs w:val="20"/>
              </w:rPr>
              <w:t>6,111</w:t>
            </w:r>
          </w:p>
        </w:tc>
        <w:tc>
          <w:tcPr>
            <w:tcW w:w="1603" w:type="dxa"/>
          </w:tcPr>
          <w:p w14:paraId="1C9ECA42" w14:textId="7EDFF636" w:rsidR="002F2EEC" w:rsidRPr="002F2EEC" w:rsidRDefault="002F2EEC" w:rsidP="0014104A">
            <w:pPr>
              <w:keepNext/>
              <w:jc w:val="center"/>
              <w:rPr>
                <w:rFonts w:ascii="Arial" w:hAnsi="Arial" w:cs="Arial"/>
                <w:iCs/>
                <w:sz w:val="20"/>
                <w:szCs w:val="20"/>
              </w:rPr>
            </w:pPr>
            <w:r w:rsidRPr="002F2EEC">
              <w:rPr>
                <w:rFonts w:ascii="Arial" w:hAnsi="Arial" w:cs="Arial"/>
                <w:iCs/>
                <w:sz w:val="20"/>
                <w:szCs w:val="20"/>
              </w:rPr>
              <w:t>15,629</w:t>
            </w:r>
          </w:p>
        </w:tc>
        <w:tc>
          <w:tcPr>
            <w:tcW w:w="1603" w:type="dxa"/>
          </w:tcPr>
          <w:p w14:paraId="12C201EC" w14:textId="105D3194" w:rsidR="002F2EEC" w:rsidRPr="002F2EEC" w:rsidRDefault="002F2EEC" w:rsidP="0014104A">
            <w:pPr>
              <w:keepNext/>
              <w:jc w:val="center"/>
              <w:rPr>
                <w:rFonts w:ascii="Arial" w:hAnsi="Arial" w:cs="Arial"/>
                <w:iCs/>
                <w:sz w:val="20"/>
                <w:szCs w:val="20"/>
              </w:rPr>
            </w:pPr>
            <w:r w:rsidRPr="002F2EEC">
              <w:rPr>
                <w:rFonts w:ascii="Arial" w:hAnsi="Arial" w:cs="Arial"/>
                <w:iCs/>
                <w:sz w:val="20"/>
                <w:szCs w:val="20"/>
              </w:rPr>
              <w:t>39.1%</w:t>
            </w:r>
          </w:p>
        </w:tc>
        <w:tc>
          <w:tcPr>
            <w:cnfStyle w:val="000100000000" w:firstRow="0" w:lastRow="0" w:firstColumn="0" w:lastColumn="1" w:oddVBand="0" w:evenVBand="0" w:oddHBand="0" w:evenHBand="0" w:firstRowFirstColumn="0" w:firstRowLastColumn="0" w:lastRowFirstColumn="0" w:lastRowLastColumn="0"/>
            <w:tcW w:w="1603" w:type="dxa"/>
          </w:tcPr>
          <w:p w14:paraId="37D07A33" w14:textId="5A8E860A" w:rsidR="002F2EEC" w:rsidRPr="002F2EEC" w:rsidRDefault="002F2EEC" w:rsidP="0014104A">
            <w:pPr>
              <w:keepNext/>
              <w:jc w:val="center"/>
              <w:rPr>
                <w:rFonts w:ascii="Arial" w:hAnsi="Arial" w:cs="Arial"/>
                <w:i w:val="0"/>
                <w:sz w:val="20"/>
                <w:szCs w:val="20"/>
              </w:rPr>
            </w:pPr>
            <w:r w:rsidRPr="002F2EEC">
              <w:rPr>
                <w:rFonts w:ascii="Arial" w:hAnsi="Arial" w:cs="Arial"/>
                <w:i w:val="0"/>
                <w:sz w:val="20"/>
                <w:szCs w:val="20"/>
              </w:rPr>
              <w:t>46.8%</w:t>
            </w:r>
          </w:p>
        </w:tc>
      </w:tr>
      <w:tr w:rsidR="002F2EEC" w:rsidRPr="00E12B61" w14:paraId="6AD7F59B" w14:textId="77777777" w:rsidTr="002F2EEC">
        <w:trPr>
          <w:jc w:val="center"/>
        </w:trPr>
        <w:tc>
          <w:tcPr>
            <w:tcW w:w="1787" w:type="dxa"/>
          </w:tcPr>
          <w:p w14:paraId="3E2521C7" w14:textId="77777777" w:rsidR="002F2EEC" w:rsidRPr="002F2EEC" w:rsidRDefault="002F2EEC" w:rsidP="0014104A">
            <w:pPr>
              <w:keepNext/>
              <w:widowControl w:val="0"/>
              <w:rPr>
                <w:rFonts w:ascii="Arial" w:hAnsi="Arial" w:cs="Arial"/>
                <w:iCs/>
                <w:sz w:val="20"/>
                <w:szCs w:val="20"/>
              </w:rPr>
            </w:pPr>
            <w:r w:rsidRPr="002F2EEC">
              <w:rPr>
                <w:rFonts w:ascii="Arial" w:hAnsi="Arial" w:cs="Arial"/>
                <w:iCs/>
                <w:sz w:val="20"/>
                <w:szCs w:val="20"/>
              </w:rPr>
              <w:t>Three</w:t>
            </w:r>
          </w:p>
        </w:tc>
        <w:tc>
          <w:tcPr>
            <w:tcW w:w="1603" w:type="dxa"/>
          </w:tcPr>
          <w:p w14:paraId="318DB319" w14:textId="5CBF85DF" w:rsidR="002F2EEC" w:rsidRPr="002F2EEC" w:rsidRDefault="002F2EEC" w:rsidP="0014104A">
            <w:pPr>
              <w:keepNext/>
              <w:jc w:val="center"/>
              <w:rPr>
                <w:rFonts w:ascii="Arial" w:hAnsi="Arial" w:cs="Arial"/>
                <w:iCs/>
                <w:sz w:val="20"/>
                <w:szCs w:val="20"/>
              </w:rPr>
            </w:pPr>
            <w:r w:rsidRPr="002F2EEC">
              <w:rPr>
                <w:rFonts w:ascii="Arial" w:hAnsi="Arial" w:cs="Arial"/>
                <w:iCs/>
                <w:sz w:val="20"/>
                <w:szCs w:val="20"/>
              </w:rPr>
              <w:t>3</w:t>
            </w:r>
          </w:p>
        </w:tc>
        <w:tc>
          <w:tcPr>
            <w:tcW w:w="1603" w:type="dxa"/>
          </w:tcPr>
          <w:p w14:paraId="241C9DD3" w14:textId="4BAA5D9C" w:rsidR="002F2EEC" w:rsidRPr="002F2EEC" w:rsidRDefault="002F2EEC" w:rsidP="0014104A">
            <w:pPr>
              <w:keepNext/>
              <w:jc w:val="center"/>
              <w:rPr>
                <w:rFonts w:ascii="Arial" w:hAnsi="Arial" w:cs="Arial"/>
                <w:iCs/>
                <w:sz w:val="20"/>
                <w:szCs w:val="20"/>
              </w:rPr>
            </w:pPr>
            <w:r w:rsidRPr="002F2EEC">
              <w:rPr>
                <w:rFonts w:ascii="Arial" w:hAnsi="Arial" w:cs="Arial"/>
                <w:iCs/>
                <w:sz w:val="20"/>
                <w:szCs w:val="20"/>
              </w:rPr>
              <w:t>6,137</w:t>
            </w:r>
          </w:p>
        </w:tc>
        <w:tc>
          <w:tcPr>
            <w:tcW w:w="1603" w:type="dxa"/>
          </w:tcPr>
          <w:p w14:paraId="78DF7606" w14:textId="69041943" w:rsidR="002F2EEC" w:rsidRPr="002F2EEC" w:rsidRDefault="002F2EEC" w:rsidP="0014104A">
            <w:pPr>
              <w:keepNext/>
              <w:jc w:val="center"/>
              <w:rPr>
                <w:rFonts w:ascii="Arial" w:hAnsi="Arial" w:cs="Arial"/>
                <w:iCs/>
                <w:sz w:val="20"/>
                <w:szCs w:val="20"/>
              </w:rPr>
            </w:pPr>
            <w:r w:rsidRPr="002F2EEC">
              <w:rPr>
                <w:rFonts w:ascii="Arial" w:hAnsi="Arial" w:cs="Arial"/>
                <w:iCs/>
                <w:sz w:val="20"/>
                <w:szCs w:val="20"/>
              </w:rPr>
              <w:t>0.0%</w:t>
            </w:r>
          </w:p>
        </w:tc>
        <w:tc>
          <w:tcPr>
            <w:cnfStyle w:val="000100000000" w:firstRow="0" w:lastRow="0" w:firstColumn="0" w:lastColumn="1" w:oddVBand="0" w:evenVBand="0" w:oddHBand="0" w:evenHBand="0" w:firstRowFirstColumn="0" w:firstRowLastColumn="0" w:lastRowFirstColumn="0" w:lastRowLastColumn="0"/>
            <w:tcW w:w="1603" w:type="dxa"/>
          </w:tcPr>
          <w:p w14:paraId="2FBFC43C" w14:textId="7C7E4DA2" w:rsidR="002F2EEC" w:rsidRPr="002F2EEC" w:rsidRDefault="002F2EEC" w:rsidP="0014104A">
            <w:pPr>
              <w:keepNext/>
              <w:jc w:val="center"/>
              <w:rPr>
                <w:rFonts w:ascii="Arial" w:hAnsi="Arial" w:cs="Arial"/>
                <w:i w:val="0"/>
                <w:sz w:val="20"/>
                <w:szCs w:val="20"/>
              </w:rPr>
            </w:pPr>
            <w:r w:rsidRPr="002F2EEC">
              <w:rPr>
                <w:rFonts w:ascii="Arial" w:hAnsi="Arial" w:cs="Arial"/>
                <w:i w:val="0"/>
                <w:sz w:val="20"/>
                <w:szCs w:val="20"/>
              </w:rPr>
              <w:t>0.0%</w:t>
            </w:r>
          </w:p>
        </w:tc>
      </w:tr>
      <w:tr w:rsidR="002F2EEC" w:rsidRPr="00E12B61" w14:paraId="2BCDA7D9" w14:textId="77777777" w:rsidTr="002F2EEC">
        <w:trPr>
          <w:jc w:val="center"/>
        </w:trPr>
        <w:tc>
          <w:tcPr>
            <w:tcW w:w="1787" w:type="dxa"/>
          </w:tcPr>
          <w:p w14:paraId="79F623E8" w14:textId="77777777" w:rsidR="002F2EEC" w:rsidRPr="002F2EEC" w:rsidRDefault="002F2EEC" w:rsidP="0014104A">
            <w:pPr>
              <w:keepNext/>
              <w:widowControl w:val="0"/>
              <w:rPr>
                <w:rFonts w:ascii="Arial" w:hAnsi="Arial" w:cs="Arial"/>
                <w:iCs/>
                <w:sz w:val="20"/>
                <w:szCs w:val="20"/>
              </w:rPr>
            </w:pPr>
            <w:r w:rsidRPr="002F2EEC">
              <w:rPr>
                <w:rFonts w:ascii="Arial" w:hAnsi="Arial" w:cs="Arial"/>
                <w:iCs/>
                <w:sz w:val="20"/>
                <w:szCs w:val="20"/>
              </w:rPr>
              <w:t>Four or more</w:t>
            </w:r>
          </w:p>
        </w:tc>
        <w:tc>
          <w:tcPr>
            <w:tcW w:w="1603" w:type="dxa"/>
          </w:tcPr>
          <w:p w14:paraId="72CC6AFF" w14:textId="72C51835" w:rsidR="002F2EEC" w:rsidRPr="002F2EEC" w:rsidRDefault="002F2EEC" w:rsidP="0014104A">
            <w:pPr>
              <w:keepNext/>
              <w:jc w:val="center"/>
              <w:rPr>
                <w:rFonts w:ascii="Arial" w:hAnsi="Arial" w:cs="Arial"/>
                <w:iCs/>
                <w:sz w:val="20"/>
                <w:szCs w:val="20"/>
              </w:rPr>
            </w:pPr>
            <w:r w:rsidRPr="002F2EEC">
              <w:rPr>
                <w:rFonts w:ascii="Arial" w:hAnsi="Arial" w:cs="Arial"/>
                <w:iCs/>
                <w:sz w:val="20"/>
                <w:szCs w:val="20"/>
              </w:rPr>
              <w:t>0</w:t>
            </w:r>
          </w:p>
        </w:tc>
        <w:tc>
          <w:tcPr>
            <w:tcW w:w="1603" w:type="dxa"/>
          </w:tcPr>
          <w:p w14:paraId="2731B23F" w14:textId="133FF31E" w:rsidR="002F2EEC" w:rsidRPr="002F2EEC" w:rsidRDefault="002F2EEC" w:rsidP="0014104A">
            <w:pPr>
              <w:keepNext/>
              <w:jc w:val="center"/>
              <w:rPr>
                <w:rFonts w:ascii="Arial" w:hAnsi="Arial" w:cs="Arial"/>
                <w:iCs/>
                <w:sz w:val="20"/>
                <w:szCs w:val="20"/>
              </w:rPr>
            </w:pPr>
            <w:r w:rsidRPr="002F2EEC">
              <w:rPr>
                <w:rFonts w:ascii="Arial" w:hAnsi="Arial" w:cs="Arial"/>
                <w:iCs/>
                <w:sz w:val="20"/>
                <w:szCs w:val="20"/>
              </w:rPr>
              <w:t>4,868</w:t>
            </w:r>
          </w:p>
        </w:tc>
        <w:tc>
          <w:tcPr>
            <w:tcW w:w="1603" w:type="dxa"/>
          </w:tcPr>
          <w:p w14:paraId="388FED3C" w14:textId="1D29D7A5" w:rsidR="002F2EEC" w:rsidRPr="002F2EEC" w:rsidRDefault="002F2EEC" w:rsidP="0014104A">
            <w:pPr>
              <w:keepNext/>
              <w:jc w:val="center"/>
              <w:rPr>
                <w:rFonts w:ascii="Arial" w:hAnsi="Arial" w:cs="Arial"/>
                <w:iCs/>
                <w:sz w:val="20"/>
                <w:szCs w:val="20"/>
              </w:rPr>
            </w:pPr>
            <w:r w:rsidRPr="002F2EEC">
              <w:rPr>
                <w:rFonts w:ascii="Arial" w:hAnsi="Arial" w:cs="Arial"/>
                <w:iCs/>
                <w:sz w:val="20"/>
                <w:szCs w:val="20"/>
              </w:rPr>
              <w:t>0.0%</w:t>
            </w:r>
          </w:p>
        </w:tc>
        <w:tc>
          <w:tcPr>
            <w:cnfStyle w:val="000100000000" w:firstRow="0" w:lastRow="0" w:firstColumn="0" w:lastColumn="1" w:oddVBand="0" w:evenVBand="0" w:oddHBand="0" w:evenHBand="0" w:firstRowFirstColumn="0" w:firstRowLastColumn="0" w:lastRowFirstColumn="0" w:lastRowLastColumn="0"/>
            <w:tcW w:w="1603" w:type="dxa"/>
          </w:tcPr>
          <w:p w14:paraId="048CE22E" w14:textId="3C7A7460" w:rsidR="002F2EEC" w:rsidRPr="002F2EEC" w:rsidRDefault="002F2EEC" w:rsidP="0014104A">
            <w:pPr>
              <w:keepNext/>
              <w:jc w:val="center"/>
              <w:rPr>
                <w:rFonts w:ascii="Arial" w:hAnsi="Arial" w:cs="Arial"/>
                <w:i w:val="0"/>
                <w:sz w:val="20"/>
                <w:szCs w:val="20"/>
              </w:rPr>
            </w:pPr>
            <w:r w:rsidRPr="002F2EEC">
              <w:rPr>
                <w:rFonts w:ascii="Arial" w:hAnsi="Arial" w:cs="Arial"/>
                <w:i w:val="0"/>
                <w:sz w:val="20"/>
                <w:szCs w:val="20"/>
              </w:rPr>
              <w:t>0.0%</w:t>
            </w:r>
          </w:p>
        </w:tc>
      </w:tr>
      <w:tr w:rsidR="002F2EEC" w:rsidRPr="00E12B61" w14:paraId="0D70D99F" w14:textId="77777777" w:rsidTr="002F2EEC">
        <w:trPr>
          <w:cnfStyle w:val="010000000000" w:firstRow="0" w:lastRow="1" w:firstColumn="0" w:lastColumn="0" w:oddVBand="0" w:evenVBand="0" w:oddHBand="0" w:evenHBand="0" w:firstRowFirstColumn="0" w:firstRowLastColumn="0" w:lastRowFirstColumn="0" w:lastRowLastColumn="0"/>
          <w:trHeight w:val="54"/>
          <w:jc w:val="center"/>
        </w:trPr>
        <w:tc>
          <w:tcPr>
            <w:tcW w:w="1787" w:type="dxa"/>
          </w:tcPr>
          <w:p w14:paraId="0BACFEF6" w14:textId="77777777" w:rsidR="002F2EEC" w:rsidRPr="002F2EEC" w:rsidRDefault="002F2EEC" w:rsidP="0014104A">
            <w:pPr>
              <w:keepNext/>
              <w:widowControl w:val="0"/>
              <w:rPr>
                <w:rFonts w:ascii="Arial" w:hAnsi="Arial" w:cs="Arial"/>
                <w:i w:val="0"/>
                <w:sz w:val="20"/>
                <w:szCs w:val="20"/>
              </w:rPr>
            </w:pPr>
            <w:r w:rsidRPr="002F2EEC">
              <w:rPr>
                <w:rFonts w:ascii="Arial" w:hAnsi="Arial" w:cs="Arial"/>
                <w:i w:val="0"/>
                <w:sz w:val="20"/>
                <w:szCs w:val="20"/>
              </w:rPr>
              <w:t>Total</w:t>
            </w:r>
          </w:p>
        </w:tc>
        <w:tc>
          <w:tcPr>
            <w:tcW w:w="1603" w:type="dxa"/>
          </w:tcPr>
          <w:p w14:paraId="06BDCFA7" w14:textId="6CAA5613" w:rsidR="002F2EEC" w:rsidRPr="002F2EEC" w:rsidRDefault="002F2EEC" w:rsidP="0014104A">
            <w:pPr>
              <w:keepNext/>
              <w:jc w:val="center"/>
              <w:rPr>
                <w:rFonts w:ascii="Arial" w:hAnsi="Arial" w:cs="Arial"/>
                <w:i w:val="0"/>
                <w:sz w:val="20"/>
                <w:szCs w:val="20"/>
              </w:rPr>
            </w:pPr>
            <w:r w:rsidRPr="002F2EEC">
              <w:rPr>
                <w:rFonts w:ascii="Arial" w:hAnsi="Arial" w:cs="Arial"/>
                <w:i w:val="0"/>
                <w:sz w:val="20"/>
                <w:szCs w:val="20"/>
              </w:rPr>
              <w:t>13,063</w:t>
            </w:r>
          </w:p>
        </w:tc>
        <w:tc>
          <w:tcPr>
            <w:tcW w:w="1603" w:type="dxa"/>
          </w:tcPr>
          <w:p w14:paraId="3AD3FA8E" w14:textId="067821AB" w:rsidR="002F2EEC" w:rsidRPr="002F2EEC" w:rsidRDefault="002F2EEC" w:rsidP="0014104A">
            <w:pPr>
              <w:keepNext/>
              <w:jc w:val="center"/>
              <w:rPr>
                <w:rFonts w:ascii="Arial" w:hAnsi="Arial" w:cs="Arial"/>
                <w:i w:val="0"/>
                <w:sz w:val="20"/>
                <w:szCs w:val="20"/>
              </w:rPr>
            </w:pPr>
            <w:r w:rsidRPr="002F2EEC">
              <w:rPr>
                <w:rFonts w:ascii="Arial" w:hAnsi="Arial" w:cs="Arial"/>
                <w:i w:val="0"/>
                <w:sz w:val="20"/>
                <w:szCs w:val="20"/>
              </w:rPr>
              <w:t>39,000</w:t>
            </w:r>
          </w:p>
        </w:tc>
        <w:tc>
          <w:tcPr>
            <w:tcW w:w="1603" w:type="dxa"/>
          </w:tcPr>
          <w:p w14:paraId="713FFEF6" w14:textId="09DA88BC" w:rsidR="002F2EEC" w:rsidRPr="002F2EEC" w:rsidRDefault="002F2EEC" w:rsidP="0014104A">
            <w:pPr>
              <w:keepNext/>
              <w:jc w:val="center"/>
              <w:rPr>
                <w:rFonts w:ascii="Arial" w:hAnsi="Arial" w:cs="Arial"/>
                <w:i w:val="0"/>
                <w:sz w:val="20"/>
                <w:szCs w:val="20"/>
              </w:rPr>
            </w:pPr>
            <w:r w:rsidRPr="002F2EEC">
              <w:rPr>
                <w:rFonts w:ascii="Arial" w:hAnsi="Arial" w:cs="Arial"/>
                <w:i w:val="0"/>
                <w:sz w:val="20"/>
                <w:szCs w:val="20"/>
              </w:rPr>
              <w:t>33.5%</w:t>
            </w:r>
          </w:p>
        </w:tc>
        <w:tc>
          <w:tcPr>
            <w:cnfStyle w:val="000100000000" w:firstRow="0" w:lastRow="0" w:firstColumn="0" w:lastColumn="1" w:oddVBand="0" w:evenVBand="0" w:oddHBand="0" w:evenHBand="0" w:firstRowFirstColumn="0" w:firstRowLastColumn="0" w:lastRowFirstColumn="0" w:lastRowLastColumn="0"/>
            <w:tcW w:w="1603" w:type="dxa"/>
          </w:tcPr>
          <w:p w14:paraId="3F251A5B" w14:textId="15F79EA5" w:rsidR="002F2EEC" w:rsidRPr="002F2EEC" w:rsidRDefault="002F2EEC" w:rsidP="0014104A">
            <w:pPr>
              <w:keepNext/>
              <w:jc w:val="center"/>
              <w:rPr>
                <w:rFonts w:ascii="Arial" w:hAnsi="Arial" w:cs="Arial"/>
                <w:i w:val="0"/>
                <w:sz w:val="20"/>
                <w:szCs w:val="20"/>
              </w:rPr>
            </w:pPr>
            <w:r w:rsidRPr="002F2EEC">
              <w:rPr>
                <w:rFonts w:ascii="Arial" w:hAnsi="Arial" w:cs="Arial"/>
                <w:i w:val="0"/>
                <w:sz w:val="20"/>
                <w:szCs w:val="20"/>
              </w:rPr>
              <w:t>100.0%</w:t>
            </w:r>
          </w:p>
        </w:tc>
      </w:tr>
    </w:tbl>
    <w:p w14:paraId="3D5963F5" w14:textId="7C7E7BD1" w:rsidR="00CC789D"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0CB7B961" w14:textId="77777777" w:rsidR="005256CE" w:rsidRDefault="005256CE" w:rsidP="00172F56">
      <w:pPr>
        <w:pStyle w:val="Reporttext0"/>
        <w:keepLines w:val="0"/>
        <w:widowControl w:val="0"/>
        <w:numPr>
          <w:ilvl w:val="0"/>
          <w:numId w:val="0"/>
        </w:numPr>
        <w:spacing w:line="300" w:lineRule="auto"/>
        <w:ind w:left="720" w:hanging="720"/>
        <w:jc w:val="both"/>
        <w:rPr>
          <w:rFonts w:ascii="Arial" w:hAnsi="Arial" w:cs="Arial"/>
          <w:iCs/>
          <w:sz w:val="20"/>
        </w:rPr>
      </w:pPr>
    </w:p>
    <w:p w14:paraId="5AEE9C81" w14:textId="7A149911" w:rsidR="00CC789D" w:rsidRPr="00213F1B" w:rsidRDefault="00CC789D">
      <w:pPr>
        <w:pStyle w:val="11Bodytext"/>
        <w:numPr>
          <w:ilvl w:val="1"/>
          <w:numId w:val="65"/>
        </w:numPr>
        <w:spacing w:before="0" w:after="0" w:line="300" w:lineRule="auto"/>
        <w:ind w:left="720" w:hanging="720"/>
        <w:rPr>
          <w:color w:val="auto"/>
        </w:rPr>
      </w:pPr>
      <w:r w:rsidRPr="005256CE">
        <w:rPr>
          <w:color w:val="auto"/>
        </w:rPr>
        <w:t>T</w:t>
      </w:r>
      <w:r w:rsidR="005256CE">
        <w:rPr>
          <w:color w:val="auto"/>
        </w:rPr>
        <w:t>he t</w:t>
      </w:r>
      <w:r w:rsidRPr="005256CE">
        <w:rPr>
          <w:color w:val="auto"/>
        </w:rPr>
        <w:t xml:space="preserve">able below shows the housing tenures of households with older persons. Around </w:t>
      </w:r>
      <w:r w:rsidR="00213F1B">
        <w:rPr>
          <w:color w:val="auto"/>
        </w:rPr>
        <w:t>80%</w:t>
      </w:r>
      <w:r w:rsidRPr="005256CE">
        <w:rPr>
          <w:color w:val="auto"/>
        </w:rPr>
        <w:t xml:space="preserve"> of older person only households are owner-occupiers (mostly without a mortgage) - this finding suggests that the potential for equity release schemes in the Borough may be significant. </w:t>
      </w:r>
      <w:r w:rsidRPr="00213F1B">
        <w:rPr>
          <w:color w:val="auto"/>
        </w:rPr>
        <w:t xml:space="preserve">Another significant finding is the proportion of social rented accommodation containing older people only. </w:t>
      </w:r>
      <w:r w:rsidR="00213F1B">
        <w:rPr>
          <w:color w:val="auto"/>
        </w:rPr>
        <w:t>A total of 30%</w:t>
      </w:r>
      <w:r w:rsidRPr="00213F1B">
        <w:rPr>
          <w:color w:val="auto"/>
        </w:rPr>
        <w:t xml:space="preserve"> of social rented dwellings contain only older people. This may have implications for future supply of and demand for specialised social rented accommodation.</w:t>
      </w:r>
    </w:p>
    <w:p w14:paraId="0EF6F5AE" w14:textId="77777777" w:rsidR="00CC789D" w:rsidRPr="00E12B61" w:rsidRDefault="00CC789D" w:rsidP="00172F56">
      <w:pPr>
        <w:pStyle w:val="NormalWeb"/>
        <w:widowControl w:val="0"/>
        <w:spacing w:before="0" w:after="0"/>
        <w:jc w:val="both"/>
        <w:rPr>
          <w:rFonts w:ascii="Arial" w:hAnsi="Arial" w:cs="Arial"/>
          <w:sz w:val="20"/>
          <w:szCs w:val="20"/>
        </w:rPr>
      </w:pPr>
    </w:p>
    <w:tbl>
      <w:tblPr>
        <w:tblStyle w:val="TableGridLight10"/>
        <w:tblW w:w="8199" w:type="dxa"/>
        <w:jc w:val="center"/>
        <w:tblLayout w:type="fixed"/>
        <w:tblLook w:val="01E0" w:firstRow="1" w:lastRow="1" w:firstColumn="1" w:lastColumn="1" w:noHBand="0" w:noVBand="0"/>
      </w:tblPr>
      <w:tblGrid>
        <w:gridCol w:w="3241"/>
        <w:gridCol w:w="1239"/>
        <w:gridCol w:w="1240"/>
        <w:gridCol w:w="1239"/>
        <w:gridCol w:w="1240"/>
      </w:tblGrid>
      <w:tr w:rsidR="00213F1B" w:rsidRPr="00213F1B" w14:paraId="054FE6BB" w14:textId="77777777" w:rsidTr="00213F1B">
        <w:trPr>
          <w:jc w:val="center"/>
        </w:trPr>
        <w:tc>
          <w:tcPr>
            <w:tcW w:w="8199" w:type="dxa"/>
            <w:gridSpan w:val="5"/>
          </w:tcPr>
          <w:p w14:paraId="797B2BE5" w14:textId="06D0E77B" w:rsidR="00213F1B" w:rsidRPr="00213F1B" w:rsidRDefault="00213F1B" w:rsidP="0014104A">
            <w:pPr>
              <w:widowControl w:val="0"/>
              <w:spacing w:before="60" w:after="60" w:line="300" w:lineRule="auto"/>
              <w:jc w:val="center"/>
              <w:rPr>
                <w:rFonts w:ascii="Arial" w:hAnsi="Arial" w:cs="Arial"/>
                <w:b/>
                <w:bCs/>
                <w:iCs/>
                <w:sz w:val="20"/>
                <w:szCs w:val="20"/>
              </w:rPr>
            </w:pPr>
            <w:r w:rsidRPr="00213F1B">
              <w:rPr>
                <w:rFonts w:ascii="Arial" w:hAnsi="Arial" w:cs="Arial"/>
                <w:b/>
                <w:bCs/>
                <w:iCs/>
                <w:sz w:val="20"/>
                <w:szCs w:val="20"/>
              </w:rPr>
              <w:t>Figure 6.</w:t>
            </w:r>
            <w:r w:rsidR="00AD29A6">
              <w:rPr>
                <w:rFonts w:ascii="Arial" w:hAnsi="Arial" w:cs="Arial"/>
                <w:b/>
                <w:bCs/>
                <w:iCs/>
                <w:sz w:val="20"/>
                <w:szCs w:val="20"/>
              </w:rPr>
              <w:t>11</w:t>
            </w:r>
            <w:r w:rsidRPr="00213F1B">
              <w:rPr>
                <w:rFonts w:ascii="Arial" w:hAnsi="Arial" w:cs="Arial"/>
                <w:b/>
                <w:bCs/>
                <w:iCs/>
                <w:sz w:val="20"/>
                <w:szCs w:val="20"/>
              </w:rPr>
              <w:t xml:space="preserve">: </w:t>
            </w:r>
            <w:bookmarkStart w:id="64" w:name="_Toc372039101"/>
            <w:r w:rsidRPr="00213F1B">
              <w:rPr>
                <w:rFonts w:ascii="Arial" w:hAnsi="Arial" w:cs="Arial"/>
                <w:b/>
                <w:bCs/>
                <w:sz w:val="20"/>
                <w:szCs w:val="20"/>
              </w:rPr>
              <w:t>Older person Only Households and Tenure</w:t>
            </w:r>
            <w:bookmarkEnd w:id="64"/>
          </w:p>
        </w:tc>
      </w:tr>
      <w:tr w:rsidR="00CC789D" w:rsidRPr="00E12B61" w14:paraId="2AA6B3F7" w14:textId="77777777" w:rsidTr="00213F1B">
        <w:trPr>
          <w:jc w:val="center"/>
        </w:trPr>
        <w:tc>
          <w:tcPr>
            <w:tcW w:w="3241" w:type="dxa"/>
            <w:vMerge w:val="restart"/>
          </w:tcPr>
          <w:p w14:paraId="5188EA1C" w14:textId="77777777" w:rsidR="00CC789D" w:rsidRPr="00213F1B" w:rsidRDefault="00CC789D" w:rsidP="0014104A">
            <w:pPr>
              <w:widowControl w:val="0"/>
              <w:spacing w:line="300" w:lineRule="auto"/>
              <w:rPr>
                <w:rFonts w:ascii="Arial" w:hAnsi="Arial" w:cs="Arial"/>
                <w:iCs/>
                <w:sz w:val="20"/>
                <w:szCs w:val="20"/>
              </w:rPr>
            </w:pPr>
            <w:r w:rsidRPr="00213F1B">
              <w:rPr>
                <w:rFonts w:ascii="Arial" w:hAnsi="Arial" w:cs="Arial"/>
                <w:iCs/>
                <w:sz w:val="20"/>
                <w:szCs w:val="20"/>
              </w:rPr>
              <w:t>Tenure</w:t>
            </w:r>
          </w:p>
        </w:tc>
        <w:tc>
          <w:tcPr>
            <w:tcW w:w="4958" w:type="dxa"/>
            <w:gridSpan w:val="4"/>
          </w:tcPr>
          <w:p w14:paraId="0C8A247E" w14:textId="77777777" w:rsidR="00CC789D" w:rsidRPr="00213F1B" w:rsidRDefault="00CC789D" w:rsidP="0014104A">
            <w:pPr>
              <w:widowControl w:val="0"/>
              <w:spacing w:line="300" w:lineRule="auto"/>
              <w:jc w:val="center"/>
              <w:rPr>
                <w:rFonts w:ascii="Arial" w:hAnsi="Arial" w:cs="Arial"/>
                <w:sz w:val="20"/>
                <w:szCs w:val="20"/>
              </w:rPr>
            </w:pPr>
            <w:r w:rsidRPr="00213F1B">
              <w:rPr>
                <w:rFonts w:ascii="Arial" w:hAnsi="Arial" w:cs="Arial"/>
                <w:iCs/>
                <w:sz w:val="20"/>
                <w:szCs w:val="20"/>
              </w:rPr>
              <w:t>Age group</w:t>
            </w:r>
          </w:p>
        </w:tc>
      </w:tr>
      <w:tr w:rsidR="00CC789D" w:rsidRPr="00E12B61" w14:paraId="5CBB4F9F" w14:textId="77777777" w:rsidTr="00213F1B">
        <w:trPr>
          <w:jc w:val="center"/>
        </w:trPr>
        <w:tc>
          <w:tcPr>
            <w:tcW w:w="3241" w:type="dxa"/>
            <w:vMerge/>
          </w:tcPr>
          <w:p w14:paraId="5852DB6D" w14:textId="77777777" w:rsidR="00CC789D" w:rsidRPr="00213F1B" w:rsidRDefault="00CC789D" w:rsidP="0014104A">
            <w:pPr>
              <w:widowControl w:val="0"/>
              <w:spacing w:line="300" w:lineRule="auto"/>
              <w:rPr>
                <w:rFonts w:ascii="Arial" w:hAnsi="Arial" w:cs="Arial"/>
                <w:iCs/>
                <w:sz w:val="20"/>
                <w:szCs w:val="20"/>
              </w:rPr>
            </w:pPr>
          </w:p>
        </w:tc>
        <w:tc>
          <w:tcPr>
            <w:tcW w:w="1239" w:type="dxa"/>
          </w:tcPr>
          <w:p w14:paraId="7DB8D67C" w14:textId="77777777" w:rsidR="00CC789D" w:rsidRPr="00213F1B" w:rsidRDefault="00CC789D" w:rsidP="0014104A">
            <w:pPr>
              <w:widowControl w:val="0"/>
              <w:spacing w:line="300" w:lineRule="auto"/>
              <w:jc w:val="center"/>
              <w:rPr>
                <w:rFonts w:ascii="Arial" w:hAnsi="Arial" w:cs="Arial"/>
                <w:iCs/>
                <w:sz w:val="20"/>
                <w:szCs w:val="20"/>
              </w:rPr>
            </w:pPr>
            <w:r w:rsidRPr="00213F1B">
              <w:rPr>
                <w:rFonts w:ascii="Arial" w:hAnsi="Arial" w:cs="Arial"/>
                <w:iCs/>
                <w:sz w:val="20"/>
                <w:szCs w:val="20"/>
              </w:rPr>
              <w:t>Older persons only</w:t>
            </w:r>
          </w:p>
        </w:tc>
        <w:tc>
          <w:tcPr>
            <w:tcW w:w="1240" w:type="dxa"/>
          </w:tcPr>
          <w:p w14:paraId="370956D9" w14:textId="77777777" w:rsidR="00CC789D" w:rsidRPr="00213F1B" w:rsidRDefault="00CC789D" w:rsidP="0014104A">
            <w:pPr>
              <w:widowControl w:val="0"/>
              <w:spacing w:line="300" w:lineRule="auto"/>
              <w:jc w:val="center"/>
              <w:rPr>
                <w:rFonts w:ascii="Arial" w:hAnsi="Arial" w:cs="Arial"/>
                <w:iCs/>
                <w:sz w:val="20"/>
                <w:szCs w:val="20"/>
              </w:rPr>
            </w:pPr>
            <w:r w:rsidRPr="00213F1B">
              <w:rPr>
                <w:rFonts w:ascii="Arial" w:hAnsi="Arial" w:cs="Arial"/>
                <w:iCs/>
                <w:sz w:val="20"/>
                <w:szCs w:val="20"/>
              </w:rPr>
              <w:t>Number of h’holds</w:t>
            </w:r>
          </w:p>
        </w:tc>
        <w:tc>
          <w:tcPr>
            <w:tcW w:w="1239" w:type="dxa"/>
          </w:tcPr>
          <w:p w14:paraId="7C5589C9" w14:textId="77777777" w:rsidR="00CC789D" w:rsidRPr="00213F1B" w:rsidRDefault="00CC789D" w:rsidP="0014104A">
            <w:pPr>
              <w:widowControl w:val="0"/>
              <w:spacing w:line="300" w:lineRule="auto"/>
              <w:jc w:val="center"/>
              <w:rPr>
                <w:rFonts w:ascii="Arial" w:hAnsi="Arial" w:cs="Arial"/>
                <w:iCs/>
                <w:sz w:val="20"/>
                <w:szCs w:val="20"/>
              </w:rPr>
            </w:pPr>
            <w:r w:rsidRPr="00213F1B">
              <w:rPr>
                <w:rFonts w:ascii="Arial" w:hAnsi="Arial" w:cs="Arial"/>
                <w:iCs/>
                <w:sz w:val="20"/>
                <w:szCs w:val="20"/>
              </w:rPr>
              <w:t>% of h’holds with older persons</w:t>
            </w:r>
          </w:p>
        </w:tc>
        <w:tc>
          <w:tcPr>
            <w:tcW w:w="1240" w:type="dxa"/>
          </w:tcPr>
          <w:p w14:paraId="7893E4BE" w14:textId="77777777" w:rsidR="00CC789D" w:rsidRPr="00213F1B" w:rsidRDefault="00CC789D" w:rsidP="0014104A">
            <w:pPr>
              <w:widowControl w:val="0"/>
              <w:spacing w:line="300" w:lineRule="auto"/>
              <w:jc w:val="center"/>
              <w:rPr>
                <w:rFonts w:ascii="Arial" w:hAnsi="Arial" w:cs="Arial"/>
                <w:iCs/>
                <w:sz w:val="20"/>
                <w:szCs w:val="20"/>
              </w:rPr>
            </w:pPr>
            <w:r w:rsidRPr="00213F1B">
              <w:rPr>
                <w:rFonts w:ascii="Arial" w:hAnsi="Arial" w:cs="Arial"/>
                <w:iCs/>
                <w:sz w:val="20"/>
                <w:szCs w:val="20"/>
              </w:rPr>
              <w:t>% of those with older persons</w:t>
            </w:r>
          </w:p>
        </w:tc>
      </w:tr>
      <w:tr w:rsidR="00213F1B" w:rsidRPr="00E12B61" w14:paraId="594364A6" w14:textId="77777777" w:rsidTr="00213F1B">
        <w:trPr>
          <w:jc w:val="center"/>
        </w:trPr>
        <w:tc>
          <w:tcPr>
            <w:tcW w:w="3241" w:type="dxa"/>
          </w:tcPr>
          <w:p w14:paraId="18EA77AE" w14:textId="77777777" w:rsidR="00213F1B" w:rsidRPr="00213F1B" w:rsidRDefault="00213F1B" w:rsidP="0014104A">
            <w:pPr>
              <w:widowControl w:val="0"/>
              <w:spacing w:line="300" w:lineRule="auto"/>
              <w:rPr>
                <w:rFonts w:ascii="Arial" w:hAnsi="Arial" w:cs="Arial"/>
                <w:iCs/>
                <w:sz w:val="20"/>
                <w:szCs w:val="20"/>
              </w:rPr>
            </w:pPr>
            <w:r w:rsidRPr="00213F1B">
              <w:rPr>
                <w:rFonts w:ascii="Arial" w:hAnsi="Arial" w:cs="Arial"/>
                <w:iCs/>
                <w:sz w:val="20"/>
                <w:szCs w:val="20"/>
              </w:rPr>
              <w:t>Owner-occupied (no mortgage)</w:t>
            </w:r>
          </w:p>
        </w:tc>
        <w:tc>
          <w:tcPr>
            <w:tcW w:w="1239" w:type="dxa"/>
          </w:tcPr>
          <w:p w14:paraId="75FE1DC8" w14:textId="6B9C881D"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9,973</w:t>
            </w:r>
          </w:p>
        </w:tc>
        <w:tc>
          <w:tcPr>
            <w:tcW w:w="1240" w:type="dxa"/>
          </w:tcPr>
          <w:p w14:paraId="30C97E1D" w14:textId="08E08F7A"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17,604</w:t>
            </w:r>
          </w:p>
        </w:tc>
        <w:tc>
          <w:tcPr>
            <w:tcW w:w="1239" w:type="dxa"/>
          </w:tcPr>
          <w:p w14:paraId="3CF7ED23" w14:textId="045AB9B6"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56.7%</w:t>
            </w:r>
          </w:p>
        </w:tc>
        <w:tc>
          <w:tcPr>
            <w:tcW w:w="1240" w:type="dxa"/>
          </w:tcPr>
          <w:p w14:paraId="0E511FF3" w14:textId="566EF7DF"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76.3%</w:t>
            </w:r>
          </w:p>
        </w:tc>
      </w:tr>
      <w:tr w:rsidR="00213F1B" w:rsidRPr="00E12B61" w14:paraId="32805320" w14:textId="77777777" w:rsidTr="00213F1B">
        <w:trPr>
          <w:jc w:val="center"/>
        </w:trPr>
        <w:tc>
          <w:tcPr>
            <w:tcW w:w="3241" w:type="dxa"/>
          </w:tcPr>
          <w:p w14:paraId="09791710" w14:textId="77777777" w:rsidR="00213F1B" w:rsidRPr="00213F1B" w:rsidRDefault="00213F1B" w:rsidP="0014104A">
            <w:pPr>
              <w:widowControl w:val="0"/>
              <w:spacing w:line="300" w:lineRule="auto"/>
              <w:rPr>
                <w:rFonts w:ascii="Arial" w:hAnsi="Arial" w:cs="Arial"/>
                <w:iCs/>
                <w:sz w:val="20"/>
                <w:szCs w:val="20"/>
              </w:rPr>
            </w:pPr>
            <w:r w:rsidRPr="00213F1B">
              <w:rPr>
                <w:rFonts w:ascii="Arial" w:hAnsi="Arial" w:cs="Arial"/>
                <w:iCs/>
                <w:sz w:val="20"/>
                <w:szCs w:val="20"/>
              </w:rPr>
              <w:t>Owner-occupied (with mortgage)</w:t>
            </w:r>
          </w:p>
        </w:tc>
        <w:tc>
          <w:tcPr>
            <w:tcW w:w="1239" w:type="dxa"/>
          </w:tcPr>
          <w:p w14:paraId="057683BA" w14:textId="6ACBA8A9"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621</w:t>
            </w:r>
          </w:p>
        </w:tc>
        <w:tc>
          <w:tcPr>
            <w:tcW w:w="1240" w:type="dxa"/>
          </w:tcPr>
          <w:p w14:paraId="2EA831EA" w14:textId="3145FCE3"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10,385</w:t>
            </w:r>
          </w:p>
        </w:tc>
        <w:tc>
          <w:tcPr>
            <w:tcW w:w="1239" w:type="dxa"/>
          </w:tcPr>
          <w:p w14:paraId="058FB275" w14:textId="4E292E7C"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6.0%</w:t>
            </w:r>
          </w:p>
        </w:tc>
        <w:tc>
          <w:tcPr>
            <w:tcW w:w="1240" w:type="dxa"/>
          </w:tcPr>
          <w:p w14:paraId="74BDDAD0" w14:textId="356FDEB3"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4.8%</w:t>
            </w:r>
          </w:p>
        </w:tc>
      </w:tr>
      <w:tr w:rsidR="00213F1B" w:rsidRPr="00E12B61" w14:paraId="0125A323" w14:textId="77777777" w:rsidTr="00213F1B">
        <w:trPr>
          <w:jc w:val="center"/>
        </w:trPr>
        <w:tc>
          <w:tcPr>
            <w:tcW w:w="3241" w:type="dxa"/>
          </w:tcPr>
          <w:p w14:paraId="0001CC52" w14:textId="77777777" w:rsidR="00213F1B" w:rsidRPr="00213F1B" w:rsidRDefault="00213F1B" w:rsidP="0014104A">
            <w:pPr>
              <w:widowControl w:val="0"/>
              <w:spacing w:line="300" w:lineRule="auto"/>
              <w:rPr>
                <w:rFonts w:ascii="Arial" w:hAnsi="Arial" w:cs="Arial"/>
                <w:iCs/>
                <w:sz w:val="20"/>
                <w:szCs w:val="20"/>
              </w:rPr>
            </w:pPr>
            <w:r w:rsidRPr="00213F1B">
              <w:rPr>
                <w:rFonts w:ascii="Arial" w:hAnsi="Arial" w:cs="Arial"/>
                <w:iCs/>
                <w:sz w:val="20"/>
                <w:szCs w:val="20"/>
              </w:rPr>
              <w:t>Social rented</w:t>
            </w:r>
          </w:p>
        </w:tc>
        <w:tc>
          <w:tcPr>
            <w:tcW w:w="1239" w:type="dxa"/>
          </w:tcPr>
          <w:p w14:paraId="60080329" w14:textId="0A3F7BCC"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974</w:t>
            </w:r>
          </w:p>
        </w:tc>
        <w:tc>
          <w:tcPr>
            <w:tcW w:w="1240" w:type="dxa"/>
          </w:tcPr>
          <w:p w14:paraId="2E6E1D87" w14:textId="16104109"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3,264</w:t>
            </w:r>
          </w:p>
        </w:tc>
        <w:tc>
          <w:tcPr>
            <w:tcW w:w="1239" w:type="dxa"/>
          </w:tcPr>
          <w:p w14:paraId="516F9F61" w14:textId="5935DA41"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29.8%</w:t>
            </w:r>
          </w:p>
        </w:tc>
        <w:tc>
          <w:tcPr>
            <w:tcW w:w="1240" w:type="dxa"/>
          </w:tcPr>
          <w:p w14:paraId="42423630" w14:textId="3F591FED"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7.5%</w:t>
            </w:r>
          </w:p>
        </w:tc>
      </w:tr>
      <w:tr w:rsidR="00213F1B" w:rsidRPr="00E12B61" w14:paraId="7E6695B1" w14:textId="77777777" w:rsidTr="00213F1B">
        <w:trPr>
          <w:jc w:val="center"/>
        </w:trPr>
        <w:tc>
          <w:tcPr>
            <w:tcW w:w="3241" w:type="dxa"/>
          </w:tcPr>
          <w:p w14:paraId="1BF02512" w14:textId="77777777" w:rsidR="00213F1B" w:rsidRPr="00213F1B" w:rsidRDefault="00213F1B" w:rsidP="0014104A">
            <w:pPr>
              <w:widowControl w:val="0"/>
              <w:spacing w:line="300" w:lineRule="auto"/>
              <w:rPr>
                <w:rFonts w:ascii="Arial" w:hAnsi="Arial" w:cs="Arial"/>
                <w:iCs/>
                <w:sz w:val="20"/>
                <w:szCs w:val="20"/>
              </w:rPr>
            </w:pPr>
            <w:r w:rsidRPr="00213F1B">
              <w:rPr>
                <w:rFonts w:ascii="Arial" w:hAnsi="Arial" w:cs="Arial"/>
                <w:iCs/>
                <w:sz w:val="20"/>
                <w:szCs w:val="20"/>
              </w:rPr>
              <w:t>Private rented</w:t>
            </w:r>
          </w:p>
        </w:tc>
        <w:tc>
          <w:tcPr>
            <w:tcW w:w="1239" w:type="dxa"/>
          </w:tcPr>
          <w:p w14:paraId="66CAF596" w14:textId="52D4A6B7"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1,495</w:t>
            </w:r>
          </w:p>
        </w:tc>
        <w:tc>
          <w:tcPr>
            <w:tcW w:w="1240" w:type="dxa"/>
          </w:tcPr>
          <w:p w14:paraId="133C5CDD" w14:textId="573241F9"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7,746</w:t>
            </w:r>
          </w:p>
        </w:tc>
        <w:tc>
          <w:tcPr>
            <w:tcW w:w="1239" w:type="dxa"/>
          </w:tcPr>
          <w:p w14:paraId="0DC35285" w14:textId="00D99F70"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19.3%</w:t>
            </w:r>
          </w:p>
        </w:tc>
        <w:tc>
          <w:tcPr>
            <w:tcW w:w="1240" w:type="dxa"/>
          </w:tcPr>
          <w:p w14:paraId="19416FB1" w14:textId="49BD1397"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11.4%</w:t>
            </w:r>
          </w:p>
        </w:tc>
      </w:tr>
      <w:tr w:rsidR="00213F1B" w:rsidRPr="00E12B61" w14:paraId="4AE1A16E" w14:textId="77777777" w:rsidTr="00213F1B">
        <w:trPr>
          <w:jc w:val="center"/>
        </w:trPr>
        <w:tc>
          <w:tcPr>
            <w:tcW w:w="3241" w:type="dxa"/>
          </w:tcPr>
          <w:p w14:paraId="40899093" w14:textId="77777777" w:rsidR="00213F1B" w:rsidRPr="00213F1B" w:rsidRDefault="00213F1B" w:rsidP="0014104A">
            <w:pPr>
              <w:widowControl w:val="0"/>
              <w:spacing w:line="300" w:lineRule="auto"/>
              <w:rPr>
                <w:rFonts w:ascii="Arial" w:hAnsi="Arial" w:cs="Arial"/>
                <w:iCs/>
                <w:sz w:val="20"/>
                <w:szCs w:val="20"/>
              </w:rPr>
            </w:pPr>
            <w:r w:rsidRPr="00213F1B">
              <w:rPr>
                <w:rFonts w:ascii="Arial" w:hAnsi="Arial" w:cs="Arial"/>
                <w:iCs/>
                <w:sz w:val="20"/>
                <w:szCs w:val="20"/>
              </w:rPr>
              <w:t>Total</w:t>
            </w:r>
          </w:p>
        </w:tc>
        <w:tc>
          <w:tcPr>
            <w:tcW w:w="1239" w:type="dxa"/>
          </w:tcPr>
          <w:p w14:paraId="787C392E" w14:textId="626B74D0"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13,063</w:t>
            </w:r>
          </w:p>
        </w:tc>
        <w:tc>
          <w:tcPr>
            <w:tcW w:w="1240" w:type="dxa"/>
          </w:tcPr>
          <w:p w14:paraId="50AA9B7C" w14:textId="2ABA5C01"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39,000</w:t>
            </w:r>
          </w:p>
        </w:tc>
        <w:tc>
          <w:tcPr>
            <w:tcW w:w="1239" w:type="dxa"/>
          </w:tcPr>
          <w:p w14:paraId="3C1BD4F7" w14:textId="20CCF26E"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33.5%</w:t>
            </w:r>
          </w:p>
        </w:tc>
        <w:tc>
          <w:tcPr>
            <w:tcW w:w="1240" w:type="dxa"/>
          </w:tcPr>
          <w:p w14:paraId="12C5D74F" w14:textId="69FD500F" w:rsidR="00213F1B" w:rsidRPr="00213F1B" w:rsidRDefault="00213F1B" w:rsidP="0014104A">
            <w:pPr>
              <w:spacing w:line="300" w:lineRule="auto"/>
              <w:jc w:val="center"/>
              <w:rPr>
                <w:rFonts w:ascii="Arial" w:hAnsi="Arial" w:cs="Arial"/>
                <w:sz w:val="20"/>
                <w:szCs w:val="20"/>
              </w:rPr>
            </w:pPr>
            <w:r w:rsidRPr="00213F1B">
              <w:rPr>
                <w:rFonts w:ascii="Arial" w:hAnsi="Arial" w:cs="Arial"/>
                <w:sz w:val="20"/>
                <w:szCs w:val="20"/>
              </w:rPr>
              <w:t>100.0%</w:t>
            </w:r>
          </w:p>
        </w:tc>
      </w:tr>
    </w:tbl>
    <w:p w14:paraId="4CFAC77C" w14:textId="72B774CF" w:rsidR="00CC789D" w:rsidRPr="00E12B61"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09AD300F" w14:textId="77777777" w:rsidR="00897083" w:rsidRDefault="00897083" w:rsidP="00172F56">
      <w:pPr>
        <w:pStyle w:val="Reporttext0"/>
        <w:keepLines w:val="0"/>
        <w:widowControl w:val="0"/>
        <w:numPr>
          <w:ilvl w:val="0"/>
          <w:numId w:val="0"/>
        </w:numPr>
        <w:spacing w:line="300" w:lineRule="auto"/>
        <w:ind w:left="720" w:hanging="720"/>
        <w:jc w:val="both"/>
        <w:rPr>
          <w:rFonts w:ascii="Arial" w:hAnsi="Arial" w:cs="Arial"/>
          <w:iCs/>
          <w:sz w:val="20"/>
        </w:rPr>
      </w:pPr>
    </w:p>
    <w:p w14:paraId="30CFF358" w14:textId="2BC1D1FD" w:rsidR="00CC789D" w:rsidRPr="00897083" w:rsidRDefault="00CC789D">
      <w:pPr>
        <w:pStyle w:val="11Bodytext"/>
        <w:numPr>
          <w:ilvl w:val="1"/>
          <w:numId w:val="65"/>
        </w:numPr>
        <w:spacing w:before="0" w:after="0" w:line="300" w:lineRule="auto"/>
        <w:ind w:left="720" w:hanging="720"/>
        <w:rPr>
          <w:color w:val="auto"/>
        </w:rPr>
      </w:pPr>
      <w:r w:rsidRPr="00E12B61">
        <w:t>The table below shows that older person only households are more likely than non-older person households to be living in one and two</w:t>
      </w:r>
      <w:r w:rsidR="004F6444">
        <w:t>-</w:t>
      </w:r>
      <w:r w:rsidRPr="00E12B61">
        <w:t>bedroom properties. However, the results also show that approaching half of all older person households are in three or four</w:t>
      </w:r>
      <w:r w:rsidR="004F6444">
        <w:t>-</w:t>
      </w:r>
      <w:r w:rsidRPr="00E12B61">
        <w:t>bedroom dwellings. Given that previous information has shown that older person only households are almost entirely comprised of only one or two persons, this finding suggests that there could be potential scope to free up larger units for younger families if the older person households chose to move into suitable smaller units. There is potential to provide incentives to do so (although particularly in the market sector there is limited ability to influence trends). However</w:t>
      </w:r>
      <w:r w:rsidR="004F6444">
        <w:t>,</w:t>
      </w:r>
      <w:r w:rsidRPr="00E12B61">
        <w:t xml:space="preserve"> by providing attractive properties targeting older households, there may be opportunities to support households to downsize</w:t>
      </w:r>
      <w:r w:rsidR="00897083">
        <w:t>.</w:t>
      </w:r>
    </w:p>
    <w:p w14:paraId="42584173" w14:textId="77777777" w:rsidR="00897083" w:rsidRPr="00897083" w:rsidRDefault="00897083" w:rsidP="00172F56">
      <w:pPr>
        <w:pStyle w:val="11Bodytext"/>
        <w:numPr>
          <w:ilvl w:val="0"/>
          <w:numId w:val="0"/>
        </w:numPr>
        <w:spacing w:before="0" w:after="0" w:line="300" w:lineRule="auto"/>
        <w:rPr>
          <w:color w:val="auto"/>
        </w:rPr>
      </w:pPr>
    </w:p>
    <w:tbl>
      <w:tblPr>
        <w:tblStyle w:val="TableTheme"/>
        <w:tblW w:w="8199" w:type="dxa"/>
        <w:jc w:val="center"/>
        <w:tblLayout w:type="fixed"/>
        <w:tblLook w:val="01E0" w:firstRow="1" w:lastRow="1" w:firstColumn="1" w:lastColumn="1" w:noHBand="0" w:noVBand="0"/>
      </w:tblPr>
      <w:tblGrid>
        <w:gridCol w:w="1667"/>
        <w:gridCol w:w="1613"/>
        <w:gridCol w:w="1639"/>
        <w:gridCol w:w="1640"/>
        <w:gridCol w:w="1640"/>
      </w:tblGrid>
      <w:tr w:rsidR="00897083" w:rsidRPr="00897083" w14:paraId="4F268557" w14:textId="77777777" w:rsidTr="008469E3">
        <w:trPr>
          <w:jc w:val="center"/>
        </w:trPr>
        <w:tc>
          <w:tcPr>
            <w:tcW w:w="8199" w:type="dxa"/>
            <w:gridSpan w:val="5"/>
          </w:tcPr>
          <w:p w14:paraId="0036BE13" w14:textId="1C1F1395" w:rsidR="00897083" w:rsidRPr="00897083" w:rsidRDefault="00897083" w:rsidP="0014104A">
            <w:pPr>
              <w:keepNext/>
              <w:widowControl w:val="0"/>
              <w:spacing w:line="300" w:lineRule="auto"/>
              <w:jc w:val="center"/>
              <w:rPr>
                <w:rFonts w:ascii="Arial" w:hAnsi="Arial" w:cs="Arial"/>
                <w:b/>
                <w:bCs/>
                <w:iCs/>
                <w:sz w:val="20"/>
                <w:szCs w:val="20"/>
              </w:rPr>
            </w:pPr>
            <w:r w:rsidRPr="00897083">
              <w:rPr>
                <w:rFonts w:ascii="Arial" w:hAnsi="Arial" w:cs="Arial"/>
                <w:b/>
                <w:bCs/>
                <w:iCs/>
                <w:sz w:val="20"/>
                <w:szCs w:val="20"/>
              </w:rPr>
              <w:t>Figure 6.</w:t>
            </w:r>
            <w:r w:rsidR="00AD29A6">
              <w:rPr>
                <w:rFonts w:ascii="Arial" w:hAnsi="Arial" w:cs="Arial"/>
                <w:b/>
                <w:bCs/>
                <w:iCs/>
                <w:sz w:val="20"/>
                <w:szCs w:val="20"/>
              </w:rPr>
              <w:t>12</w:t>
            </w:r>
            <w:r w:rsidRPr="00897083">
              <w:rPr>
                <w:rFonts w:ascii="Arial" w:hAnsi="Arial" w:cs="Arial"/>
                <w:b/>
                <w:bCs/>
                <w:iCs/>
                <w:sz w:val="20"/>
                <w:szCs w:val="20"/>
              </w:rPr>
              <w:t xml:space="preserve">: </w:t>
            </w:r>
            <w:bookmarkStart w:id="65" w:name="_Toc372039102"/>
            <w:r w:rsidRPr="00897083">
              <w:rPr>
                <w:rFonts w:ascii="Arial" w:hAnsi="Arial" w:cs="Arial"/>
                <w:b/>
                <w:bCs/>
                <w:sz w:val="20"/>
                <w:szCs w:val="20"/>
              </w:rPr>
              <w:t>Size of Dwellings (number of bedrooms) for Older Person Only Households</w:t>
            </w:r>
            <w:bookmarkEnd w:id="65"/>
          </w:p>
        </w:tc>
      </w:tr>
      <w:tr w:rsidR="00CC789D" w:rsidRPr="00897083" w14:paraId="06D49BC8" w14:textId="77777777" w:rsidTr="00897083">
        <w:trPr>
          <w:jc w:val="center"/>
        </w:trPr>
        <w:tc>
          <w:tcPr>
            <w:tcW w:w="1667" w:type="dxa"/>
            <w:vMerge w:val="restart"/>
          </w:tcPr>
          <w:p w14:paraId="732BDA57" w14:textId="77777777" w:rsidR="00CC789D" w:rsidRPr="0014104A" w:rsidRDefault="00CC789D" w:rsidP="0014104A">
            <w:pPr>
              <w:keepNext/>
              <w:widowControl w:val="0"/>
              <w:spacing w:line="300" w:lineRule="auto"/>
              <w:rPr>
                <w:rFonts w:ascii="Arial" w:hAnsi="Arial" w:cs="Arial"/>
                <w:iCs/>
                <w:sz w:val="20"/>
                <w:szCs w:val="20"/>
              </w:rPr>
            </w:pPr>
            <w:r w:rsidRPr="0014104A">
              <w:rPr>
                <w:rFonts w:ascii="Arial" w:hAnsi="Arial" w:cs="Arial"/>
                <w:iCs/>
                <w:sz w:val="20"/>
                <w:szCs w:val="20"/>
              </w:rPr>
              <w:t>Number of bedrooms</w:t>
            </w:r>
          </w:p>
        </w:tc>
        <w:tc>
          <w:tcPr>
            <w:tcW w:w="3252" w:type="dxa"/>
            <w:gridSpan w:val="2"/>
          </w:tcPr>
          <w:p w14:paraId="746431EA" w14:textId="77777777" w:rsidR="00CC789D" w:rsidRPr="00897083" w:rsidRDefault="00CC789D" w:rsidP="0014104A">
            <w:pPr>
              <w:keepNext/>
              <w:widowControl w:val="0"/>
              <w:spacing w:line="300" w:lineRule="auto"/>
              <w:jc w:val="center"/>
              <w:rPr>
                <w:rFonts w:ascii="Arial" w:hAnsi="Arial" w:cs="Arial"/>
                <w:iCs/>
                <w:sz w:val="20"/>
                <w:szCs w:val="20"/>
              </w:rPr>
            </w:pPr>
            <w:r w:rsidRPr="00897083">
              <w:rPr>
                <w:rFonts w:ascii="Arial" w:hAnsi="Arial" w:cs="Arial"/>
                <w:iCs/>
                <w:sz w:val="20"/>
                <w:szCs w:val="20"/>
              </w:rPr>
              <w:t>Older person households</w:t>
            </w:r>
          </w:p>
        </w:tc>
        <w:tc>
          <w:tcPr>
            <w:tcW w:w="3280" w:type="dxa"/>
            <w:gridSpan w:val="2"/>
          </w:tcPr>
          <w:p w14:paraId="42DBD704" w14:textId="77777777" w:rsidR="00CC789D" w:rsidRPr="00897083" w:rsidRDefault="00CC789D" w:rsidP="0014104A">
            <w:pPr>
              <w:keepNext/>
              <w:widowControl w:val="0"/>
              <w:spacing w:line="300" w:lineRule="auto"/>
              <w:jc w:val="center"/>
              <w:rPr>
                <w:rFonts w:ascii="Arial" w:hAnsi="Arial" w:cs="Arial"/>
                <w:iCs/>
                <w:sz w:val="20"/>
                <w:szCs w:val="20"/>
              </w:rPr>
            </w:pPr>
            <w:r w:rsidRPr="00897083">
              <w:rPr>
                <w:rFonts w:ascii="Arial" w:hAnsi="Arial" w:cs="Arial"/>
                <w:iCs/>
                <w:sz w:val="20"/>
                <w:szCs w:val="20"/>
              </w:rPr>
              <w:t>All other households</w:t>
            </w:r>
          </w:p>
        </w:tc>
      </w:tr>
      <w:tr w:rsidR="00CC789D" w:rsidRPr="00897083" w14:paraId="45BFF95F" w14:textId="77777777" w:rsidTr="00897083">
        <w:trPr>
          <w:jc w:val="center"/>
        </w:trPr>
        <w:tc>
          <w:tcPr>
            <w:tcW w:w="1667" w:type="dxa"/>
            <w:vMerge/>
          </w:tcPr>
          <w:p w14:paraId="25690DA4" w14:textId="77777777" w:rsidR="00CC789D" w:rsidRPr="0014104A" w:rsidRDefault="00CC789D" w:rsidP="0014104A">
            <w:pPr>
              <w:keepNext/>
              <w:widowControl w:val="0"/>
              <w:spacing w:line="300" w:lineRule="auto"/>
              <w:rPr>
                <w:rFonts w:ascii="Arial" w:hAnsi="Arial" w:cs="Arial"/>
                <w:iCs/>
                <w:color w:val="FFFFFF" w:themeColor="background1"/>
                <w:sz w:val="20"/>
                <w:szCs w:val="20"/>
              </w:rPr>
            </w:pPr>
          </w:p>
        </w:tc>
        <w:tc>
          <w:tcPr>
            <w:tcW w:w="1613" w:type="dxa"/>
          </w:tcPr>
          <w:p w14:paraId="4A3D1914" w14:textId="77777777" w:rsidR="00CC789D" w:rsidRPr="00897083" w:rsidRDefault="00CC789D" w:rsidP="0014104A">
            <w:pPr>
              <w:keepNext/>
              <w:widowControl w:val="0"/>
              <w:spacing w:line="300" w:lineRule="auto"/>
              <w:jc w:val="center"/>
              <w:rPr>
                <w:rFonts w:ascii="Arial" w:hAnsi="Arial" w:cs="Arial"/>
                <w:b/>
                <w:iCs/>
                <w:color w:val="FFFFFF" w:themeColor="background1"/>
                <w:sz w:val="20"/>
                <w:szCs w:val="20"/>
              </w:rPr>
            </w:pPr>
            <w:r w:rsidRPr="00897083">
              <w:rPr>
                <w:rFonts w:ascii="Arial" w:hAnsi="Arial" w:cs="Arial"/>
                <w:b/>
                <w:iCs/>
                <w:color w:val="FFFFFF" w:themeColor="background1"/>
                <w:sz w:val="20"/>
                <w:szCs w:val="20"/>
              </w:rPr>
              <w:t>Households</w:t>
            </w:r>
          </w:p>
        </w:tc>
        <w:tc>
          <w:tcPr>
            <w:tcW w:w="1639" w:type="dxa"/>
          </w:tcPr>
          <w:p w14:paraId="24F7FF91" w14:textId="77777777" w:rsidR="00CC789D" w:rsidRPr="00897083" w:rsidRDefault="00CC789D" w:rsidP="0014104A">
            <w:pPr>
              <w:keepNext/>
              <w:widowControl w:val="0"/>
              <w:spacing w:line="300" w:lineRule="auto"/>
              <w:jc w:val="center"/>
              <w:rPr>
                <w:rFonts w:ascii="Arial" w:hAnsi="Arial" w:cs="Arial"/>
                <w:b/>
                <w:iCs/>
                <w:color w:val="FFFFFF" w:themeColor="background1"/>
                <w:sz w:val="20"/>
                <w:szCs w:val="20"/>
              </w:rPr>
            </w:pPr>
            <w:r w:rsidRPr="00897083">
              <w:rPr>
                <w:rFonts w:ascii="Arial" w:hAnsi="Arial" w:cs="Arial"/>
                <w:b/>
                <w:iCs/>
                <w:color w:val="FFFFFF" w:themeColor="background1"/>
                <w:sz w:val="20"/>
                <w:szCs w:val="20"/>
              </w:rPr>
              <w:t>%</w:t>
            </w:r>
          </w:p>
        </w:tc>
        <w:tc>
          <w:tcPr>
            <w:tcW w:w="1640" w:type="dxa"/>
          </w:tcPr>
          <w:p w14:paraId="59141559" w14:textId="77777777" w:rsidR="00CC789D" w:rsidRPr="00897083" w:rsidRDefault="00CC789D" w:rsidP="0014104A">
            <w:pPr>
              <w:keepNext/>
              <w:widowControl w:val="0"/>
              <w:spacing w:line="300" w:lineRule="auto"/>
              <w:jc w:val="center"/>
              <w:rPr>
                <w:rFonts w:ascii="Arial" w:hAnsi="Arial" w:cs="Arial"/>
                <w:b/>
                <w:iCs/>
                <w:color w:val="FFFFFF" w:themeColor="background1"/>
                <w:sz w:val="20"/>
                <w:szCs w:val="20"/>
              </w:rPr>
            </w:pPr>
            <w:r w:rsidRPr="00897083">
              <w:rPr>
                <w:rFonts w:ascii="Arial" w:hAnsi="Arial" w:cs="Arial"/>
                <w:b/>
                <w:iCs/>
                <w:color w:val="FFFFFF" w:themeColor="background1"/>
                <w:sz w:val="20"/>
                <w:szCs w:val="20"/>
              </w:rPr>
              <w:t>Households</w:t>
            </w:r>
          </w:p>
        </w:tc>
        <w:tc>
          <w:tcPr>
            <w:tcW w:w="1640" w:type="dxa"/>
          </w:tcPr>
          <w:p w14:paraId="7283CF98" w14:textId="77777777" w:rsidR="00CC789D" w:rsidRPr="00897083" w:rsidRDefault="00CC789D" w:rsidP="0014104A">
            <w:pPr>
              <w:keepNext/>
              <w:widowControl w:val="0"/>
              <w:spacing w:line="300" w:lineRule="auto"/>
              <w:jc w:val="center"/>
              <w:rPr>
                <w:rFonts w:ascii="Arial" w:hAnsi="Arial" w:cs="Arial"/>
                <w:iCs/>
                <w:color w:val="FFFFFF" w:themeColor="background1"/>
                <w:sz w:val="20"/>
                <w:szCs w:val="20"/>
              </w:rPr>
            </w:pPr>
            <w:r w:rsidRPr="00897083">
              <w:rPr>
                <w:rFonts w:ascii="Arial" w:hAnsi="Arial" w:cs="Arial"/>
                <w:iCs/>
                <w:color w:val="FFFFFF" w:themeColor="background1"/>
                <w:sz w:val="20"/>
                <w:szCs w:val="20"/>
              </w:rPr>
              <w:t>%</w:t>
            </w:r>
          </w:p>
        </w:tc>
      </w:tr>
      <w:tr w:rsidR="00897083" w:rsidRPr="00897083" w14:paraId="2E69FD8A" w14:textId="77777777" w:rsidTr="00897083">
        <w:trPr>
          <w:jc w:val="center"/>
        </w:trPr>
        <w:tc>
          <w:tcPr>
            <w:tcW w:w="1667" w:type="dxa"/>
          </w:tcPr>
          <w:p w14:paraId="70CE94CA" w14:textId="77777777" w:rsidR="00897083" w:rsidRPr="00172F56" w:rsidRDefault="00897083" w:rsidP="0014104A">
            <w:pPr>
              <w:keepNext/>
              <w:widowControl w:val="0"/>
              <w:autoSpaceDE w:val="0"/>
              <w:autoSpaceDN w:val="0"/>
              <w:adjustRightInd w:val="0"/>
              <w:spacing w:line="300" w:lineRule="auto"/>
              <w:rPr>
                <w:rFonts w:ascii="Arial" w:hAnsi="Arial" w:cs="Arial"/>
                <w:iCs/>
                <w:sz w:val="20"/>
                <w:szCs w:val="20"/>
              </w:rPr>
            </w:pPr>
            <w:r w:rsidRPr="0014104A">
              <w:rPr>
                <w:rFonts w:ascii="Arial" w:hAnsi="Arial" w:cs="Arial"/>
                <w:iCs/>
                <w:sz w:val="20"/>
                <w:szCs w:val="20"/>
              </w:rPr>
              <w:t>1 bedroom</w:t>
            </w:r>
          </w:p>
        </w:tc>
        <w:tc>
          <w:tcPr>
            <w:tcW w:w="1613" w:type="dxa"/>
          </w:tcPr>
          <w:p w14:paraId="402EFD13" w14:textId="06F95C11" w:rsidR="00897083" w:rsidRPr="00897083" w:rsidRDefault="00897083" w:rsidP="0014104A">
            <w:pPr>
              <w:keepNext/>
              <w:spacing w:line="300" w:lineRule="auto"/>
              <w:jc w:val="center"/>
              <w:rPr>
                <w:rFonts w:ascii="Arial" w:hAnsi="Arial" w:cs="Arial"/>
                <w:sz w:val="20"/>
                <w:szCs w:val="20"/>
              </w:rPr>
            </w:pPr>
            <w:r w:rsidRPr="00897083">
              <w:rPr>
                <w:rFonts w:ascii="Arial" w:hAnsi="Arial" w:cs="Arial"/>
                <w:color w:val="000000"/>
                <w:sz w:val="20"/>
                <w:szCs w:val="20"/>
              </w:rPr>
              <w:t>1,405</w:t>
            </w:r>
          </w:p>
        </w:tc>
        <w:tc>
          <w:tcPr>
            <w:tcW w:w="1639" w:type="dxa"/>
          </w:tcPr>
          <w:p w14:paraId="65AF86C2" w14:textId="683808ED" w:rsidR="00897083" w:rsidRPr="00897083" w:rsidRDefault="00897083" w:rsidP="0014104A">
            <w:pPr>
              <w:keepNext/>
              <w:spacing w:line="300" w:lineRule="auto"/>
              <w:jc w:val="center"/>
              <w:rPr>
                <w:rFonts w:ascii="Arial" w:hAnsi="Arial" w:cs="Arial"/>
                <w:sz w:val="20"/>
                <w:szCs w:val="20"/>
              </w:rPr>
            </w:pPr>
            <w:r w:rsidRPr="00897083">
              <w:rPr>
                <w:rFonts w:ascii="Arial" w:hAnsi="Arial" w:cs="Arial"/>
                <w:color w:val="000000"/>
                <w:sz w:val="20"/>
                <w:szCs w:val="20"/>
              </w:rPr>
              <w:t>10.8%</w:t>
            </w:r>
          </w:p>
        </w:tc>
        <w:tc>
          <w:tcPr>
            <w:tcW w:w="1640" w:type="dxa"/>
          </w:tcPr>
          <w:p w14:paraId="19D1BDE9" w14:textId="56E67249" w:rsidR="00897083" w:rsidRPr="00897083" w:rsidRDefault="00897083" w:rsidP="0014104A">
            <w:pPr>
              <w:keepNext/>
              <w:spacing w:line="300" w:lineRule="auto"/>
              <w:jc w:val="center"/>
              <w:rPr>
                <w:rFonts w:ascii="Arial" w:hAnsi="Arial" w:cs="Arial"/>
                <w:sz w:val="20"/>
                <w:szCs w:val="20"/>
              </w:rPr>
            </w:pPr>
            <w:r w:rsidRPr="00897083">
              <w:rPr>
                <w:rFonts w:ascii="Arial" w:hAnsi="Arial" w:cs="Arial"/>
                <w:color w:val="000000"/>
                <w:sz w:val="20"/>
                <w:szCs w:val="20"/>
              </w:rPr>
              <w:t>2,083</w:t>
            </w:r>
          </w:p>
        </w:tc>
        <w:tc>
          <w:tcPr>
            <w:tcW w:w="1640" w:type="dxa"/>
          </w:tcPr>
          <w:p w14:paraId="1E6F49AC" w14:textId="6680F755" w:rsidR="00897083" w:rsidRPr="00897083" w:rsidRDefault="00897083" w:rsidP="0014104A">
            <w:pPr>
              <w:keepNext/>
              <w:spacing w:line="300" w:lineRule="auto"/>
              <w:jc w:val="center"/>
              <w:rPr>
                <w:rFonts w:ascii="Arial" w:hAnsi="Arial" w:cs="Arial"/>
                <w:b/>
                <w:sz w:val="20"/>
                <w:szCs w:val="20"/>
              </w:rPr>
            </w:pPr>
            <w:r w:rsidRPr="00897083">
              <w:rPr>
                <w:rFonts w:ascii="Arial" w:hAnsi="Arial" w:cs="Arial"/>
                <w:color w:val="000000"/>
                <w:sz w:val="20"/>
                <w:szCs w:val="20"/>
              </w:rPr>
              <w:t>8.0%</w:t>
            </w:r>
          </w:p>
        </w:tc>
      </w:tr>
      <w:tr w:rsidR="00897083" w:rsidRPr="00897083" w14:paraId="2E988B56" w14:textId="77777777" w:rsidTr="00897083">
        <w:trPr>
          <w:jc w:val="center"/>
        </w:trPr>
        <w:tc>
          <w:tcPr>
            <w:tcW w:w="1667" w:type="dxa"/>
          </w:tcPr>
          <w:p w14:paraId="3330577F" w14:textId="77777777" w:rsidR="00897083" w:rsidRPr="00172F56" w:rsidRDefault="00897083" w:rsidP="0014104A">
            <w:pPr>
              <w:keepNext/>
              <w:widowControl w:val="0"/>
              <w:autoSpaceDE w:val="0"/>
              <w:autoSpaceDN w:val="0"/>
              <w:adjustRightInd w:val="0"/>
              <w:spacing w:line="300" w:lineRule="auto"/>
              <w:rPr>
                <w:rFonts w:ascii="Arial" w:hAnsi="Arial" w:cs="Arial"/>
                <w:iCs/>
                <w:sz w:val="20"/>
                <w:szCs w:val="20"/>
              </w:rPr>
            </w:pPr>
            <w:r w:rsidRPr="0014104A">
              <w:rPr>
                <w:rFonts w:ascii="Arial" w:hAnsi="Arial" w:cs="Arial"/>
                <w:iCs/>
                <w:sz w:val="20"/>
                <w:szCs w:val="20"/>
              </w:rPr>
              <w:t>2 bedrooms</w:t>
            </w:r>
          </w:p>
        </w:tc>
        <w:tc>
          <w:tcPr>
            <w:tcW w:w="1613" w:type="dxa"/>
          </w:tcPr>
          <w:p w14:paraId="60997E19" w14:textId="3D73ED90" w:rsidR="00897083" w:rsidRPr="00897083" w:rsidRDefault="00897083" w:rsidP="0014104A">
            <w:pPr>
              <w:keepNext/>
              <w:spacing w:line="300" w:lineRule="auto"/>
              <w:jc w:val="center"/>
              <w:rPr>
                <w:rFonts w:ascii="Arial" w:hAnsi="Arial" w:cs="Arial"/>
                <w:sz w:val="20"/>
                <w:szCs w:val="20"/>
              </w:rPr>
            </w:pPr>
            <w:r w:rsidRPr="00897083">
              <w:rPr>
                <w:rFonts w:ascii="Arial" w:hAnsi="Arial" w:cs="Arial"/>
                <w:color w:val="000000"/>
                <w:sz w:val="20"/>
                <w:szCs w:val="20"/>
              </w:rPr>
              <w:t>5,187</w:t>
            </w:r>
          </w:p>
        </w:tc>
        <w:tc>
          <w:tcPr>
            <w:tcW w:w="1639" w:type="dxa"/>
          </w:tcPr>
          <w:p w14:paraId="7B87728D" w14:textId="3C9EAC90" w:rsidR="00897083" w:rsidRPr="00897083" w:rsidRDefault="00897083" w:rsidP="0014104A">
            <w:pPr>
              <w:keepNext/>
              <w:spacing w:line="300" w:lineRule="auto"/>
              <w:jc w:val="center"/>
              <w:rPr>
                <w:rFonts w:ascii="Arial" w:hAnsi="Arial" w:cs="Arial"/>
                <w:sz w:val="20"/>
                <w:szCs w:val="20"/>
              </w:rPr>
            </w:pPr>
            <w:r w:rsidRPr="00897083">
              <w:rPr>
                <w:rFonts w:ascii="Arial" w:hAnsi="Arial" w:cs="Arial"/>
                <w:color w:val="000000"/>
                <w:sz w:val="20"/>
                <w:szCs w:val="20"/>
              </w:rPr>
              <w:t>39.7%</w:t>
            </w:r>
          </w:p>
        </w:tc>
        <w:tc>
          <w:tcPr>
            <w:tcW w:w="1640" w:type="dxa"/>
          </w:tcPr>
          <w:p w14:paraId="16427387" w14:textId="25206457" w:rsidR="00897083" w:rsidRPr="00897083" w:rsidRDefault="00897083" w:rsidP="0014104A">
            <w:pPr>
              <w:keepNext/>
              <w:spacing w:line="300" w:lineRule="auto"/>
              <w:jc w:val="center"/>
              <w:rPr>
                <w:rFonts w:ascii="Arial" w:hAnsi="Arial" w:cs="Arial"/>
                <w:sz w:val="20"/>
                <w:szCs w:val="20"/>
              </w:rPr>
            </w:pPr>
            <w:r w:rsidRPr="00897083">
              <w:rPr>
                <w:rFonts w:ascii="Arial" w:hAnsi="Arial" w:cs="Arial"/>
                <w:color w:val="000000"/>
                <w:sz w:val="20"/>
                <w:szCs w:val="20"/>
              </w:rPr>
              <w:t>6,789</w:t>
            </w:r>
          </w:p>
        </w:tc>
        <w:tc>
          <w:tcPr>
            <w:tcW w:w="1640" w:type="dxa"/>
          </w:tcPr>
          <w:p w14:paraId="0E56AF87" w14:textId="7615721F" w:rsidR="00897083" w:rsidRPr="00897083" w:rsidRDefault="00897083" w:rsidP="0014104A">
            <w:pPr>
              <w:keepNext/>
              <w:spacing w:line="300" w:lineRule="auto"/>
              <w:jc w:val="center"/>
              <w:rPr>
                <w:rFonts w:ascii="Arial" w:hAnsi="Arial" w:cs="Arial"/>
                <w:b/>
                <w:sz w:val="20"/>
                <w:szCs w:val="20"/>
              </w:rPr>
            </w:pPr>
            <w:r w:rsidRPr="00897083">
              <w:rPr>
                <w:rFonts w:ascii="Arial" w:hAnsi="Arial" w:cs="Arial"/>
                <w:color w:val="000000"/>
                <w:sz w:val="20"/>
                <w:szCs w:val="20"/>
              </w:rPr>
              <w:t>26.2%</w:t>
            </w:r>
          </w:p>
        </w:tc>
      </w:tr>
      <w:tr w:rsidR="00897083" w:rsidRPr="00897083" w14:paraId="63AB1277" w14:textId="77777777" w:rsidTr="00897083">
        <w:trPr>
          <w:jc w:val="center"/>
        </w:trPr>
        <w:tc>
          <w:tcPr>
            <w:tcW w:w="1667" w:type="dxa"/>
          </w:tcPr>
          <w:p w14:paraId="2D262C0C" w14:textId="77777777" w:rsidR="00897083" w:rsidRPr="00172F56" w:rsidRDefault="00897083" w:rsidP="0014104A">
            <w:pPr>
              <w:keepNext/>
              <w:widowControl w:val="0"/>
              <w:autoSpaceDE w:val="0"/>
              <w:autoSpaceDN w:val="0"/>
              <w:adjustRightInd w:val="0"/>
              <w:spacing w:line="300" w:lineRule="auto"/>
              <w:rPr>
                <w:rFonts w:ascii="Arial" w:hAnsi="Arial" w:cs="Arial"/>
                <w:iCs/>
                <w:sz w:val="20"/>
                <w:szCs w:val="20"/>
              </w:rPr>
            </w:pPr>
            <w:r w:rsidRPr="0014104A">
              <w:rPr>
                <w:rFonts w:ascii="Arial" w:hAnsi="Arial" w:cs="Arial"/>
                <w:iCs/>
                <w:sz w:val="20"/>
                <w:szCs w:val="20"/>
              </w:rPr>
              <w:t>3 bedrooms</w:t>
            </w:r>
          </w:p>
        </w:tc>
        <w:tc>
          <w:tcPr>
            <w:tcW w:w="1613" w:type="dxa"/>
          </w:tcPr>
          <w:p w14:paraId="2C749EFA" w14:textId="250C87C3" w:rsidR="00897083" w:rsidRPr="00897083" w:rsidRDefault="00897083" w:rsidP="0014104A">
            <w:pPr>
              <w:keepNext/>
              <w:spacing w:line="300" w:lineRule="auto"/>
              <w:jc w:val="center"/>
              <w:rPr>
                <w:rFonts w:ascii="Arial" w:hAnsi="Arial" w:cs="Arial"/>
                <w:sz w:val="20"/>
                <w:szCs w:val="20"/>
              </w:rPr>
            </w:pPr>
            <w:r w:rsidRPr="00897083">
              <w:rPr>
                <w:rFonts w:ascii="Arial" w:hAnsi="Arial" w:cs="Arial"/>
                <w:color w:val="000000"/>
                <w:sz w:val="20"/>
                <w:szCs w:val="20"/>
              </w:rPr>
              <w:t>4,043</w:t>
            </w:r>
          </w:p>
        </w:tc>
        <w:tc>
          <w:tcPr>
            <w:tcW w:w="1639" w:type="dxa"/>
          </w:tcPr>
          <w:p w14:paraId="1103B5C3" w14:textId="42FF0309" w:rsidR="00897083" w:rsidRPr="00897083" w:rsidRDefault="00897083" w:rsidP="0014104A">
            <w:pPr>
              <w:keepNext/>
              <w:spacing w:line="300" w:lineRule="auto"/>
              <w:jc w:val="center"/>
              <w:rPr>
                <w:rFonts w:ascii="Arial" w:hAnsi="Arial" w:cs="Arial"/>
                <w:sz w:val="20"/>
                <w:szCs w:val="20"/>
              </w:rPr>
            </w:pPr>
            <w:r w:rsidRPr="00897083">
              <w:rPr>
                <w:rFonts w:ascii="Arial" w:hAnsi="Arial" w:cs="Arial"/>
                <w:color w:val="000000"/>
                <w:sz w:val="20"/>
                <w:szCs w:val="20"/>
              </w:rPr>
              <w:t>30.9%</w:t>
            </w:r>
          </w:p>
        </w:tc>
        <w:tc>
          <w:tcPr>
            <w:tcW w:w="1640" w:type="dxa"/>
          </w:tcPr>
          <w:p w14:paraId="5660C49E" w14:textId="280ADC89" w:rsidR="00897083" w:rsidRPr="00897083" w:rsidRDefault="00897083" w:rsidP="0014104A">
            <w:pPr>
              <w:keepNext/>
              <w:spacing w:line="300" w:lineRule="auto"/>
              <w:jc w:val="center"/>
              <w:rPr>
                <w:rFonts w:ascii="Arial" w:hAnsi="Arial" w:cs="Arial"/>
                <w:sz w:val="20"/>
                <w:szCs w:val="20"/>
              </w:rPr>
            </w:pPr>
            <w:r w:rsidRPr="00897083">
              <w:rPr>
                <w:rFonts w:ascii="Arial" w:hAnsi="Arial" w:cs="Arial"/>
                <w:color w:val="000000"/>
                <w:sz w:val="20"/>
                <w:szCs w:val="20"/>
              </w:rPr>
              <w:t>10,026</w:t>
            </w:r>
          </w:p>
        </w:tc>
        <w:tc>
          <w:tcPr>
            <w:tcW w:w="1640" w:type="dxa"/>
          </w:tcPr>
          <w:p w14:paraId="5963C5E0" w14:textId="7F531CBE" w:rsidR="00897083" w:rsidRPr="00897083" w:rsidRDefault="00897083" w:rsidP="0014104A">
            <w:pPr>
              <w:keepNext/>
              <w:spacing w:line="300" w:lineRule="auto"/>
              <w:jc w:val="center"/>
              <w:rPr>
                <w:rFonts w:ascii="Arial" w:hAnsi="Arial" w:cs="Arial"/>
                <w:b/>
                <w:sz w:val="20"/>
                <w:szCs w:val="20"/>
              </w:rPr>
            </w:pPr>
            <w:r w:rsidRPr="00897083">
              <w:rPr>
                <w:rFonts w:ascii="Arial" w:hAnsi="Arial" w:cs="Arial"/>
                <w:color w:val="000000"/>
                <w:sz w:val="20"/>
                <w:szCs w:val="20"/>
              </w:rPr>
              <w:t>38.7%</w:t>
            </w:r>
          </w:p>
        </w:tc>
      </w:tr>
      <w:tr w:rsidR="00897083" w:rsidRPr="00897083" w14:paraId="7F8ABFC9" w14:textId="77777777" w:rsidTr="00897083">
        <w:trPr>
          <w:jc w:val="center"/>
        </w:trPr>
        <w:tc>
          <w:tcPr>
            <w:tcW w:w="1667" w:type="dxa"/>
          </w:tcPr>
          <w:p w14:paraId="34F0553E" w14:textId="77777777" w:rsidR="00897083" w:rsidRPr="00172F56" w:rsidRDefault="00897083" w:rsidP="0014104A">
            <w:pPr>
              <w:keepNext/>
              <w:widowControl w:val="0"/>
              <w:autoSpaceDE w:val="0"/>
              <w:autoSpaceDN w:val="0"/>
              <w:adjustRightInd w:val="0"/>
              <w:spacing w:line="300" w:lineRule="auto"/>
              <w:rPr>
                <w:rFonts w:ascii="Arial" w:hAnsi="Arial" w:cs="Arial"/>
                <w:iCs/>
                <w:sz w:val="20"/>
                <w:szCs w:val="20"/>
              </w:rPr>
            </w:pPr>
            <w:r w:rsidRPr="0014104A">
              <w:rPr>
                <w:rFonts w:ascii="Arial" w:hAnsi="Arial" w:cs="Arial"/>
                <w:iCs/>
                <w:sz w:val="20"/>
                <w:szCs w:val="20"/>
              </w:rPr>
              <w:t>4+ bedrooms</w:t>
            </w:r>
          </w:p>
        </w:tc>
        <w:tc>
          <w:tcPr>
            <w:tcW w:w="1613" w:type="dxa"/>
          </w:tcPr>
          <w:p w14:paraId="03030897" w14:textId="592BF244" w:rsidR="00897083" w:rsidRPr="00897083" w:rsidRDefault="00897083" w:rsidP="0014104A">
            <w:pPr>
              <w:keepNext/>
              <w:spacing w:line="300" w:lineRule="auto"/>
              <w:jc w:val="center"/>
              <w:rPr>
                <w:rFonts w:ascii="Arial" w:hAnsi="Arial" w:cs="Arial"/>
                <w:sz w:val="20"/>
                <w:szCs w:val="20"/>
              </w:rPr>
            </w:pPr>
            <w:r w:rsidRPr="00897083">
              <w:rPr>
                <w:rFonts w:ascii="Arial" w:hAnsi="Arial" w:cs="Arial"/>
                <w:color w:val="000000"/>
                <w:sz w:val="20"/>
                <w:szCs w:val="20"/>
              </w:rPr>
              <w:t>2,428</w:t>
            </w:r>
          </w:p>
        </w:tc>
        <w:tc>
          <w:tcPr>
            <w:tcW w:w="1639" w:type="dxa"/>
          </w:tcPr>
          <w:p w14:paraId="266D2CE6" w14:textId="6077F20E" w:rsidR="00897083" w:rsidRPr="00897083" w:rsidRDefault="00897083" w:rsidP="0014104A">
            <w:pPr>
              <w:keepNext/>
              <w:spacing w:line="300" w:lineRule="auto"/>
              <w:jc w:val="center"/>
              <w:rPr>
                <w:rFonts w:ascii="Arial" w:hAnsi="Arial" w:cs="Arial"/>
                <w:sz w:val="20"/>
                <w:szCs w:val="20"/>
              </w:rPr>
            </w:pPr>
            <w:r w:rsidRPr="00897083">
              <w:rPr>
                <w:rFonts w:ascii="Arial" w:hAnsi="Arial" w:cs="Arial"/>
                <w:color w:val="000000"/>
                <w:sz w:val="20"/>
                <w:szCs w:val="20"/>
              </w:rPr>
              <w:t>18.6%</w:t>
            </w:r>
          </w:p>
        </w:tc>
        <w:tc>
          <w:tcPr>
            <w:tcW w:w="1640" w:type="dxa"/>
          </w:tcPr>
          <w:p w14:paraId="45603532" w14:textId="047D7DF3" w:rsidR="00897083" w:rsidRPr="00897083" w:rsidRDefault="00897083" w:rsidP="0014104A">
            <w:pPr>
              <w:keepNext/>
              <w:spacing w:line="300" w:lineRule="auto"/>
              <w:jc w:val="center"/>
              <w:rPr>
                <w:rFonts w:ascii="Arial" w:hAnsi="Arial" w:cs="Arial"/>
                <w:sz w:val="20"/>
                <w:szCs w:val="20"/>
              </w:rPr>
            </w:pPr>
            <w:r w:rsidRPr="00897083">
              <w:rPr>
                <w:rFonts w:ascii="Arial" w:hAnsi="Arial" w:cs="Arial"/>
                <w:color w:val="000000"/>
                <w:sz w:val="20"/>
                <w:szCs w:val="20"/>
              </w:rPr>
              <w:t>7,039</w:t>
            </w:r>
          </w:p>
        </w:tc>
        <w:tc>
          <w:tcPr>
            <w:tcW w:w="1640" w:type="dxa"/>
          </w:tcPr>
          <w:p w14:paraId="16E58E24" w14:textId="36785C44" w:rsidR="00897083" w:rsidRPr="00897083" w:rsidRDefault="00897083" w:rsidP="0014104A">
            <w:pPr>
              <w:keepNext/>
              <w:spacing w:line="300" w:lineRule="auto"/>
              <w:jc w:val="center"/>
              <w:rPr>
                <w:rFonts w:ascii="Arial" w:hAnsi="Arial" w:cs="Arial"/>
                <w:b/>
                <w:sz w:val="20"/>
                <w:szCs w:val="20"/>
              </w:rPr>
            </w:pPr>
            <w:r w:rsidRPr="00897083">
              <w:rPr>
                <w:rFonts w:ascii="Arial" w:hAnsi="Arial" w:cs="Arial"/>
                <w:color w:val="000000"/>
                <w:sz w:val="20"/>
                <w:szCs w:val="20"/>
              </w:rPr>
              <w:t>27.1%</w:t>
            </w:r>
          </w:p>
        </w:tc>
      </w:tr>
      <w:tr w:rsidR="00897083" w:rsidRPr="00897083" w14:paraId="1728EB6C" w14:textId="77777777" w:rsidTr="00897083">
        <w:trPr>
          <w:jc w:val="center"/>
        </w:trPr>
        <w:tc>
          <w:tcPr>
            <w:tcW w:w="1667" w:type="dxa"/>
          </w:tcPr>
          <w:p w14:paraId="08EC7184" w14:textId="77777777" w:rsidR="00897083" w:rsidRPr="00172F56" w:rsidRDefault="00897083" w:rsidP="0014104A">
            <w:pPr>
              <w:keepNext/>
              <w:widowControl w:val="0"/>
              <w:autoSpaceDE w:val="0"/>
              <w:autoSpaceDN w:val="0"/>
              <w:adjustRightInd w:val="0"/>
              <w:spacing w:line="300" w:lineRule="auto"/>
              <w:rPr>
                <w:rFonts w:ascii="Arial" w:hAnsi="Arial" w:cs="Arial"/>
                <w:iCs/>
                <w:sz w:val="20"/>
                <w:szCs w:val="20"/>
              </w:rPr>
            </w:pPr>
            <w:r w:rsidRPr="0014104A">
              <w:rPr>
                <w:rFonts w:ascii="Arial" w:hAnsi="Arial" w:cs="Arial"/>
                <w:iCs/>
                <w:sz w:val="20"/>
                <w:szCs w:val="20"/>
              </w:rPr>
              <w:t>Total</w:t>
            </w:r>
          </w:p>
        </w:tc>
        <w:tc>
          <w:tcPr>
            <w:tcW w:w="1613" w:type="dxa"/>
          </w:tcPr>
          <w:p w14:paraId="71CB9337" w14:textId="22F83DB4" w:rsidR="00897083" w:rsidRPr="00897083" w:rsidRDefault="00897083" w:rsidP="0014104A">
            <w:pPr>
              <w:keepNext/>
              <w:spacing w:line="300" w:lineRule="auto"/>
              <w:jc w:val="center"/>
              <w:rPr>
                <w:rFonts w:ascii="Arial" w:hAnsi="Arial" w:cs="Arial"/>
                <w:b/>
                <w:sz w:val="20"/>
                <w:szCs w:val="20"/>
              </w:rPr>
            </w:pPr>
            <w:r w:rsidRPr="00897083">
              <w:rPr>
                <w:rFonts w:ascii="Arial" w:hAnsi="Arial" w:cs="Arial"/>
                <w:color w:val="000000"/>
                <w:sz w:val="20"/>
                <w:szCs w:val="20"/>
              </w:rPr>
              <w:t>13,063</w:t>
            </w:r>
          </w:p>
        </w:tc>
        <w:tc>
          <w:tcPr>
            <w:tcW w:w="1639" w:type="dxa"/>
          </w:tcPr>
          <w:p w14:paraId="29DBA303" w14:textId="1C9CCE75" w:rsidR="00897083" w:rsidRPr="00897083" w:rsidRDefault="00897083" w:rsidP="0014104A">
            <w:pPr>
              <w:keepNext/>
              <w:spacing w:line="300" w:lineRule="auto"/>
              <w:jc w:val="center"/>
              <w:rPr>
                <w:rFonts w:ascii="Arial" w:hAnsi="Arial" w:cs="Arial"/>
                <w:b/>
                <w:sz w:val="20"/>
                <w:szCs w:val="20"/>
              </w:rPr>
            </w:pPr>
            <w:r w:rsidRPr="00897083">
              <w:rPr>
                <w:rFonts w:ascii="Arial" w:hAnsi="Arial" w:cs="Arial"/>
                <w:color w:val="000000"/>
                <w:sz w:val="20"/>
                <w:szCs w:val="20"/>
              </w:rPr>
              <w:t>100.0%</w:t>
            </w:r>
          </w:p>
        </w:tc>
        <w:tc>
          <w:tcPr>
            <w:tcW w:w="1640" w:type="dxa"/>
          </w:tcPr>
          <w:p w14:paraId="6A0971A5" w14:textId="5F62D902" w:rsidR="00897083" w:rsidRPr="00897083" w:rsidRDefault="00897083" w:rsidP="0014104A">
            <w:pPr>
              <w:keepNext/>
              <w:spacing w:line="300" w:lineRule="auto"/>
              <w:jc w:val="center"/>
              <w:rPr>
                <w:rFonts w:ascii="Arial" w:hAnsi="Arial" w:cs="Arial"/>
                <w:b/>
                <w:sz w:val="20"/>
                <w:szCs w:val="20"/>
              </w:rPr>
            </w:pPr>
            <w:r w:rsidRPr="00897083">
              <w:rPr>
                <w:rFonts w:ascii="Arial" w:hAnsi="Arial" w:cs="Arial"/>
                <w:color w:val="000000"/>
                <w:sz w:val="20"/>
                <w:szCs w:val="20"/>
              </w:rPr>
              <w:t>25,937</w:t>
            </w:r>
          </w:p>
        </w:tc>
        <w:tc>
          <w:tcPr>
            <w:tcW w:w="1640" w:type="dxa"/>
          </w:tcPr>
          <w:p w14:paraId="0759B2B1" w14:textId="2BF691F7" w:rsidR="00897083" w:rsidRPr="00897083" w:rsidRDefault="00897083" w:rsidP="0014104A">
            <w:pPr>
              <w:keepNext/>
              <w:spacing w:line="300" w:lineRule="auto"/>
              <w:jc w:val="center"/>
              <w:rPr>
                <w:rFonts w:ascii="Arial" w:hAnsi="Arial" w:cs="Arial"/>
                <w:b/>
                <w:sz w:val="20"/>
                <w:szCs w:val="20"/>
              </w:rPr>
            </w:pPr>
            <w:r w:rsidRPr="00897083">
              <w:rPr>
                <w:rFonts w:ascii="Arial" w:hAnsi="Arial" w:cs="Arial"/>
                <w:color w:val="000000"/>
                <w:sz w:val="20"/>
                <w:szCs w:val="20"/>
              </w:rPr>
              <w:t>100.0%</w:t>
            </w:r>
          </w:p>
        </w:tc>
      </w:tr>
    </w:tbl>
    <w:p w14:paraId="17DC4DC7" w14:textId="0D1C7911" w:rsidR="00CC789D" w:rsidRPr="00E12B61"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546D0A41" w14:textId="77777777" w:rsidR="00BC6C4D" w:rsidRDefault="00BC6C4D" w:rsidP="00172F56">
      <w:pPr>
        <w:pStyle w:val="Reporttext0"/>
        <w:keepLines w:val="0"/>
        <w:widowControl w:val="0"/>
        <w:numPr>
          <w:ilvl w:val="0"/>
          <w:numId w:val="0"/>
        </w:numPr>
        <w:spacing w:line="300" w:lineRule="auto"/>
        <w:ind w:left="720" w:hanging="720"/>
        <w:jc w:val="both"/>
        <w:rPr>
          <w:rFonts w:ascii="Arial" w:hAnsi="Arial" w:cs="Arial"/>
          <w:iCs/>
          <w:sz w:val="20"/>
        </w:rPr>
      </w:pPr>
    </w:p>
    <w:p w14:paraId="1D5A1B2C" w14:textId="16778EE0" w:rsidR="00CC789D" w:rsidRPr="00BC6C4D" w:rsidRDefault="00CC789D">
      <w:pPr>
        <w:pStyle w:val="11Bodytext"/>
        <w:numPr>
          <w:ilvl w:val="1"/>
          <w:numId w:val="65"/>
        </w:numPr>
        <w:spacing w:before="0" w:after="0" w:line="300" w:lineRule="auto"/>
        <w:ind w:left="720" w:hanging="720"/>
        <w:rPr>
          <w:color w:val="auto"/>
        </w:rPr>
      </w:pPr>
      <w:r w:rsidRPr="00E12B61">
        <w:t xml:space="preserve">This information can be further broken down by tenure (for older person households) and this is shown in </w:t>
      </w:r>
      <w:r w:rsidR="00BC6C4D">
        <w:t>the t</w:t>
      </w:r>
      <w:r w:rsidRPr="00E12B61">
        <w:t xml:space="preserve">able below. The table indicates that whilst the majority of large (three or more bedrooms) properties are in the owner-occupied sector, there are also around </w:t>
      </w:r>
      <w:r w:rsidR="00BC6C4D">
        <w:t>86</w:t>
      </w:r>
      <w:r w:rsidRPr="00E12B61">
        <w:t xml:space="preserve"> dwellings in the social rented sector which may therefore present some opportunity to reduce under-occupation.</w:t>
      </w:r>
    </w:p>
    <w:p w14:paraId="644A5C74" w14:textId="77777777" w:rsidR="00BC6C4D" w:rsidRPr="00E12B61" w:rsidRDefault="00BC6C4D" w:rsidP="0033047F">
      <w:pPr>
        <w:pStyle w:val="11Bodytext"/>
        <w:numPr>
          <w:ilvl w:val="0"/>
          <w:numId w:val="0"/>
        </w:numPr>
        <w:spacing w:before="0" w:after="0" w:line="300" w:lineRule="auto"/>
      </w:pPr>
    </w:p>
    <w:tbl>
      <w:tblPr>
        <w:tblStyle w:val="TableTheme"/>
        <w:tblW w:w="8199" w:type="dxa"/>
        <w:jc w:val="center"/>
        <w:tblLayout w:type="fixed"/>
        <w:tblLook w:val="01E0" w:firstRow="1" w:lastRow="1" w:firstColumn="1" w:lastColumn="1" w:noHBand="0" w:noVBand="0"/>
      </w:tblPr>
      <w:tblGrid>
        <w:gridCol w:w="3241"/>
        <w:gridCol w:w="991"/>
        <w:gridCol w:w="992"/>
        <w:gridCol w:w="991"/>
        <w:gridCol w:w="992"/>
        <w:gridCol w:w="992"/>
      </w:tblGrid>
      <w:tr w:rsidR="00BC6C4D" w:rsidRPr="00BC6C4D" w14:paraId="4E5FEE95" w14:textId="77777777" w:rsidTr="00BC6C4D">
        <w:trPr>
          <w:jc w:val="center"/>
        </w:trPr>
        <w:tc>
          <w:tcPr>
            <w:tcW w:w="8199" w:type="dxa"/>
            <w:gridSpan w:val="6"/>
          </w:tcPr>
          <w:p w14:paraId="601CDD3A" w14:textId="7F803A44" w:rsidR="00BC6C4D" w:rsidRPr="00BC6C4D" w:rsidRDefault="00BC6C4D" w:rsidP="0014104A">
            <w:pPr>
              <w:keepNext/>
              <w:widowControl w:val="0"/>
              <w:spacing w:before="60" w:after="60" w:line="300" w:lineRule="auto"/>
              <w:jc w:val="center"/>
              <w:rPr>
                <w:rFonts w:ascii="Arial" w:hAnsi="Arial" w:cs="Arial"/>
                <w:b/>
                <w:bCs/>
                <w:iCs/>
                <w:sz w:val="20"/>
                <w:szCs w:val="20"/>
              </w:rPr>
            </w:pPr>
            <w:r w:rsidRPr="00BC6C4D">
              <w:rPr>
                <w:rFonts w:ascii="Arial" w:hAnsi="Arial" w:cs="Arial"/>
                <w:b/>
                <w:bCs/>
                <w:iCs/>
                <w:sz w:val="20"/>
                <w:szCs w:val="20"/>
              </w:rPr>
              <w:t>Figure 6.</w:t>
            </w:r>
            <w:r w:rsidR="00AD29A6">
              <w:rPr>
                <w:rFonts w:ascii="Arial" w:hAnsi="Arial" w:cs="Arial"/>
                <w:b/>
                <w:bCs/>
                <w:iCs/>
                <w:sz w:val="20"/>
                <w:szCs w:val="20"/>
              </w:rPr>
              <w:t>13</w:t>
            </w:r>
            <w:r w:rsidRPr="00BC6C4D">
              <w:rPr>
                <w:rFonts w:ascii="Arial" w:hAnsi="Arial" w:cs="Arial"/>
                <w:b/>
                <w:bCs/>
                <w:iCs/>
                <w:sz w:val="20"/>
                <w:szCs w:val="20"/>
              </w:rPr>
              <w:t xml:space="preserve">: </w:t>
            </w:r>
            <w:bookmarkStart w:id="66" w:name="_Toc372039103"/>
            <w:r w:rsidRPr="00BC6C4D">
              <w:rPr>
                <w:rFonts w:ascii="Arial" w:hAnsi="Arial" w:cs="Arial"/>
                <w:b/>
                <w:bCs/>
                <w:sz w:val="20"/>
                <w:szCs w:val="20"/>
              </w:rPr>
              <w:t>Older person Only Households - Size of Accommodation and Tenure</w:t>
            </w:r>
            <w:bookmarkEnd w:id="66"/>
          </w:p>
        </w:tc>
      </w:tr>
      <w:tr w:rsidR="00CC789D" w:rsidRPr="00E12B61" w14:paraId="0FECCC4C" w14:textId="77777777" w:rsidTr="00BC6C4D">
        <w:trPr>
          <w:jc w:val="center"/>
        </w:trPr>
        <w:tc>
          <w:tcPr>
            <w:tcW w:w="3241" w:type="dxa"/>
            <w:vMerge w:val="restart"/>
          </w:tcPr>
          <w:p w14:paraId="06836070" w14:textId="77777777" w:rsidR="00CC789D" w:rsidRPr="00BC6C4D" w:rsidRDefault="00CC789D" w:rsidP="0014104A">
            <w:pPr>
              <w:keepNext/>
              <w:widowControl w:val="0"/>
              <w:spacing w:line="300" w:lineRule="auto"/>
              <w:rPr>
                <w:rFonts w:ascii="Arial" w:hAnsi="Arial" w:cs="Arial"/>
                <w:iCs/>
                <w:sz w:val="20"/>
                <w:szCs w:val="20"/>
              </w:rPr>
            </w:pPr>
            <w:r w:rsidRPr="00BC6C4D">
              <w:rPr>
                <w:rFonts w:ascii="Arial" w:hAnsi="Arial" w:cs="Arial"/>
                <w:iCs/>
                <w:sz w:val="20"/>
                <w:szCs w:val="20"/>
              </w:rPr>
              <w:t>Tenure</w:t>
            </w:r>
          </w:p>
        </w:tc>
        <w:tc>
          <w:tcPr>
            <w:tcW w:w="4958" w:type="dxa"/>
            <w:gridSpan w:val="5"/>
          </w:tcPr>
          <w:p w14:paraId="79175A36" w14:textId="637D1028" w:rsidR="00CC789D" w:rsidRPr="00BC6C4D" w:rsidRDefault="004F6444" w:rsidP="0014104A">
            <w:pPr>
              <w:keepNext/>
              <w:widowControl w:val="0"/>
              <w:spacing w:line="300" w:lineRule="auto"/>
              <w:jc w:val="center"/>
              <w:rPr>
                <w:rFonts w:ascii="Arial" w:hAnsi="Arial" w:cs="Arial"/>
                <w:sz w:val="20"/>
                <w:szCs w:val="20"/>
              </w:rPr>
            </w:pPr>
            <w:r>
              <w:rPr>
                <w:rFonts w:ascii="Arial" w:hAnsi="Arial" w:cs="Arial"/>
                <w:iCs/>
                <w:sz w:val="20"/>
                <w:szCs w:val="20"/>
              </w:rPr>
              <w:t>Number of bedrooms</w:t>
            </w:r>
          </w:p>
        </w:tc>
      </w:tr>
      <w:tr w:rsidR="00CC789D" w:rsidRPr="00E12B61" w14:paraId="72A9D418" w14:textId="77777777" w:rsidTr="00BC6C4D">
        <w:trPr>
          <w:jc w:val="center"/>
        </w:trPr>
        <w:tc>
          <w:tcPr>
            <w:tcW w:w="3241" w:type="dxa"/>
            <w:vMerge/>
          </w:tcPr>
          <w:p w14:paraId="0A662AB2" w14:textId="77777777" w:rsidR="00CC789D" w:rsidRPr="00BC6C4D" w:rsidRDefault="00CC789D" w:rsidP="0014104A">
            <w:pPr>
              <w:keepNext/>
              <w:widowControl w:val="0"/>
              <w:spacing w:line="300" w:lineRule="auto"/>
              <w:rPr>
                <w:rFonts w:ascii="Arial" w:hAnsi="Arial" w:cs="Arial"/>
                <w:iCs/>
                <w:color w:val="FFFFFF" w:themeColor="background1"/>
                <w:sz w:val="20"/>
                <w:szCs w:val="20"/>
              </w:rPr>
            </w:pPr>
          </w:p>
        </w:tc>
        <w:tc>
          <w:tcPr>
            <w:tcW w:w="991" w:type="dxa"/>
          </w:tcPr>
          <w:p w14:paraId="0C80B327" w14:textId="4FE1C810" w:rsidR="00CC789D" w:rsidRPr="00172F56" w:rsidRDefault="00CC789D" w:rsidP="0014104A">
            <w:pPr>
              <w:keepNext/>
              <w:widowControl w:val="0"/>
              <w:spacing w:line="300" w:lineRule="auto"/>
              <w:jc w:val="center"/>
              <w:rPr>
                <w:rFonts w:ascii="Arial" w:hAnsi="Arial" w:cs="Arial"/>
                <w:bCs/>
                <w:iCs/>
                <w:sz w:val="20"/>
                <w:szCs w:val="20"/>
              </w:rPr>
            </w:pPr>
            <w:r w:rsidRPr="00172F56">
              <w:rPr>
                <w:rFonts w:ascii="Arial" w:hAnsi="Arial" w:cs="Arial"/>
                <w:bCs/>
                <w:iCs/>
                <w:sz w:val="20"/>
                <w:szCs w:val="20"/>
              </w:rPr>
              <w:t xml:space="preserve">1 </w:t>
            </w:r>
          </w:p>
        </w:tc>
        <w:tc>
          <w:tcPr>
            <w:tcW w:w="992" w:type="dxa"/>
          </w:tcPr>
          <w:p w14:paraId="40659365" w14:textId="23C4FF7B" w:rsidR="00CC789D" w:rsidRPr="00172F56" w:rsidRDefault="00CC789D" w:rsidP="0014104A">
            <w:pPr>
              <w:keepNext/>
              <w:widowControl w:val="0"/>
              <w:spacing w:line="300" w:lineRule="auto"/>
              <w:jc w:val="center"/>
              <w:rPr>
                <w:rFonts w:ascii="Arial" w:hAnsi="Arial" w:cs="Arial"/>
                <w:bCs/>
                <w:iCs/>
                <w:sz w:val="20"/>
                <w:szCs w:val="20"/>
              </w:rPr>
            </w:pPr>
            <w:r w:rsidRPr="00172F56">
              <w:rPr>
                <w:rFonts w:ascii="Arial" w:hAnsi="Arial" w:cs="Arial"/>
                <w:bCs/>
                <w:iCs/>
                <w:sz w:val="20"/>
                <w:szCs w:val="20"/>
              </w:rPr>
              <w:t xml:space="preserve">2 </w:t>
            </w:r>
          </w:p>
        </w:tc>
        <w:tc>
          <w:tcPr>
            <w:tcW w:w="991" w:type="dxa"/>
          </w:tcPr>
          <w:p w14:paraId="13D45453" w14:textId="5789DA37" w:rsidR="00CC789D" w:rsidRPr="00172F56" w:rsidRDefault="00CC789D" w:rsidP="0014104A">
            <w:pPr>
              <w:keepNext/>
              <w:widowControl w:val="0"/>
              <w:spacing w:line="300" w:lineRule="auto"/>
              <w:jc w:val="center"/>
              <w:rPr>
                <w:rFonts w:ascii="Arial" w:hAnsi="Arial" w:cs="Arial"/>
                <w:bCs/>
                <w:iCs/>
                <w:sz w:val="20"/>
                <w:szCs w:val="20"/>
              </w:rPr>
            </w:pPr>
            <w:r w:rsidRPr="00172F56">
              <w:rPr>
                <w:rFonts w:ascii="Arial" w:hAnsi="Arial" w:cs="Arial"/>
                <w:bCs/>
                <w:iCs/>
                <w:sz w:val="20"/>
                <w:szCs w:val="20"/>
              </w:rPr>
              <w:t xml:space="preserve">3 </w:t>
            </w:r>
          </w:p>
        </w:tc>
        <w:tc>
          <w:tcPr>
            <w:tcW w:w="992" w:type="dxa"/>
          </w:tcPr>
          <w:p w14:paraId="53B3A455" w14:textId="5E854339" w:rsidR="00CC789D" w:rsidRPr="00172F56" w:rsidRDefault="00CC789D" w:rsidP="0014104A">
            <w:pPr>
              <w:keepNext/>
              <w:widowControl w:val="0"/>
              <w:spacing w:line="300" w:lineRule="auto"/>
              <w:jc w:val="center"/>
              <w:rPr>
                <w:rFonts w:ascii="Arial" w:hAnsi="Arial" w:cs="Arial"/>
                <w:bCs/>
                <w:iCs/>
                <w:sz w:val="20"/>
                <w:szCs w:val="20"/>
              </w:rPr>
            </w:pPr>
            <w:r w:rsidRPr="00172F56">
              <w:rPr>
                <w:rFonts w:ascii="Arial" w:hAnsi="Arial" w:cs="Arial"/>
                <w:bCs/>
                <w:iCs/>
                <w:sz w:val="20"/>
                <w:szCs w:val="20"/>
              </w:rPr>
              <w:t xml:space="preserve">4+ </w:t>
            </w:r>
          </w:p>
        </w:tc>
        <w:tc>
          <w:tcPr>
            <w:tcW w:w="992" w:type="dxa"/>
          </w:tcPr>
          <w:p w14:paraId="2DB422DA" w14:textId="77777777" w:rsidR="00CC789D" w:rsidRPr="00172F56" w:rsidRDefault="00CC789D" w:rsidP="0014104A">
            <w:pPr>
              <w:keepNext/>
              <w:widowControl w:val="0"/>
              <w:spacing w:line="300" w:lineRule="auto"/>
              <w:jc w:val="center"/>
              <w:rPr>
                <w:rFonts w:ascii="Arial" w:hAnsi="Arial" w:cs="Arial"/>
                <w:iCs/>
                <w:sz w:val="20"/>
                <w:szCs w:val="20"/>
              </w:rPr>
            </w:pPr>
            <w:r w:rsidRPr="00172F56">
              <w:rPr>
                <w:rFonts w:ascii="Arial" w:hAnsi="Arial" w:cs="Arial"/>
                <w:iCs/>
                <w:sz w:val="20"/>
                <w:szCs w:val="20"/>
              </w:rPr>
              <w:t>TOTAL</w:t>
            </w:r>
          </w:p>
        </w:tc>
      </w:tr>
      <w:tr w:rsidR="00BC6C4D" w:rsidRPr="00E12B61" w14:paraId="5E2FC8F1" w14:textId="77777777" w:rsidTr="00BC6C4D">
        <w:trPr>
          <w:jc w:val="center"/>
        </w:trPr>
        <w:tc>
          <w:tcPr>
            <w:tcW w:w="3241" w:type="dxa"/>
          </w:tcPr>
          <w:p w14:paraId="783A80D2" w14:textId="77777777" w:rsidR="00BC6C4D" w:rsidRPr="00BC6C4D" w:rsidRDefault="00BC6C4D" w:rsidP="0014104A">
            <w:pPr>
              <w:keepNext/>
              <w:widowControl w:val="0"/>
              <w:spacing w:line="300" w:lineRule="auto"/>
              <w:rPr>
                <w:rFonts w:ascii="Arial" w:hAnsi="Arial" w:cs="Arial"/>
                <w:b/>
                <w:iCs/>
                <w:sz w:val="20"/>
                <w:szCs w:val="20"/>
              </w:rPr>
            </w:pPr>
            <w:r w:rsidRPr="00BC6C4D">
              <w:rPr>
                <w:rFonts w:ascii="Arial" w:hAnsi="Arial" w:cs="Arial"/>
                <w:iCs/>
                <w:sz w:val="20"/>
                <w:szCs w:val="20"/>
              </w:rPr>
              <w:t>Owner-occupied (no mortgage)</w:t>
            </w:r>
          </w:p>
        </w:tc>
        <w:tc>
          <w:tcPr>
            <w:tcW w:w="991" w:type="dxa"/>
          </w:tcPr>
          <w:p w14:paraId="776CEBE6" w14:textId="5F8B7C15"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374</w:t>
            </w:r>
          </w:p>
        </w:tc>
        <w:tc>
          <w:tcPr>
            <w:tcW w:w="992" w:type="dxa"/>
          </w:tcPr>
          <w:p w14:paraId="28A2E140" w14:textId="54571B10"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3,793</w:t>
            </w:r>
          </w:p>
        </w:tc>
        <w:tc>
          <w:tcPr>
            <w:tcW w:w="991" w:type="dxa"/>
          </w:tcPr>
          <w:p w14:paraId="0BA8101F" w14:textId="6364DFE9"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3,552</w:t>
            </w:r>
          </w:p>
        </w:tc>
        <w:tc>
          <w:tcPr>
            <w:tcW w:w="992" w:type="dxa"/>
          </w:tcPr>
          <w:p w14:paraId="497F2DC2" w14:textId="78D775A7"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2,254</w:t>
            </w:r>
          </w:p>
        </w:tc>
        <w:tc>
          <w:tcPr>
            <w:tcW w:w="992" w:type="dxa"/>
          </w:tcPr>
          <w:p w14:paraId="2F0B43AB" w14:textId="5893FD2C" w:rsidR="00BC6C4D" w:rsidRPr="00BC6C4D" w:rsidRDefault="00BC6C4D" w:rsidP="0014104A">
            <w:pPr>
              <w:keepNext/>
              <w:spacing w:line="300" w:lineRule="auto"/>
              <w:jc w:val="center"/>
              <w:rPr>
                <w:rFonts w:ascii="Arial" w:hAnsi="Arial" w:cs="Arial"/>
                <w:b/>
                <w:sz w:val="20"/>
                <w:szCs w:val="20"/>
              </w:rPr>
            </w:pPr>
            <w:r w:rsidRPr="00BC6C4D">
              <w:rPr>
                <w:rFonts w:ascii="Arial" w:hAnsi="Arial" w:cs="Arial"/>
                <w:color w:val="000000"/>
                <w:sz w:val="20"/>
                <w:szCs w:val="20"/>
              </w:rPr>
              <w:t>9,973</w:t>
            </w:r>
          </w:p>
        </w:tc>
      </w:tr>
      <w:tr w:rsidR="00BC6C4D" w:rsidRPr="00E12B61" w14:paraId="56CAF4D0" w14:textId="77777777" w:rsidTr="00BC6C4D">
        <w:trPr>
          <w:jc w:val="center"/>
        </w:trPr>
        <w:tc>
          <w:tcPr>
            <w:tcW w:w="3241" w:type="dxa"/>
          </w:tcPr>
          <w:p w14:paraId="6A3CACE0" w14:textId="77777777" w:rsidR="00BC6C4D" w:rsidRPr="00BC6C4D" w:rsidRDefault="00BC6C4D" w:rsidP="0014104A">
            <w:pPr>
              <w:keepNext/>
              <w:widowControl w:val="0"/>
              <w:spacing w:line="300" w:lineRule="auto"/>
              <w:rPr>
                <w:rFonts w:ascii="Arial" w:hAnsi="Arial" w:cs="Arial"/>
                <w:b/>
                <w:iCs/>
                <w:sz w:val="20"/>
                <w:szCs w:val="20"/>
              </w:rPr>
            </w:pPr>
            <w:r w:rsidRPr="00BC6C4D">
              <w:rPr>
                <w:rFonts w:ascii="Arial" w:hAnsi="Arial" w:cs="Arial"/>
                <w:iCs/>
                <w:sz w:val="20"/>
                <w:szCs w:val="20"/>
              </w:rPr>
              <w:t>Owner-occupied (with mortgage)</w:t>
            </w:r>
          </w:p>
        </w:tc>
        <w:tc>
          <w:tcPr>
            <w:tcW w:w="991" w:type="dxa"/>
          </w:tcPr>
          <w:p w14:paraId="34C0F9B9" w14:textId="65701D26"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32</w:t>
            </w:r>
          </w:p>
        </w:tc>
        <w:tc>
          <w:tcPr>
            <w:tcW w:w="992" w:type="dxa"/>
          </w:tcPr>
          <w:p w14:paraId="6A38FAB5" w14:textId="42ED61D5"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199</w:t>
            </w:r>
          </w:p>
        </w:tc>
        <w:tc>
          <w:tcPr>
            <w:tcW w:w="991" w:type="dxa"/>
          </w:tcPr>
          <w:p w14:paraId="26F6DD0E" w14:textId="4B5B729A"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239</w:t>
            </w:r>
          </w:p>
        </w:tc>
        <w:tc>
          <w:tcPr>
            <w:tcW w:w="992" w:type="dxa"/>
          </w:tcPr>
          <w:p w14:paraId="678B19C1" w14:textId="0925C2A4"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152</w:t>
            </w:r>
          </w:p>
        </w:tc>
        <w:tc>
          <w:tcPr>
            <w:tcW w:w="992" w:type="dxa"/>
          </w:tcPr>
          <w:p w14:paraId="5E67FFBE" w14:textId="4FB4E8B8" w:rsidR="00BC6C4D" w:rsidRPr="00BC6C4D" w:rsidRDefault="00BC6C4D" w:rsidP="0014104A">
            <w:pPr>
              <w:keepNext/>
              <w:spacing w:line="300" w:lineRule="auto"/>
              <w:jc w:val="center"/>
              <w:rPr>
                <w:rFonts w:ascii="Arial" w:hAnsi="Arial" w:cs="Arial"/>
                <w:b/>
                <w:sz w:val="20"/>
                <w:szCs w:val="20"/>
              </w:rPr>
            </w:pPr>
            <w:r w:rsidRPr="00BC6C4D">
              <w:rPr>
                <w:rFonts w:ascii="Arial" w:hAnsi="Arial" w:cs="Arial"/>
                <w:color w:val="000000"/>
                <w:sz w:val="20"/>
                <w:szCs w:val="20"/>
              </w:rPr>
              <w:t>621</w:t>
            </w:r>
          </w:p>
        </w:tc>
      </w:tr>
      <w:tr w:rsidR="00BC6C4D" w:rsidRPr="00E12B61" w14:paraId="41608081" w14:textId="77777777" w:rsidTr="00BC6C4D">
        <w:trPr>
          <w:jc w:val="center"/>
        </w:trPr>
        <w:tc>
          <w:tcPr>
            <w:tcW w:w="3241" w:type="dxa"/>
          </w:tcPr>
          <w:p w14:paraId="431EB2C5" w14:textId="77777777" w:rsidR="00BC6C4D" w:rsidRPr="00BC6C4D" w:rsidRDefault="00BC6C4D" w:rsidP="0014104A">
            <w:pPr>
              <w:keepNext/>
              <w:widowControl w:val="0"/>
              <w:spacing w:line="300" w:lineRule="auto"/>
              <w:rPr>
                <w:rFonts w:ascii="Arial" w:hAnsi="Arial" w:cs="Arial"/>
                <w:b/>
                <w:iCs/>
                <w:sz w:val="20"/>
                <w:szCs w:val="20"/>
              </w:rPr>
            </w:pPr>
            <w:r w:rsidRPr="00BC6C4D">
              <w:rPr>
                <w:rFonts w:ascii="Arial" w:hAnsi="Arial" w:cs="Arial"/>
                <w:iCs/>
                <w:sz w:val="20"/>
                <w:szCs w:val="20"/>
              </w:rPr>
              <w:t>Social rented</w:t>
            </w:r>
          </w:p>
        </w:tc>
        <w:tc>
          <w:tcPr>
            <w:tcW w:w="991" w:type="dxa"/>
          </w:tcPr>
          <w:p w14:paraId="0BBCF5ED" w14:textId="3661218A"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474</w:t>
            </w:r>
          </w:p>
        </w:tc>
        <w:tc>
          <w:tcPr>
            <w:tcW w:w="992" w:type="dxa"/>
          </w:tcPr>
          <w:p w14:paraId="6B334E13" w14:textId="74BFB082"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414</w:t>
            </w:r>
          </w:p>
        </w:tc>
        <w:tc>
          <w:tcPr>
            <w:tcW w:w="991" w:type="dxa"/>
          </w:tcPr>
          <w:p w14:paraId="2A472BF6" w14:textId="470D732D"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86</w:t>
            </w:r>
          </w:p>
        </w:tc>
        <w:tc>
          <w:tcPr>
            <w:tcW w:w="992" w:type="dxa"/>
          </w:tcPr>
          <w:p w14:paraId="076E35FE" w14:textId="5B97E45F"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0</w:t>
            </w:r>
          </w:p>
        </w:tc>
        <w:tc>
          <w:tcPr>
            <w:tcW w:w="992" w:type="dxa"/>
          </w:tcPr>
          <w:p w14:paraId="2A19F88A" w14:textId="23834818" w:rsidR="00BC6C4D" w:rsidRPr="00BC6C4D" w:rsidRDefault="00BC6C4D" w:rsidP="0014104A">
            <w:pPr>
              <w:keepNext/>
              <w:spacing w:line="300" w:lineRule="auto"/>
              <w:jc w:val="center"/>
              <w:rPr>
                <w:rFonts w:ascii="Arial" w:hAnsi="Arial" w:cs="Arial"/>
                <w:b/>
                <w:sz w:val="20"/>
                <w:szCs w:val="20"/>
              </w:rPr>
            </w:pPr>
            <w:r w:rsidRPr="00BC6C4D">
              <w:rPr>
                <w:rFonts w:ascii="Arial" w:hAnsi="Arial" w:cs="Arial"/>
                <w:color w:val="000000"/>
                <w:sz w:val="20"/>
                <w:szCs w:val="20"/>
              </w:rPr>
              <w:t>974</w:t>
            </w:r>
          </w:p>
        </w:tc>
      </w:tr>
      <w:tr w:rsidR="00BC6C4D" w:rsidRPr="00E12B61" w14:paraId="40037021" w14:textId="77777777" w:rsidTr="00BC6C4D">
        <w:trPr>
          <w:jc w:val="center"/>
        </w:trPr>
        <w:tc>
          <w:tcPr>
            <w:tcW w:w="3241" w:type="dxa"/>
          </w:tcPr>
          <w:p w14:paraId="2E2E9B72" w14:textId="77777777" w:rsidR="00BC6C4D" w:rsidRPr="00BC6C4D" w:rsidRDefault="00BC6C4D" w:rsidP="0014104A">
            <w:pPr>
              <w:keepNext/>
              <w:widowControl w:val="0"/>
              <w:spacing w:line="300" w:lineRule="auto"/>
              <w:rPr>
                <w:rFonts w:ascii="Arial" w:hAnsi="Arial" w:cs="Arial"/>
                <w:b/>
                <w:iCs/>
                <w:sz w:val="20"/>
                <w:szCs w:val="20"/>
              </w:rPr>
            </w:pPr>
            <w:r w:rsidRPr="00BC6C4D">
              <w:rPr>
                <w:rFonts w:ascii="Arial" w:hAnsi="Arial" w:cs="Arial"/>
                <w:iCs/>
                <w:sz w:val="20"/>
                <w:szCs w:val="20"/>
              </w:rPr>
              <w:t>Private rented</w:t>
            </w:r>
          </w:p>
        </w:tc>
        <w:tc>
          <w:tcPr>
            <w:tcW w:w="991" w:type="dxa"/>
          </w:tcPr>
          <w:p w14:paraId="4D0E424C" w14:textId="622FEC13"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526</w:t>
            </w:r>
          </w:p>
        </w:tc>
        <w:tc>
          <w:tcPr>
            <w:tcW w:w="992" w:type="dxa"/>
          </w:tcPr>
          <w:p w14:paraId="37124E4D" w14:textId="544A1C7C"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782</w:t>
            </w:r>
          </w:p>
        </w:tc>
        <w:tc>
          <w:tcPr>
            <w:tcW w:w="991" w:type="dxa"/>
          </w:tcPr>
          <w:p w14:paraId="5452C101" w14:textId="68458E15"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165</w:t>
            </w:r>
          </w:p>
        </w:tc>
        <w:tc>
          <w:tcPr>
            <w:tcW w:w="992" w:type="dxa"/>
          </w:tcPr>
          <w:p w14:paraId="05C325D3" w14:textId="7F9330B4" w:rsidR="00BC6C4D" w:rsidRPr="00BC6C4D" w:rsidRDefault="00BC6C4D" w:rsidP="0014104A">
            <w:pPr>
              <w:keepNext/>
              <w:spacing w:line="300" w:lineRule="auto"/>
              <w:jc w:val="center"/>
              <w:rPr>
                <w:rFonts w:ascii="Arial" w:hAnsi="Arial" w:cs="Arial"/>
                <w:sz w:val="20"/>
                <w:szCs w:val="20"/>
              </w:rPr>
            </w:pPr>
            <w:r w:rsidRPr="00BC6C4D">
              <w:rPr>
                <w:rFonts w:ascii="Arial" w:hAnsi="Arial" w:cs="Arial"/>
                <w:color w:val="000000"/>
                <w:sz w:val="20"/>
                <w:szCs w:val="20"/>
              </w:rPr>
              <w:t>22</w:t>
            </w:r>
          </w:p>
        </w:tc>
        <w:tc>
          <w:tcPr>
            <w:tcW w:w="992" w:type="dxa"/>
          </w:tcPr>
          <w:p w14:paraId="2A8EB6B1" w14:textId="0BCB078A" w:rsidR="00BC6C4D" w:rsidRPr="00BC6C4D" w:rsidRDefault="00BC6C4D" w:rsidP="0014104A">
            <w:pPr>
              <w:keepNext/>
              <w:spacing w:line="300" w:lineRule="auto"/>
              <w:jc w:val="center"/>
              <w:rPr>
                <w:rFonts w:ascii="Arial" w:hAnsi="Arial" w:cs="Arial"/>
                <w:b/>
                <w:sz w:val="20"/>
                <w:szCs w:val="20"/>
              </w:rPr>
            </w:pPr>
            <w:r w:rsidRPr="00BC6C4D">
              <w:rPr>
                <w:rFonts w:ascii="Arial" w:hAnsi="Arial" w:cs="Arial"/>
                <w:color w:val="000000"/>
                <w:sz w:val="20"/>
                <w:szCs w:val="20"/>
              </w:rPr>
              <w:t>1,495</w:t>
            </w:r>
          </w:p>
        </w:tc>
      </w:tr>
      <w:tr w:rsidR="00BC6C4D" w:rsidRPr="00E12B61" w14:paraId="32FFA1F1" w14:textId="77777777" w:rsidTr="00BC6C4D">
        <w:trPr>
          <w:jc w:val="center"/>
        </w:trPr>
        <w:tc>
          <w:tcPr>
            <w:tcW w:w="3241" w:type="dxa"/>
          </w:tcPr>
          <w:p w14:paraId="5EF174EF" w14:textId="77777777" w:rsidR="00BC6C4D" w:rsidRPr="00BC6C4D" w:rsidRDefault="00BC6C4D" w:rsidP="0014104A">
            <w:pPr>
              <w:keepNext/>
              <w:widowControl w:val="0"/>
              <w:spacing w:line="300" w:lineRule="auto"/>
              <w:rPr>
                <w:rFonts w:ascii="Arial" w:hAnsi="Arial" w:cs="Arial"/>
                <w:b/>
                <w:iCs/>
                <w:sz w:val="20"/>
                <w:szCs w:val="20"/>
              </w:rPr>
            </w:pPr>
            <w:r w:rsidRPr="00BC6C4D">
              <w:rPr>
                <w:rFonts w:ascii="Arial" w:hAnsi="Arial" w:cs="Arial"/>
                <w:iCs/>
                <w:sz w:val="20"/>
                <w:szCs w:val="20"/>
              </w:rPr>
              <w:t>Total</w:t>
            </w:r>
          </w:p>
        </w:tc>
        <w:tc>
          <w:tcPr>
            <w:tcW w:w="991" w:type="dxa"/>
          </w:tcPr>
          <w:p w14:paraId="701FD195" w14:textId="4AED4674" w:rsidR="00BC6C4D" w:rsidRPr="00BC6C4D" w:rsidRDefault="00BC6C4D" w:rsidP="0014104A">
            <w:pPr>
              <w:keepNext/>
              <w:spacing w:line="300" w:lineRule="auto"/>
              <w:jc w:val="center"/>
              <w:rPr>
                <w:rFonts w:ascii="Arial" w:hAnsi="Arial" w:cs="Arial"/>
                <w:b/>
                <w:sz w:val="20"/>
                <w:szCs w:val="20"/>
              </w:rPr>
            </w:pPr>
            <w:r w:rsidRPr="00BC6C4D">
              <w:rPr>
                <w:rFonts w:ascii="Arial" w:hAnsi="Arial" w:cs="Arial"/>
                <w:color w:val="000000"/>
                <w:sz w:val="20"/>
                <w:szCs w:val="20"/>
              </w:rPr>
              <w:t>1,405</w:t>
            </w:r>
          </w:p>
        </w:tc>
        <w:tc>
          <w:tcPr>
            <w:tcW w:w="992" w:type="dxa"/>
          </w:tcPr>
          <w:p w14:paraId="0FB83C64" w14:textId="2F6AD704" w:rsidR="00BC6C4D" w:rsidRPr="00BC6C4D" w:rsidRDefault="00BC6C4D" w:rsidP="0014104A">
            <w:pPr>
              <w:keepNext/>
              <w:spacing w:line="300" w:lineRule="auto"/>
              <w:jc w:val="center"/>
              <w:rPr>
                <w:rFonts w:ascii="Arial" w:hAnsi="Arial" w:cs="Arial"/>
                <w:b/>
                <w:sz w:val="20"/>
                <w:szCs w:val="20"/>
              </w:rPr>
            </w:pPr>
            <w:r w:rsidRPr="00BC6C4D">
              <w:rPr>
                <w:rFonts w:ascii="Arial" w:hAnsi="Arial" w:cs="Arial"/>
                <w:color w:val="000000"/>
                <w:sz w:val="20"/>
                <w:szCs w:val="20"/>
              </w:rPr>
              <w:t>5,187</w:t>
            </w:r>
          </w:p>
        </w:tc>
        <w:tc>
          <w:tcPr>
            <w:tcW w:w="991" w:type="dxa"/>
          </w:tcPr>
          <w:p w14:paraId="29F1742A" w14:textId="72DB82B7" w:rsidR="00BC6C4D" w:rsidRPr="00BC6C4D" w:rsidRDefault="00BC6C4D" w:rsidP="0014104A">
            <w:pPr>
              <w:keepNext/>
              <w:spacing w:line="300" w:lineRule="auto"/>
              <w:jc w:val="center"/>
              <w:rPr>
                <w:rFonts w:ascii="Arial" w:hAnsi="Arial" w:cs="Arial"/>
                <w:b/>
                <w:sz w:val="20"/>
                <w:szCs w:val="20"/>
              </w:rPr>
            </w:pPr>
            <w:r w:rsidRPr="00BC6C4D">
              <w:rPr>
                <w:rFonts w:ascii="Arial" w:hAnsi="Arial" w:cs="Arial"/>
                <w:color w:val="000000"/>
                <w:sz w:val="20"/>
                <w:szCs w:val="20"/>
              </w:rPr>
              <w:t>4,043</w:t>
            </w:r>
          </w:p>
        </w:tc>
        <w:tc>
          <w:tcPr>
            <w:tcW w:w="992" w:type="dxa"/>
          </w:tcPr>
          <w:p w14:paraId="2F022CB3" w14:textId="351FEEAA" w:rsidR="00BC6C4D" w:rsidRPr="00BC6C4D" w:rsidRDefault="00BC6C4D" w:rsidP="0014104A">
            <w:pPr>
              <w:keepNext/>
              <w:spacing w:line="300" w:lineRule="auto"/>
              <w:jc w:val="center"/>
              <w:rPr>
                <w:rFonts w:ascii="Arial" w:hAnsi="Arial" w:cs="Arial"/>
                <w:b/>
                <w:sz w:val="20"/>
                <w:szCs w:val="20"/>
              </w:rPr>
            </w:pPr>
            <w:r w:rsidRPr="00BC6C4D">
              <w:rPr>
                <w:rFonts w:ascii="Arial" w:hAnsi="Arial" w:cs="Arial"/>
                <w:color w:val="000000"/>
                <w:sz w:val="20"/>
                <w:szCs w:val="20"/>
              </w:rPr>
              <w:t>2,428</w:t>
            </w:r>
          </w:p>
        </w:tc>
        <w:tc>
          <w:tcPr>
            <w:tcW w:w="992" w:type="dxa"/>
          </w:tcPr>
          <w:p w14:paraId="0179A6C6" w14:textId="7FEB09A0" w:rsidR="00BC6C4D" w:rsidRPr="00BC6C4D" w:rsidRDefault="00BC6C4D" w:rsidP="0014104A">
            <w:pPr>
              <w:keepNext/>
              <w:spacing w:line="300" w:lineRule="auto"/>
              <w:jc w:val="center"/>
              <w:rPr>
                <w:rFonts w:ascii="Arial" w:hAnsi="Arial" w:cs="Arial"/>
                <w:b/>
                <w:sz w:val="20"/>
                <w:szCs w:val="20"/>
              </w:rPr>
            </w:pPr>
            <w:r w:rsidRPr="00BC6C4D">
              <w:rPr>
                <w:rFonts w:ascii="Arial" w:hAnsi="Arial" w:cs="Arial"/>
                <w:color w:val="000000"/>
                <w:sz w:val="20"/>
                <w:szCs w:val="20"/>
              </w:rPr>
              <w:t>13,063</w:t>
            </w:r>
          </w:p>
        </w:tc>
      </w:tr>
    </w:tbl>
    <w:p w14:paraId="13F4743E" w14:textId="4DFE4DB3" w:rsidR="00CC789D" w:rsidRDefault="00AB789F" w:rsidP="0014104A">
      <w:pPr>
        <w:pStyle w:val="Reporttext0"/>
        <w:keepLines w:val="0"/>
        <w:widowControl w:val="0"/>
        <w:numPr>
          <w:ilvl w:val="1"/>
          <w:numId w:val="0"/>
        </w:numPr>
        <w:spacing w:line="300" w:lineRule="auto"/>
        <w:jc w:val="center"/>
        <w:rPr>
          <w:rFonts w:ascii="Arial" w:hAnsi="Arial" w:cs="Arial"/>
          <w:sz w:val="20"/>
        </w:rPr>
      </w:pPr>
      <w:r>
        <w:rPr>
          <w:rFonts w:ascii="Arial" w:hAnsi="Arial" w:cs="Arial"/>
          <w:sz w:val="20"/>
        </w:rPr>
        <w:t>Source: Household survey</w:t>
      </w:r>
    </w:p>
    <w:p w14:paraId="12FA5E45" w14:textId="7D2AC135" w:rsidR="00BC6C4D" w:rsidRDefault="00BC6C4D" w:rsidP="00172F56">
      <w:pPr>
        <w:pStyle w:val="Reporttext0"/>
        <w:keepLines w:val="0"/>
        <w:widowControl w:val="0"/>
        <w:numPr>
          <w:ilvl w:val="0"/>
          <w:numId w:val="0"/>
        </w:numPr>
        <w:spacing w:line="300" w:lineRule="auto"/>
        <w:jc w:val="both"/>
        <w:rPr>
          <w:rFonts w:ascii="Arial" w:hAnsi="Arial" w:cs="Arial"/>
          <w:sz w:val="20"/>
        </w:rPr>
      </w:pPr>
    </w:p>
    <w:p w14:paraId="2E85A118" w14:textId="29382F22" w:rsidR="00BC6C4D" w:rsidRPr="007236BD" w:rsidRDefault="00BC6C4D" w:rsidP="00172F56">
      <w:pPr>
        <w:spacing w:line="300" w:lineRule="auto"/>
        <w:jc w:val="both"/>
        <w:rPr>
          <w:rFonts w:ascii="Arial" w:hAnsi="Arial" w:cs="Arial"/>
          <w:b/>
          <w:lang w:eastAsia="ja-JP"/>
        </w:rPr>
      </w:pPr>
      <w:r>
        <w:rPr>
          <w:rFonts w:ascii="Arial" w:hAnsi="Arial" w:cs="Arial"/>
          <w:b/>
          <w:lang w:eastAsia="ja-JP"/>
        </w:rPr>
        <w:t>Families (Households with Children)</w:t>
      </w:r>
    </w:p>
    <w:p w14:paraId="5781DD20" w14:textId="77777777" w:rsidR="00BC6C4D" w:rsidRPr="00E12B61" w:rsidRDefault="00BC6C4D" w:rsidP="00172F56">
      <w:pPr>
        <w:spacing w:line="300" w:lineRule="auto"/>
        <w:jc w:val="both"/>
        <w:rPr>
          <w:rFonts w:ascii="Arial" w:hAnsi="Arial" w:cs="Arial"/>
          <w:sz w:val="20"/>
          <w:szCs w:val="20"/>
          <w:lang w:eastAsia="ja-JP"/>
        </w:rPr>
      </w:pPr>
    </w:p>
    <w:p w14:paraId="14551467" w14:textId="22B3E4C3" w:rsidR="00CC789D" w:rsidRPr="00BC6C4D" w:rsidRDefault="00CC789D">
      <w:pPr>
        <w:pStyle w:val="11Bodytext"/>
        <w:numPr>
          <w:ilvl w:val="1"/>
          <w:numId w:val="65"/>
        </w:numPr>
        <w:spacing w:before="0" w:after="0" w:line="300" w:lineRule="auto"/>
        <w:ind w:left="720" w:hanging="720"/>
        <w:rPr>
          <w:color w:val="auto"/>
        </w:rPr>
      </w:pPr>
      <w:bookmarkStart w:id="67" w:name="_Toc177896296"/>
      <w:bookmarkEnd w:id="60"/>
      <w:bookmarkEnd w:id="61"/>
      <w:r w:rsidRPr="00E12B61">
        <w:t>For the purposes of this analysis, children are defined as those aged under 16 and the section will focus on any household with at least one child in it. To provide more detail on what is a large subsection of the population, three different groups of households with children will be analysed. These are lone parent households, households with more than one adult and one child and households with more than one adult and two or more children.</w:t>
      </w:r>
    </w:p>
    <w:p w14:paraId="6A5BC3FC" w14:textId="77777777" w:rsidR="00BC6C4D" w:rsidRPr="00BC6C4D" w:rsidRDefault="00BC6C4D" w:rsidP="00172F56">
      <w:pPr>
        <w:pStyle w:val="11Bodytext"/>
        <w:numPr>
          <w:ilvl w:val="0"/>
          <w:numId w:val="0"/>
        </w:numPr>
        <w:spacing w:before="0" w:after="0" w:line="300" w:lineRule="auto"/>
        <w:rPr>
          <w:color w:val="auto"/>
        </w:rPr>
      </w:pPr>
    </w:p>
    <w:p w14:paraId="1EFC66F9" w14:textId="0DEAA494" w:rsidR="00CC789D" w:rsidRPr="00BC6C4D" w:rsidRDefault="00CC789D">
      <w:pPr>
        <w:pStyle w:val="11Bodytext"/>
        <w:numPr>
          <w:ilvl w:val="1"/>
          <w:numId w:val="65"/>
        </w:numPr>
        <w:spacing w:before="0" w:after="0" w:line="300" w:lineRule="auto"/>
        <w:ind w:left="720" w:hanging="720"/>
        <w:rPr>
          <w:color w:val="auto"/>
        </w:rPr>
      </w:pPr>
      <w:r w:rsidRPr="00E12B61">
        <w:t>T</w:t>
      </w:r>
      <w:r w:rsidR="00BC6C4D">
        <w:t>he t</w:t>
      </w:r>
      <w:r w:rsidRPr="00E12B61">
        <w:t xml:space="preserve">able below shows the number of each type of household with children. The survey estimates that there are </w:t>
      </w:r>
      <w:r w:rsidR="00DA19E9">
        <w:t>8,017</w:t>
      </w:r>
      <w:r w:rsidRPr="00E12B61">
        <w:t xml:space="preserve"> households with children in the Borough. Of these, </w:t>
      </w:r>
      <w:r w:rsidR="00DA19E9">
        <w:t>2,097</w:t>
      </w:r>
      <w:r w:rsidRPr="00E12B61">
        <w:t xml:space="preserve"> households (</w:t>
      </w:r>
      <w:r w:rsidR="00DA19E9">
        <w:t>26.2</w:t>
      </w:r>
      <w:r w:rsidRPr="00E12B61">
        <w:t xml:space="preserve">%) are lone parents, some </w:t>
      </w:r>
      <w:r w:rsidR="00DA19E9">
        <w:t>40.2</w:t>
      </w:r>
      <w:r w:rsidRPr="00E12B61">
        <w:t xml:space="preserve">% are families with one child aged under 16, and the remaining </w:t>
      </w:r>
      <w:r w:rsidR="00DA19E9">
        <w:t>33.7</w:t>
      </w:r>
      <w:r w:rsidRPr="00E12B61">
        <w:t>% are larger households (with two or more children).</w:t>
      </w:r>
    </w:p>
    <w:p w14:paraId="5FA45455" w14:textId="77777777" w:rsidR="00BC6C4D" w:rsidRPr="00BC6C4D" w:rsidRDefault="00BC6C4D" w:rsidP="00172F56">
      <w:pPr>
        <w:pStyle w:val="11Bodytext"/>
        <w:numPr>
          <w:ilvl w:val="0"/>
          <w:numId w:val="0"/>
        </w:numPr>
        <w:spacing w:before="0" w:after="0" w:line="300" w:lineRule="auto"/>
        <w:rPr>
          <w:color w:val="auto"/>
        </w:rPr>
      </w:pPr>
    </w:p>
    <w:tbl>
      <w:tblPr>
        <w:tblStyle w:val="TableGrid1"/>
        <w:tblW w:w="8199" w:type="dxa"/>
        <w:jc w:val="center"/>
        <w:tblLayout w:type="fixed"/>
        <w:tblLook w:val="01E0" w:firstRow="1" w:lastRow="1" w:firstColumn="1" w:lastColumn="1" w:noHBand="0" w:noVBand="0"/>
      </w:tblPr>
      <w:tblGrid>
        <w:gridCol w:w="4321"/>
        <w:gridCol w:w="1292"/>
        <w:gridCol w:w="1293"/>
        <w:gridCol w:w="1293"/>
      </w:tblGrid>
      <w:tr w:rsidR="00BC6C4D" w:rsidRPr="00BC6C4D" w14:paraId="55B996B0" w14:textId="77777777" w:rsidTr="008469E3">
        <w:trPr>
          <w:jc w:val="center"/>
        </w:trPr>
        <w:tc>
          <w:tcPr>
            <w:tcW w:w="8199" w:type="dxa"/>
            <w:gridSpan w:val="4"/>
            <w:noWrap/>
          </w:tcPr>
          <w:p w14:paraId="67D0F0FA" w14:textId="1C871C24" w:rsidR="00BC6C4D" w:rsidRPr="00BC6C4D" w:rsidRDefault="00BC6C4D" w:rsidP="0014104A">
            <w:pPr>
              <w:keepNext/>
              <w:widowControl w:val="0"/>
              <w:spacing w:before="60" w:after="60" w:line="300" w:lineRule="auto"/>
              <w:jc w:val="center"/>
              <w:rPr>
                <w:rFonts w:ascii="Arial" w:hAnsi="Arial" w:cs="Arial"/>
                <w:b/>
                <w:bCs/>
                <w:sz w:val="20"/>
                <w:szCs w:val="20"/>
              </w:rPr>
            </w:pPr>
            <w:r w:rsidRPr="00BC6C4D">
              <w:rPr>
                <w:rFonts w:ascii="Arial" w:hAnsi="Arial" w:cs="Arial"/>
                <w:b/>
                <w:bCs/>
                <w:sz w:val="20"/>
                <w:szCs w:val="20"/>
              </w:rPr>
              <w:t>Figure 6.</w:t>
            </w:r>
            <w:r w:rsidR="00AD29A6">
              <w:rPr>
                <w:rFonts w:ascii="Arial" w:hAnsi="Arial" w:cs="Arial"/>
                <w:b/>
                <w:bCs/>
                <w:sz w:val="20"/>
                <w:szCs w:val="20"/>
              </w:rPr>
              <w:t>14</w:t>
            </w:r>
            <w:r w:rsidRPr="00BC6C4D">
              <w:rPr>
                <w:rFonts w:ascii="Arial" w:hAnsi="Arial" w:cs="Arial"/>
                <w:b/>
                <w:bCs/>
                <w:sz w:val="20"/>
                <w:szCs w:val="20"/>
              </w:rPr>
              <w:t xml:space="preserve">: </w:t>
            </w:r>
            <w:bookmarkStart w:id="68" w:name="_Toc372039105"/>
            <w:r w:rsidRPr="00BC6C4D">
              <w:rPr>
                <w:rFonts w:ascii="Arial" w:hAnsi="Arial" w:cs="Arial"/>
                <w:b/>
                <w:bCs/>
                <w:sz w:val="20"/>
                <w:szCs w:val="20"/>
              </w:rPr>
              <w:t>Number of Families with Children</w:t>
            </w:r>
            <w:bookmarkEnd w:id="68"/>
          </w:p>
        </w:tc>
      </w:tr>
      <w:tr w:rsidR="00CC789D" w:rsidRPr="0014104A" w14:paraId="3220E4C4" w14:textId="77777777" w:rsidTr="00BC6C4D">
        <w:trPr>
          <w:jc w:val="center"/>
        </w:trPr>
        <w:tc>
          <w:tcPr>
            <w:tcW w:w="4321" w:type="dxa"/>
            <w:noWrap/>
          </w:tcPr>
          <w:p w14:paraId="2E19D191" w14:textId="77777777" w:rsidR="00CC789D" w:rsidRPr="0014104A" w:rsidRDefault="00CC789D" w:rsidP="0014104A">
            <w:pPr>
              <w:keepNext/>
              <w:widowControl w:val="0"/>
              <w:spacing w:line="300" w:lineRule="auto"/>
              <w:rPr>
                <w:rFonts w:ascii="Arial" w:hAnsi="Arial" w:cs="Arial"/>
                <w:sz w:val="20"/>
                <w:szCs w:val="20"/>
              </w:rPr>
            </w:pPr>
            <w:r w:rsidRPr="0014104A">
              <w:rPr>
                <w:rFonts w:ascii="Arial" w:hAnsi="Arial" w:cs="Arial"/>
                <w:sz w:val="20"/>
                <w:szCs w:val="20"/>
              </w:rPr>
              <w:t>Households with children</w:t>
            </w:r>
          </w:p>
        </w:tc>
        <w:tc>
          <w:tcPr>
            <w:tcW w:w="1292" w:type="dxa"/>
            <w:noWrap/>
          </w:tcPr>
          <w:p w14:paraId="2F897647" w14:textId="77777777" w:rsidR="00CC789D" w:rsidRPr="0014104A" w:rsidRDefault="00CC789D" w:rsidP="0014104A">
            <w:pPr>
              <w:keepNext/>
              <w:widowControl w:val="0"/>
              <w:spacing w:line="300" w:lineRule="auto"/>
              <w:jc w:val="center"/>
              <w:rPr>
                <w:rFonts w:ascii="Arial" w:hAnsi="Arial" w:cs="Arial"/>
                <w:sz w:val="20"/>
                <w:szCs w:val="20"/>
              </w:rPr>
            </w:pPr>
            <w:r w:rsidRPr="0014104A">
              <w:rPr>
                <w:rFonts w:ascii="Arial" w:hAnsi="Arial" w:cs="Arial"/>
                <w:sz w:val="20"/>
                <w:szCs w:val="20"/>
              </w:rPr>
              <w:t>Number of households</w:t>
            </w:r>
          </w:p>
        </w:tc>
        <w:tc>
          <w:tcPr>
            <w:tcW w:w="1293" w:type="dxa"/>
          </w:tcPr>
          <w:p w14:paraId="478B4A06" w14:textId="77777777" w:rsidR="00CC789D" w:rsidRPr="0014104A" w:rsidRDefault="00CC789D" w:rsidP="0014104A">
            <w:pPr>
              <w:keepNext/>
              <w:widowControl w:val="0"/>
              <w:spacing w:line="300" w:lineRule="auto"/>
              <w:jc w:val="center"/>
              <w:rPr>
                <w:rFonts w:ascii="Arial" w:hAnsi="Arial" w:cs="Arial"/>
                <w:sz w:val="20"/>
                <w:szCs w:val="20"/>
              </w:rPr>
            </w:pPr>
            <w:r w:rsidRPr="0014104A">
              <w:rPr>
                <w:rFonts w:ascii="Arial" w:hAnsi="Arial" w:cs="Arial"/>
                <w:sz w:val="20"/>
                <w:szCs w:val="20"/>
              </w:rPr>
              <w:t>Percent of households</w:t>
            </w:r>
          </w:p>
        </w:tc>
        <w:tc>
          <w:tcPr>
            <w:tcW w:w="1293" w:type="dxa"/>
          </w:tcPr>
          <w:p w14:paraId="45A3A5EA" w14:textId="77777777" w:rsidR="00CC789D" w:rsidRPr="0014104A" w:rsidRDefault="00CC789D" w:rsidP="0014104A">
            <w:pPr>
              <w:keepNext/>
              <w:widowControl w:val="0"/>
              <w:spacing w:line="300" w:lineRule="auto"/>
              <w:jc w:val="center"/>
              <w:rPr>
                <w:rFonts w:ascii="Arial" w:hAnsi="Arial" w:cs="Arial"/>
                <w:sz w:val="20"/>
                <w:szCs w:val="20"/>
              </w:rPr>
            </w:pPr>
            <w:r w:rsidRPr="0014104A">
              <w:rPr>
                <w:rFonts w:ascii="Arial" w:hAnsi="Arial" w:cs="Arial"/>
                <w:sz w:val="20"/>
                <w:szCs w:val="20"/>
              </w:rPr>
              <w:t>Percent of households with children</w:t>
            </w:r>
          </w:p>
        </w:tc>
      </w:tr>
      <w:tr w:rsidR="00BC6C4D" w:rsidRPr="0014104A" w14:paraId="1544D2A4" w14:textId="77777777" w:rsidTr="008469E3">
        <w:trPr>
          <w:jc w:val="center"/>
        </w:trPr>
        <w:tc>
          <w:tcPr>
            <w:tcW w:w="4321" w:type="dxa"/>
            <w:noWrap/>
          </w:tcPr>
          <w:p w14:paraId="32F4F61D" w14:textId="77777777" w:rsidR="00BC6C4D" w:rsidRPr="00172F56" w:rsidRDefault="00BC6C4D" w:rsidP="0014104A">
            <w:pPr>
              <w:keepNext/>
              <w:widowControl w:val="0"/>
              <w:spacing w:line="300" w:lineRule="auto"/>
              <w:rPr>
                <w:rFonts w:ascii="Arial" w:hAnsi="Arial" w:cs="Arial"/>
                <w:sz w:val="20"/>
                <w:szCs w:val="20"/>
              </w:rPr>
            </w:pPr>
            <w:r w:rsidRPr="0014104A">
              <w:rPr>
                <w:rFonts w:ascii="Arial" w:hAnsi="Arial" w:cs="Arial"/>
                <w:sz w:val="20"/>
                <w:szCs w:val="20"/>
              </w:rPr>
              <w:t>Lone parent households</w:t>
            </w:r>
          </w:p>
        </w:tc>
        <w:tc>
          <w:tcPr>
            <w:tcW w:w="1292" w:type="dxa"/>
            <w:noWrap/>
            <w:vAlign w:val="bottom"/>
          </w:tcPr>
          <w:p w14:paraId="7A92983D" w14:textId="4B5D499B" w:rsidR="00BC6C4D" w:rsidRPr="0014104A"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2,097</w:t>
            </w:r>
          </w:p>
        </w:tc>
        <w:tc>
          <w:tcPr>
            <w:tcW w:w="1293" w:type="dxa"/>
            <w:vAlign w:val="bottom"/>
          </w:tcPr>
          <w:p w14:paraId="64E756F7" w14:textId="533524E4" w:rsidR="00BC6C4D" w:rsidRPr="0014104A"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5.4%</w:t>
            </w:r>
          </w:p>
        </w:tc>
        <w:tc>
          <w:tcPr>
            <w:tcW w:w="1293" w:type="dxa"/>
            <w:vAlign w:val="bottom"/>
          </w:tcPr>
          <w:p w14:paraId="1A0036D9" w14:textId="63DAD5E0" w:rsidR="00BC6C4D" w:rsidRPr="00172F56"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26.2%</w:t>
            </w:r>
          </w:p>
        </w:tc>
      </w:tr>
      <w:tr w:rsidR="00BC6C4D" w:rsidRPr="0014104A" w14:paraId="789791B9" w14:textId="77777777" w:rsidTr="008469E3">
        <w:trPr>
          <w:jc w:val="center"/>
        </w:trPr>
        <w:tc>
          <w:tcPr>
            <w:tcW w:w="4321" w:type="dxa"/>
            <w:noWrap/>
          </w:tcPr>
          <w:p w14:paraId="0C518CB6" w14:textId="77777777" w:rsidR="00BC6C4D" w:rsidRPr="00172F56" w:rsidRDefault="00BC6C4D" w:rsidP="0014104A">
            <w:pPr>
              <w:keepNext/>
              <w:widowControl w:val="0"/>
              <w:spacing w:line="300" w:lineRule="auto"/>
              <w:rPr>
                <w:rFonts w:ascii="Arial" w:hAnsi="Arial" w:cs="Arial"/>
                <w:sz w:val="20"/>
                <w:szCs w:val="20"/>
              </w:rPr>
            </w:pPr>
            <w:r w:rsidRPr="0014104A">
              <w:rPr>
                <w:rFonts w:ascii="Arial" w:hAnsi="Arial" w:cs="Arial"/>
                <w:sz w:val="20"/>
                <w:szCs w:val="20"/>
              </w:rPr>
              <w:t>Two or more adults and one child</w:t>
            </w:r>
          </w:p>
        </w:tc>
        <w:tc>
          <w:tcPr>
            <w:tcW w:w="1292" w:type="dxa"/>
            <w:noWrap/>
            <w:vAlign w:val="bottom"/>
          </w:tcPr>
          <w:p w14:paraId="2F8FDF43" w14:textId="42758E2B" w:rsidR="00BC6C4D" w:rsidRPr="0014104A"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3,222</w:t>
            </w:r>
          </w:p>
        </w:tc>
        <w:tc>
          <w:tcPr>
            <w:tcW w:w="1293" w:type="dxa"/>
            <w:vAlign w:val="bottom"/>
          </w:tcPr>
          <w:p w14:paraId="3D74C935" w14:textId="357F9EE8" w:rsidR="00BC6C4D" w:rsidRPr="0014104A"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8.3%</w:t>
            </w:r>
          </w:p>
        </w:tc>
        <w:tc>
          <w:tcPr>
            <w:tcW w:w="1293" w:type="dxa"/>
            <w:vAlign w:val="bottom"/>
          </w:tcPr>
          <w:p w14:paraId="4457D51D" w14:textId="25F5FE98" w:rsidR="00BC6C4D" w:rsidRPr="00172F56"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40.2%</w:t>
            </w:r>
          </w:p>
        </w:tc>
      </w:tr>
      <w:tr w:rsidR="00BC6C4D" w:rsidRPr="0014104A" w14:paraId="246024F1" w14:textId="77777777" w:rsidTr="008469E3">
        <w:trPr>
          <w:jc w:val="center"/>
        </w:trPr>
        <w:tc>
          <w:tcPr>
            <w:tcW w:w="4321" w:type="dxa"/>
            <w:noWrap/>
          </w:tcPr>
          <w:p w14:paraId="69BE5E64" w14:textId="77777777" w:rsidR="00BC6C4D" w:rsidRPr="00172F56" w:rsidRDefault="00BC6C4D" w:rsidP="0014104A">
            <w:pPr>
              <w:keepNext/>
              <w:widowControl w:val="0"/>
              <w:spacing w:line="300" w:lineRule="auto"/>
              <w:rPr>
                <w:rFonts w:ascii="Arial" w:hAnsi="Arial" w:cs="Arial"/>
                <w:sz w:val="20"/>
                <w:szCs w:val="20"/>
              </w:rPr>
            </w:pPr>
            <w:r w:rsidRPr="0014104A">
              <w:rPr>
                <w:rFonts w:ascii="Arial" w:hAnsi="Arial" w:cs="Arial"/>
                <w:sz w:val="20"/>
                <w:szCs w:val="20"/>
              </w:rPr>
              <w:t>Two or more adults and two or more children</w:t>
            </w:r>
          </w:p>
        </w:tc>
        <w:tc>
          <w:tcPr>
            <w:tcW w:w="1292" w:type="dxa"/>
            <w:noWrap/>
            <w:vAlign w:val="bottom"/>
          </w:tcPr>
          <w:p w14:paraId="473809A7" w14:textId="29A8A921" w:rsidR="00BC6C4D" w:rsidRPr="0014104A"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2,698</w:t>
            </w:r>
          </w:p>
        </w:tc>
        <w:tc>
          <w:tcPr>
            <w:tcW w:w="1293" w:type="dxa"/>
            <w:vAlign w:val="bottom"/>
          </w:tcPr>
          <w:p w14:paraId="4BD73804" w14:textId="62597054" w:rsidR="00BC6C4D" w:rsidRPr="0014104A"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6.9%</w:t>
            </w:r>
          </w:p>
        </w:tc>
        <w:tc>
          <w:tcPr>
            <w:tcW w:w="1293" w:type="dxa"/>
            <w:vAlign w:val="bottom"/>
          </w:tcPr>
          <w:p w14:paraId="1A8CBDF5" w14:textId="0D33EE74" w:rsidR="00BC6C4D" w:rsidRPr="00172F56"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33.7%</w:t>
            </w:r>
          </w:p>
        </w:tc>
      </w:tr>
      <w:tr w:rsidR="00BC6C4D" w:rsidRPr="0014104A" w14:paraId="76493713" w14:textId="77777777" w:rsidTr="008469E3">
        <w:trPr>
          <w:jc w:val="center"/>
        </w:trPr>
        <w:tc>
          <w:tcPr>
            <w:tcW w:w="4321" w:type="dxa"/>
            <w:noWrap/>
          </w:tcPr>
          <w:p w14:paraId="1775E93A" w14:textId="77777777" w:rsidR="00BC6C4D" w:rsidRPr="00172F56" w:rsidRDefault="00BC6C4D" w:rsidP="0014104A">
            <w:pPr>
              <w:keepNext/>
              <w:widowControl w:val="0"/>
              <w:spacing w:line="300" w:lineRule="auto"/>
              <w:rPr>
                <w:rFonts w:ascii="Arial" w:hAnsi="Arial" w:cs="Arial"/>
                <w:sz w:val="20"/>
                <w:szCs w:val="20"/>
              </w:rPr>
            </w:pPr>
            <w:r w:rsidRPr="0014104A">
              <w:rPr>
                <w:rFonts w:ascii="Arial" w:hAnsi="Arial" w:cs="Arial"/>
                <w:sz w:val="20"/>
                <w:szCs w:val="20"/>
              </w:rPr>
              <w:t>All other households</w:t>
            </w:r>
          </w:p>
        </w:tc>
        <w:tc>
          <w:tcPr>
            <w:tcW w:w="1292" w:type="dxa"/>
            <w:noWrap/>
            <w:vAlign w:val="bottom"/>
          </w:tcPr>
          <w:p w14:paraId="218107FA" w14:textId="33C5B166" w:rsidR="00BC6C4D" w:rsidRPr="0014104A"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30,983</w:t>
            </w:r>
          </w:p>
        </w:tc>
        <w:tc>
          <w:tcPr>
            <w:tcW w:w="1293" w:type="dxa"/>
            <w:vAlign w:val="bottom"/>
          </w:tcPr>
          <w:p w14:paraId="6E1BB43F" w14:textId="473F198F" w:rsidR="00BC6C4D" w:rsidRPr="0014104A"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79.4%</w:t>
            </w:r>
          </w:p>
        </w:tc>
        <w:tc>
          <w:tcPr>
            <w:tcW w:w="1293" w:type="dxa"/>
            <w:vAlign w:val="bottom"/>
          </w:tcPr>
          <w:p w14:paraId="37DEB818" w14:textId="33F2FA2E" w:rsidR="00BC6C4D" w:rsidRPr="00172F56" w:rsidRDefault="0014104A" w:rsidP="0014104A">
            <w:pPr>
              <w:keepNext/>
              <w:spacing w:line="300" w:lineRule="auto"/>
              <w:jc w:val="center"/>
              <w:rPr>
                <w:rFonts w:ascii="Arial" w:hAnsi="Arial" w:cs="Arial"/>
                <w:sz w:val="20"/>
                <w:szCs w:val="20"/>
              </w:rPr>
            </w:pPr>
            <w:r w:rsidRPr="00172F56">
              <w:rPr>
                <w:rFonts w:ascii="Arial" w:hAnsi="Arial" w:cs="Arial"/>
                <w:sz w:val="20"/>
                <w:szCs w:val="20"/>
              </w:rPr>
              <w:t>-</w:t>
            </w:r>
          </w:p>
        </w:tc>
      </w:tr>
      <w:tr w:rsidR="00BC6C4D" w:rsidRPr="0014104A" w14:paraId="1B2C1604" w14:textId="77777777" w:rsidTr="008469E3">
        <w:trPr>
          <w:jc w:val="center"/>
        </w:trPr>
        <w:tc>
          <w:tcPr>
            <w:tcW w:w="4321" w:type="dxa"/>
            <w:noWrap/>
          </w:tcPr>
          <w:p w14:paraId="71D2C33E" w14:textId="77777777" w:rsidR="00BC6C4D" w:rsidRPr="00172F56" w:rsidRDefault="00BC6C4D" w:rsidP="0014104A">
            <w:pPr>
              <w:keepNext/>
              <w:widowControl w:val="0"/>
              <w:spacing w:line="300" w:lineRule="auto"/>
              <w:rPr>
                <w:rFonts w:ascii="Arial" w:hAnsi="Arial" w:cs="Arial"/>
                <w:sz w:val="20"/>
                <w:szCs w:val="20"/>
              </w:rPr>
            </w:pPr>
            <w:r w:rsidRPr="0014104A">
              <w:rPr>
                <w:rFonts w:ascii="Arial" w:hAnsi="Arial" w:cs="Arial"/>
                <w:sz w:val="20"/>
                <w:szCs w:val="20"/>
              </w:rPr>
              <w:t>Total</w:t>
            </w:r>
          </w:p>
        </w:tc>
        <w:tc>
          <w:tcPr>
            <w:tcW w:w="1292" w:type="dxa"/>
            <w:noWrap/>
            <w:vAlign w:val="bottom"/>
          </w:tcPr>
          <w:p w14:paraId="3D991EBB" w14:textId="200F99D0" w:rsidR="00BC6C4D" w:rsidRPr="00172F56"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39,000</w:t>
            </w:r>
          </w:p>
        </w:tc>
        <w:tc>
          <w:tcPr>
            <w:tcW w:w="1293" w:type="dxa"/>
            <w:vAlign w:val="bottom"/>
          </w:tcPr>
          <w:p w14:paraId="363CB37E" w14:textId="595CDAFA" w:rsidR="00BC6C4D" w:rsidRPr="00172F56"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100.0%</w:t>
            </w:r>
          </w:p>
        </w:tc>
        <w:tc>
          <w:tcPr>
            <w:tcW w:w="1293" w:type="dxa"/>
            <w:vAlign w:val="bottom"/>
          </w:tcPr>
          <w:p w14:paraId="51BEAE28" w14:textId="2716AAF0" w:rsidR="00BC6C4D" w:rsidRPr="00172F56" w:rsidRDefault="00BC6C4D" w:rsidP="0014104A">
            <w:pPr>
              <w:keepNext/>
              <w:spacing w:line="300" w:lineRule="auto"/>
              <w:jc w:val="center"/>
              <w:rPr>
                <w:rFonts w:ascii="Arial" w:hAnsi="Arial" w:cs="Arial"/>
                <w:sz w:val="20"/>
                <w:szCs w:val="20"/>
              </w:rPr>
            </w:pPr>
            <w:r w:rsidRPr="0014104A">
              <w:rPr>
                <w:rFonts w:ascii="Arial" w:hAnsi="Arial" w:cs="Arial"/>
                <w:color w:val="000000"/>
                <w:sz w:val="20"/>
                <w:szCs w:val="20"/>
              </w:rPr>
              <w:t>100.0%</w:t>
            </w:r>
          </w:p>
        </w:tc>
      </w:tr>
    </w:tbl>
    <w:p w14:paraId="055556FF" w14:textId="4B2E7103" w:rsidR="00CC789D"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4223F3BD" w14:textId="7D928588" w:rsidR="00DA19E9" w:rsidRDefault="00DA19E9" w:rsidP="00172F56">
      <w:pPr>
        <w:pStyle w:val="Reporttext0"/>
        <w:keepLines w:val="0"/>
        <w:widowControl w:val="0"/>
        <w:numPr>
          <w:ilvl w:val="0"/>
          <w:numId w:val="0"/>
        </w:numPr>
        <w:spacing w:line="300" w:lineRule="auto"/>
        <w:jc w:val="both"/>
        <w:rPr>
          <w:rFonts w:ascii="Arial" w:hAnsi="Arial" w:cs="Arial"/>
          <w:sz w:val="20"/>
        </w:rPr>
      </w:pPr>
    </w:p>
    <w:p w14:paraId="35F72950" w14:textId="3970DA58" w:rsidR="00CC789D" w:rsidRDefault="00CC789D">
      <w:pPr>
        <w:pStyle w:val="11Bodytext"/>
        <w:numPr>
          <w:ilvl w:val="1"/>
          <w:numId w:val="65"/>
        </w:numPr>
        <w:spacing w:before="0" w:after="0" w:line="300" w:lineRule="auto"/>
        <w:ind w:left="720" w:hanging="720"/>
        <w:rPr>
          <w:color w:val="auto"/>
        </w:rPr>
      </w:pPr>
      <w:r w:rsidRPr="00DA19E9">
        <w:rPr>
          <w:color w:val="auto"/>
        </w:rPr>
        <w:t>T</w:t>
      </w:r>
      <w:r w:rsidR="00DA19E9">
        <w:rPr>
          <w:color w:val="auto"/>
        </w:rPr>
        <w:t>he t</w:t>
      </w:r>
      <w:r w:rsidRPr="00DA19E9">
        <w:rPr>
          <w:color w:val="auto"/>
        </w:rPr>
        <w:t xml:space="preserve">able below shows how the proportion of households containing children varies between the sub-areas. The data shows that the proportion of households containing children is notably higher in the </w:t>
      </w:r>
      <w:r w:rsidR="00DA19E9">
        <w:rPr>
          <w:color w:val="auto"/>
        </w:rPr>
        <w:t>Fylde/Blackpool Periphery where 29</w:t>
      </w:r>
      <w:r w:rsidRPr="00DA19E9">
        <w:rPr>
          <w:color w:val="auto"/>
        </w:rPr>
        <w:t xml:space="preserve">% of households contain children – this compares to </w:t>
      </w:r>
      <w:r w:rsidR="00DA19E9">
        <w:rPr>
          <w:color w:val="auto"/>
        </w:rPr>
        <w:t>17</w:t>
      </w:r>
      <w:r w:rsidRPr="00DA19E9">
        <w:rPr>
          <w:color w:val="auto"/>
        </w:rPr>
        <w:t xml:space="preserve">% in </w:t>
      </w:r>
      <w:r w:rsidR="00DA19E9">
        <w:rPr>
          <w:color w:val="auto"/>
        </w:rPr>
        <w:t>Freckleton</w:t>
      </w:r>
      <w:r w:rsidRPr="00DA19E9">
        <w:rPr>
          <w:color w:val="auto"/>
        </w:rPr>
        <w:t xml:space="preserve">. </w:t>
      </w:r>
      <w:r w:rsidR="003E4A83">
        <w:rPr>
          <w:color w:val="auto"/>
        </w:rPr>
        <w:t xml:space="preserve">The proportion of lone parent households </w:t>
      </w:r>
      <w:r w:rsidR="00E50CF5">
        <w:rPr>
          <w:color w:val="auto"/>
        </w:rPr>
        <w:t xml:space="preserve">were </w:t>
      </w:r>
      <w:r w:rsidR="003E4A83">
        <w:rPr>
          <w:color w:val="auto"/>
        </w:rPr>
        <w:t>particularly high in Wesham, and generally very low in the rural areas</w:t>
      </w:r>
      <w:r w:rsidRPr="00DA19E9">
        <w:rPr>
          <w:color w:val="auto"/>
        </w:rPr>
        <w:t>.</w:t>
      </w:r>
    </w:p>
    <w:p w14:paraId="65F8B023" w14:textId="78971F6A" w:rsidR="00CC789D" w:rsidRPr="003E4A83" w:rsidRDefault="00CC789D" w:rsidP="00172F56">
      <w:pPr>
        <w:spacing w:line="300" w:lineRule="auto"/>
        <w:jc w:val="both"/>
        <w:rPr>
          <w:rFonts w:ascii="Arial" w:hAnsi="Arial" w:cs="Arial"/>
          <w:bCs/>
          <w:sz w:val="20"/>
          <w:szCs w:val="20"/>
        </w:rPr>
      </w:pPr>
    </w:p>
    <w:tbl>
      <w:tblPr>
        <w:tblStyle w:val="TableTheme"/>
        <w:tblW w:w="9639" w:type="dxa"/>
        <w:tblLayout w:type="fixed"/>
        <w:tblLook w:val="0000" w:firstRow="0" w:lastRow="0" w:firstColumn="0" w:lastColumn="0" w:noHBand="0" w:noVBand="0"/>
      </w:tblPr>
      <w:tblGrid>
        <w:gridCol w:w="1441"/>
        <w:gridCol w:w="540"/>
        <w:gridCol w:w="1531"/>
        <w:gridCol w:w="1532"/>
        <w:gridCol w:w="1531"/>
        <w:gridCol w:w="1532"/>
        <w:gridCol w:w="1532"/>
      </w:tblGrid>
      <w:tr w:rsidR="00DA19E9" w:rsidRPr="003D2556" w14:paraId="4B677428" w14:textId="77777777" w:rsidTr="008469E3">
        <w:tc>
          <w:tcPr>
            <w:tcW w:w="9639" w:type="dxa"/>
            <w:gridSpan w:val="7"/>
          </w:tcPr>
          <w:p w14:paraId="67D0AC1B" w14:textId="79953521" w:rsidR="00DA19E9" w:rsidRPr="00B92CA6" w:rsidRDefault="00DA19E9" w:rsidP="0014104A">
            <w:pPr>
              <w:keepNext/>
              <w:widowControl w:val="0"/>
              <w:spacing w:before="60" w:after="60" w:line="300" w:lineRule="auto"/>
              <w:jc w:val="center"/>
              <w:rPr>
                <w:rFonts w:ascii="Arial" w:hAnsi="Arial" w:cs="Arial"/>
                <w:b/>
                <w:sz w:val="20"/>
                <w:szCs w:val="20"/>
              </w:rPr>
            </w:pPr>
            <w:r w:rsidRPr="00B92CA6">
              <w:rPr>
                <w:rFonts w:ascii="Arial" w:hAnsi="Arial" w:cs="Arial"/>
                <w:b/>
                <w:sz w:val="20"/>
                <w:szCs w:val="20"/>
              </w:rPr>
              <w:t xml:space="preserve">Figure </w:t>
            </w:r>
            <w:r w:rsidR="00AD29A6">
              <w:rPr>
                <w:rFonts w:ascii="Arial" w:hAnsi="Arial" w:cs="Arial"/>
                <w:b/>
                <w:sz w:val="20"/>
                <w:szCs w:val="20"/>
              </w:rPr>
              <w:t>6.15:</w:t>
            </w:r>
            <w:r w:rsidRPr="00B92CA6">
              <w:rPr>
                <w:rFonts w:ascii="Arial" w:hAnsi="Arial" w:cs="Arial"/>
                <w:b/>
                <w:sz w:val="20"/>
                <w:szCs w:val="20"/>
              </w:rPr>
              <w:t xml:space="preserve"> </w:t>
            </w:r>
            <w:r>
              <w:rPr>
                <w:rFonts w:ascii="Arial" w:hAnsi="Arial" w:cs="Arial"/>
                <w:b/>
                <w:sz w:val="20"/>
                <w:szCs w:val="20"/>
              </w:rPr>
              <w:t xml:space="preserve">Household type </w:t>
            </w:r>
            <w:r w:rsidRPr="00B92CA6">
              <w:rPr>
                <w:rFonts w:ascii="Arial" w:hAnsi="Arial" w:cs="Arial"/>
                <w:b/>
                <w:sz w:val="20"/>
                <w:szCs w:val="20"/>
              </w:rPr>
              <w:t>by sub-area</w:t>
            </w:r>
          </w:p>
        </w:tc>
      </w:tr>
      <w:tr w:rsidR="00DA19E9" w:rsidRPr="003D2556" w14:paraId="45AD4208" w14:textId="77777777" w:rsidTr="008469E3">
        <w:tc>
          <w:tcPr>
            <w:tcW w:w="1981" w:type="dxa"/>
            <w:gridSpan w:val="2"/>
          </w:tcPr>
          <w:p w14:paraId="5ADFEF08" w14:textId="77777777" w:rsidR="00DA19E9" w:rsidRPr="00B92CA6" w:rsidRDefault="00DA19E9" w:rsidP="0014104A">
            <w:pPr>
              <w:keepNext/>
              <w:widowControl w:val="0"/>
              <w:spacing w:line="300" w:lineRule="auto"/>
              <w:rPr>
                <w:rFonts w:ascii="Arial" w:hAnsi="Arial" w:cs="Arial"/>
                <w:sz w:val="20"/>
                <w:szCs w:val="20"/>
              </w:rPr>
            </w:pPr>
            <w:r w:rsidRPr="00B92CA6">
              <w:rPr>
                <w:rFonts w:ascii="Arial" w:hAnsi="Arial" w:cs="Arial"/>
                <w:sz w:val="20"/>
                <w:szCs w:val="20"/>
              </w:rPr>
              <w:t>Sub-area</w:t>
            </w:r>
          </w:p>
        </w:tc>
        <w:tc>
          <w:tcPr>
            <w:tcW w:w="1531" w:type="dxa"/>
            <w:vAlign w:val="center"/>
          </w:tcPr>
          <w:p w14:paraId="5BE1F134" w14:textId="5699B018" w:rsidR="00DA19E9" w:rsidRPr="00DA19E9" w:rsidRDefault="00DA19E9" w:rsidP="0014104A">
            <w:pPr>
              <w:keepNext/>
              <w:widowControl w:val="0"/>
              <w:spacing w:line="300" w:lineRule="auto"/>
              <w:jc w:val="center"/>
              <w:rPr>
                <w:rFonts w:ascii="Arial" w:hAnsi="Arial" w:cs="Arial"/>
                <w:bCs/>
                <w:sz w:val="20"/>
                <w:szCs w:val="20"/>
              </w:rPr>
            </w:pPr>
            <w:r w:rsidRPr="00DA19E9">
              <w:rPr>
                <w:rFonts w:ascii="Arial" w:hAnsi="Arial" w:cs="Arial"/>
                <w:bCs/>
                <w:sz w:val="20"/>
                <w:szCs w:val="20"/>
              </w:rPr>
              <w:t>Lone parent households</w:t>
            </w:r>
          </w:p>
        </w:tc>
        <w:tc>
          <w:tcPr>
            <w:tcW w:w="1532" w:type="dxa"/>
            <w:vAlign w:val="center"/>
          </w:tcPr>
          <w:p w14:paraId="05EF35EE" w14:textId="2586466D" w:rsidR="00DA19E9" w:rsidRPr="00DA19E9" w:rsidRDefault="00DA19E9" w:rsidP="0014104A">
            <w:pPr>
              <w:keepNext/>
              <w:widowControl w:val="0"/>
              <w:spacing w:line="300" w:lineRule="auto"/>
              <w:jc w:val="center"/>
              <w:rPr>
                <w:rFonts w:ascii="Arial" w:hAnsi="Arial" w:cs="Arial"/>
                <w:bCs/>
                <w:sz w:val="20"/>
                <w:szCs w:val="20"/>
              </w:rPr>
            </w:pPr>
            <w:r w:rsidRPr="00DA19E9">
              <w:rPr>
                <w:rFonts w:ascii="Arial" w:hAnsi="Arial" w:cs="Arial"/>
                <w:bCs/>
                <w:sz w:val="20"/>
                <w:szCs w:val="20"/>
              </w:rPr>
              <w:t>Two or more adults and one child</w:t>
            </w:r>
          </w:p>
        </w:tc>
        <w:tc>
          <w:tcPr>
            <w:tcW w:w="1531" w:type="dxa"/>
            <w:vAlign w:val="center"/>
          </w:tcPr>
          <w:p w14:paraId="44F49D5D" w14:textId="19A1DC52" w:rsidR="00DA19E9" w:rsidRPr="00DA19E9" w:rsidRDefault="00DA19E9" w:rsidP="0014104A">
            <w:pPr>
              <w:keepNext/>
              <w:widowControl w:val="0"/>
              <w:spacing w:line="300" w:lineRule="auto"/>
              <w:jc w:val="center"/>
              <w:rPr>
                <w:rFonts w:ascii="Arial" w:hAnsi="Arial" w:cs="Arial"/>
                <w:bCs/>
                <w:sz w:val="20"/>
                <w:szCs w:val="20"/>
              </w:rPr>
            </w:pPr>
            <w:r w:rsidRPr="00DA19E9">
              <w:rPr>
                <w:rFonts w:ascii="Arial" w:hAnsi="Arial" w:cs="Arial"/>
                <w:bCs/>
                <w:sz w:val="20"/>
                <w:szCs w:val="20"/>
              </w:rPr>
              <w:t>Two or more adults and two or more children</w:t>
            </w:r>
          </w:p>
        </w:tc>
        <w:tc>
          <w:tcPr>
            <w:tcW w:w="1532" w:type="dxa"/>
            <w:vAlign w:val="center"/>
          </w:tcPr>
          <w:p w14:paraId="7745D192" w14:textId="705F57A7" w:rsidR="00DA19E9" w:rsidRPr="00DA19E9" w:rsidRDefault="00DA19E9" w:rsidP="0014104A">
            <w:pPr>
              <w:keepNext/>
              <w:widowControl w:val="0"/>
              <w:spacing w:line="300" w:lineRule="auto"/>
              <w:jc w:val="center"/>
              <w:rPr>
                <w:rFonts w:ascii="Arial" w:hAnsi="Arial" w:cs="Arial"/>
                <w:bCs/>
                <w:sz w:val="20"/>
                <w:szCs w:val="20"/>
              </w:rPr>
            </w:pPr>
            <w:r w:rsidRPr="00DA19E9">
              <w:rPr>
                <w:rFonts w:ascii="Arial" w:hAnsi="Arial" w:cs="Arial"/>
                <w:bCs/>
                <w:sz w:val="20"/>
                <w:szCs w:val="20"/>
              </w:rPr>
              <w:t>All other households</w:t>
            </w:r>
          </w:p>
        </w:tc>
        <w:tc>
          <w:tcPr>
            <w:tcW w:w="1532" w:type="dxa"/>
            <w:vAlign w:val="center"/>
          </w:tcPr>
          <w:p w14:paraId="4C85D79B" w14:textId="203E64B2" w:rsidR="00DA19E9" w:rsidRPr="00DA19E9" w:rsidRDefault="00DA19E9" w:rsidP="0014104A">
            <w:pPr>
              <w:keepNext/>
              <w:widowControl w:val="0"/>
              <w:spacing w:line="300" w:lineRule="auto"/>
              <w:jc w:val="center"/>
              <w:rPr>
                <w:rFonts w:ascii="Arial" w:hAnsi="Arial" w:cs="Arial"/>
                <w:bCs/>
                <w:sz w:val="20"/>
                <w:szCs w:val="20"/>
              </w:rPr>
            </w:pPr>
            <w:r w:rsidRPr="00DA19E9">
              <w:rPr>
                <w:rFonts w:ascii="Arial" w:hAnsi="Arial" w:cs="Arial"/>
                <w:bCs/>
                <w:sz w:val="20"/>
                <w:szCs w:val="20"/>
              </w:rPr>
              <w:t>Total</w:t>
            </w:r>
          </w:p>
        </w:tc>
      </w:tr>
      <w:tr w:rsidR="00DA19E9" w:rsidRPr="003D2556" w14:paraId="5965B060" w14:textId="77777777" w:rsidTr="008469E3">
        <w:tc>
          <w:tcPr>
            <w:tcW w:w="1441" w:type="dxa"/>
            <w:vMerge w:val="restart"/>
          </w:tcPr>
          <w:p w14:paraId="22CAF5E3" w14:textId="77777777" w:rsidR="00DA19E9" w:rsidRPr="00B92CA6" w:rsidRDefault="00DA19E9" w:rsidP="0014104A">
            <w:pPr>
              <w:keepNext/>
              <w:spacing w:line="300" w:lineRule="auto"/>
              <w:rPr>
                <w:rFonts w:ascii="Arial" w:hAnsi="Arial" w:cs="Arial"/>
                <w:color w:val="000000"/>
                <w:sz w:val="20"/>
                <w:szCs w:val="20"/>
              </w:rPr>
            </w:pPr>
            <w:r w:rsidRPr="00B92CA6">
              <w:rPr>
                <w:rFonts w:ascii="Arial" w:hAnsi="Arial" w:cs="Arial"/>
                <w:color w:val="000000"/>
                <w:sz w:val="20"/>
                <w:szCs w:val="20"/>
              </w:rPr>
              <w:t>St. Annes</w:t>
            </w:r>
          </w:p>
        </w:tc>
        <w:tc>
          <w:tcPr>
            <w:tcW w:w="540" w:type="dxa"/>
          </w:tcPr>
          <w:p w14:paraId="5F47DC28"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62D5CA70" w14:textId="05064369"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859</w:t>
            </w:r>
          </w:p>
        </w:tc>
        <w:tc>
          <w:tcPr>
            <w:tcW w:w="1532" w:type="dxa"/>
            <w:vAlign w:val="bottom"/>
          </w:tcPr>
          <w:p w14:paraId="3EC417B5" w14:textId="3A603E6D"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1,036</w:t>
            </w:r>
          </w:p>
        </w:tc>
        <w:tc>
          <w:tcPr>
            <w:tcW w:w="1531" w:type="dxa"/>
            <w:vAlign w:val="bottom"/>
          </w:tcPr>
          <w:p w14:paraId="03CE5F9D" w14:textId="6FB7B378"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839</w:t>
            </w:r>
          </w:p>
        </w:tc>
        <w:tc>
          <w:tcPr>
            <w:tcW w:w="1532" w:type="dxa"/>
            <w:vAlign w:val="bottom"/>
          </w:tcPr>
          <w:p w14:paraId="1F36A9E2" w14:textId="6ED2634E"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11,077</w:t>
            </w:r>
          </w:p>
        </w:tc>
        <w:tc>
          <w:tcPr>
            <w:tcW w:w="1532" w:type="dxa"/>
            <w:vAlign w:val="bottom"/>
          </w:tcPr>
          <w:p w14:paraId="0F1FFE26" w14:textId="4D0AD2B6"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13,811</w:t>
            </w:r>
          </w:p>
        </w:tc>
      </w:tr>
      <w:tr w:rsidR="00DA19E9" w:rsidRPr="003D2556" w14:paraId="2F819729" w14:textId="77777777" w:rsidTr="008469E3">
        <w:tc>
          <w:tcPr>
            <w:tcW w:w="1441" w:type="dxa"/>
            <w:vMerge/>
          </w:tcPr>
          <w:p w14:paraId="2D2C3209" w14:textId="77777777" w:rsidR="00DA19E9" w:rsidRPr="00B92CA6" w:rsidRDefault="00DA19E9" w:rsidP="0014104A">
            <w:pPr>
              <w:keepNext/>
              <w:spacing w:line="300" w:lineRule="auto"/>
              <w:rPr>
                <w:rFonts w:ascii="Arial" w:hAnsi="Arial" w:cs="Arial"/>
                <w:sz w:val="20"/>
                <w:szCs w:val="20"/>
              </w:rPr>
            </w:pPr>
          </w:p>
        </w:tc>
        <w:tc>
          <w:tcPr>
            <w:tcW w:w="540" w:type="dxa"/>
          </w:tcPr>
          <w:p w14:paraId="138850F9"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6F9721CB" w14:textId="17603CBD"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6.2%</w:t>
            </w:r>
          </w:p>
        </w:tc>
        <w:tc>
          <w:tcPr>
            <w:tcW w:w="1532" w:type="dxa"/>
            <w:vAlign w:val="bottom"/>
          </w:tcPr>
          <w:p w14:paraId="13F85193" w14:textId="3A3CBFF3"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7.5%</w:t>
            </w:r>
          </w:p>
        </w:tc>
        <w:tc>
          <w:tcPr>
            <w:tcW w:w="1531" w:type="dxa"/>
            <w:vAlign w:val="bottom"/>
          </w:tcPr>
          <w:p w14:paraId="385E2C60" w14:textId="5D823590"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6.1%</w:t>
            </w:r>
          </w:p>
        </w:tc>
        <w:tc>
          <w:tcPr>
            <w:tcW w:w="1532" w:type="dxa"/>
            <w:vAlign w:val="bottom"/>
          </w:tcPr>
          <w:p w14:paraId="0FD92CA7" w14:textId="2D9AF66E"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80.2%</w:t>
            </w:r>
          </w:p>
        </w:tc>
        <w:tc>
          <w:tcPr>
            <w:tcW w:w="1532" w:type="dxa"/>
            <w:vAlign w:val="bottom"/>
          </w:tcPr>
          <w:p w14:paraId="1992CAFA" w14:textId="10362B96"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100.0%</w:t>
            </w:r>
          </w:p>
        </w:tc>
      </w:tr>
      <w:tr w:rsidR="00DA19E9" w:rsidRPr="003D2556" w14:paraId="63EE48E8" w14:textId="77777777" w:rsidTr="008469E3">
        <w:tc>
          <w:tcPr>
            <w:tcW w:w="1441" w:type="dxa"/>
            <w:vMerge w:val="restart"/>
          </w:tcPr>
          <w:p w14:paraId="1990DE88" w14:textId="77777777" w:rsidR="00DA19E9" w:rsidRPr="00B92CA6" w:rsidRDefault="00DA19E9" w:rsidP="0014104A">
            <w:pPr>
              <w:keepNext/>
              <w:spacing w:line="300" w:lineRule="auto"/>
              <w:rPr>
                <w:rFonts w:ascii="Arial" w:hAnsi="Arial" w:cs="Arial"/>
                <w:sz w:val="20"/>
                <w:szCs w:val="20"/>
              </w:rPr>
            </w:pPr>
            <w:r w:rsidRPr="00B92CA6">
              <w:rPr>
                <w:rFonts w:ascii="Arial" w:hAnsi="Arial" w:cs="Arial"/>
                <w:sz w:val="20"/>
                <w:szCs w:val="20"/>
              </w:rPr>
              <w:t>Lytham</w:t>
            </w:r>
          </w:p>
        </w:tc>
        <w:tc>
          <w:tcPr>
            <w:tcW w:w="540" w:type="dxa"/>
          </w:tcPr>
          <w:p w14:paraId="65B5CAB1"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0A2DC67D" w14:textId="7F0D5F52"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457</w:t>
            </w:r>
          </w:p>
        </w:tc>
        <w:tc>
          <w:tcPr>
            <w:tcW w:w="1532" w:type="dxa"/>
            <w:vAlign w:val="bottom"/>
          </w:tcPr>
          <w:p w14:paraId="19246940" w14:textId="340C32EB"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828</w:t>
            </w:r>
          </w:p>
        </w:tc>
        <w:tc>
          <w:tcPr>
            <w:tcW w:w="1531" w:type="dxa"/>
            <w:vAlign w:val="bottom"/>
          </w:tcPr>
          <w:p w14:paraId="24E68CCD" w14:textId="48860FB2"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538</w:t>
            </w:r>
          </w:p>
        </w:tc>
        <w:tc>
          <w:tcPr>
            <w:tcW w:w="1532" w:type="dxa"/>
            <w:vAlign w:val="bottom"/>
          </w:tcPr>
          <w:p w14:paraId="3BB45210" w14:textId="742FDEF4"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6,674</w:t>
            </w:r>
          </w:p>
        </w:tc>
        <w:tc>
          <w:tcPr>
            <w:tcW w:w="1532" w:type="dxa"/>
            <w:vAlign w:val="bottom"/>
          </w:tcPr>
          <w:p w14:paraId="0FBD157E" w14:textId="05B72016"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8,498</w:t>
            </w:r>
          </w:p>
        </w:tc>
      </w:tr>
      <w:tr w:rsidR="00DA19E9" w:rsidRPr="003D2556" w14:paraId="133C6656" w14:textId="77777777" w:rsidTr="008469E3">
        <w:tc>
          <w:tcPr>
            <w:tcW w:w="1441" w:type="dxa"/>
            <w:vMerge/>
          </w:tcPr>
          <w:p w14:paraId="476FC6B8" w14:textId="77777777" w:rsidR="00DA19E9" w:rsidRPr="00B92CA6" w:rsidRDefault="00DA19E9" w:rsidP="0014104A">
            <w:pPr>
              <w:keepNext/>
              <w:spacing w:line="300" w:lineRule="auto"/>
              <w:rPr>
                <w:rFonts w:ascii="Arial" w:hAnsi="Arial" w:cs="Arial"/>
                <w:sz w:val="20"/>
                <w:szCs w:val="20"/>
              </w:rPr>
            </w:pPr>
          </w:p>
        </w:tc>
        <w:tc>
          <w:tcPr>
            <w:tcW w:w="540" w:type="dxa"/>
          </w:tcPr>
          <w:p w14:paraId="262763E7"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50304D57" w14:textId="5D872368"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5.4%</w:t>
            </w:r>
          </w:p>
        </w:tc>
        <w:tc>
          <w:tcPr>
            <w:tcW w:w="1532" w:type="dxa"/>
            <w:vAlign w:val="bottom"/>
          </w:tcPr>
          <w:p w14:paraId="6813D3D3" w14:textId="7D3DBAEE"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9.7%</w:t>
            </w:r>
          </w:p>
        </w:tc>
        <w:tc>
          <w:tcPr>
            <w:tcW w:w="1531" w:type="dxa"/>
            <w:vAlign w:val="bottom"/>
          </w:tcPr>
          <w:p w14:paraId="5BB241F5" w14:textId="641B0905"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6.3%</w:t>
            </w:r>
          </w:p>
        </w:tc>
        <w:tc>
          <w:tcPr>
            <w:tcW w:w="1532" w:type="dxa"/>
            <w:vAlign w:val="bottom"/>
          </w:tcPr>
          <w:p w14:paraId="60993AF4" w14:textId="3A77BB86"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78.6%</w:t>
            </w:r>
          </w:p>
        </w:tc>
        <w:tc>
          <w:tcPr>
            <w:tcW w:w="1532" w:type="dxa"/>
            <w:vAlign w:val="bottom"/>
          </w:tcPr>
          <w:p w14:paraId="71779282" w14:textId="27D2F326"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100.0%</w:t>
            </w:r>
          </w:p>
        </w:tc>
      </w:tr>
      <w:tr w:rsidR="00DA19E9" w:rsidRPr="003D2556" w14:paraId="4E54F881" w14:textId="77777777" w:rsidTr="008469E3">
        <w:tc>
          <w:tcPr>
            <w:tcW w:w="1441" w:type="dxa"/>
            <w:vMerge w:val="restart"/>
          </w:tcPr>
          <w:p w14:paraId="0F2EB44E" w14:textId="77777777" w:rsidR="00DA19E9" w:rsidRPr="00B92CA6" w:rsidRDefault="00DA19E9" w:rsidP="0014104A">
            <w:pPr>
              <w:keepNext/>
              <w:spacing w:line="300" w:lineRule="auto"/>
              <w:rPr>
                <w:rFonts w:ascii="Arial" w:hAnsi="Arial" w:cs="Arial"/>
                <w:color w:val="000000"/>
                <w:sz w:val="20"/>
                <w:szCs w:val="20"/>
              </w:rPr>
            </w:pPr>
            <w:r w:rsidRPr="00B92CA6">
              <w:rPr>
                <w:rFonts w:ascii="Arial" w:hAnsi="Arial" w:cs="Arial"/>
                <w:color w:val="000000"/>
                <w:sz w:val="20"/>
                <w:szCs w:val="20"/>
              </w:rPr>
              <w:t>Warton</w:t>
            </w:r>
          </w:p>
        </w:tc>
        <w:tc>
          <w:tcPr>
            <w:tcW w:w="540" w:type="dxa"/>
          </w:tcPr>
          <w:p w14:paraId="0DC7DD9F"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478DC29A" w14:textId="0097551A"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55</w:t>
            </w:r>
          </w:p>
        </w:tc>
        <w:tc>
          <w:tcPr>
            <w:tcW w:w="1532" w:type="dxa"/>
            <w:vAlign w:val="bottom"/>
          </w:tcPr>
          <w:p w14:paraId="246F5D5F" w14:textId="7FD081A2"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217</w:t>
            </w:r>
          </w:p>
        </w:tc>
        <w:tc>
          <w:tcPr>
            <w:tcW w:w="1531" w:type="dxa"/>
            <w:vAlign w:val="bottom"/>
          </w:tcPr>
          <w:p w14:paraId="5F5DCDAB" w14:textId="0694FB9A"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215</w:t>
            </w:r>
          </w:p>
        </w:tc>
        <w:tc>
          <w:tcPr>
            <w:tcW w:w="1532" w:type="dxa"/>
            <w:vAlign w:val="bottom"/>
          </w:tcPr>
          <w:p w14:paraId="2CA7EFE4" w14:textId="339DE287"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1,657</w:t>
            </w:r>
          </w:p>
        </w:tc>
        <w:tc>
          <w:tcPr>
            <w:tcW w:w="1532" w:type="dxa"/>
            <w:vAlign w:val="bottom"/>
          </w:tcPr>
          <w:p w14:paraId="41AABE57" w14:textId="13F5A609"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2,144</w:t>
            </w:r>
          </w:p>
        </w:tc>
      </w:tr>
      <w:tr w:rsidR="00DA19E9" w:rsidRPr="003D2556" w14:paraId="121732B2" w14:textId="77777777" w:rsidTr="008469E3">
        <w:tc>
          <w:tcPr>
            <w:tcW w:w="1441" w:type="dxa"/>
            <w:vMerge/>
          </w:tcPr>
          <w:p w14:paraId="2CCE5218" w14:textId="77777777" w:rsidR="00DA19E9" w:rsidRPr="00B92CA6" w:rsidRDefault="00DA19E9" w:rsidP="0014104A">
            <w:pPr>
              <w:keepNext/>
              <w:spacing w:line="300" w:lineRule="auto"/>
              <w:rPr>
                <w:rFonts w:ascii="Arial" w:hAnsi="Arial" w:cs="Arial"/>
                <w:color w:val="000000"/>
                <w:sz w:val="20"/>
                <w:szCs w:val="20"/>
              </w:rPr>
            </w:pPr>
          </w:p>
        </w:tc>
        <w:tc>
          <w:tcPr>
            <w:tcW w:w="540" w:type="dxa"/>
          </w:tcPr>
          <w:p w14:paraId="02302569"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0C17D396" w14:textId="67A4159B"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2.6%</w:t>
            </w:r>
          </w:p>
        </w:tc>
        <w:tc>
          <w:tcPr>
            <w:tcW w:w="1532" w:type="dxa"/>
            <w:vAlign w:val="bottom"/>
          </w:tcPr>
          <w:p w14:paraId="091CDBF1" w14:textId="052CCE6C"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10.1%</w:t>
            </w:r>
          </w:p>
        </w:tc>
        <w:tc>
          <w:tcPr>
            <w:tcW w:w="1531" w:type="dxa"/>
            <w:vAlign w:val="bottom"/>
          </w:tcPr>
          <w:p w14:paraId="332E6ABC" w14:textId="14F46A1A"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10.0%</w:t>
            </w:r>
          </w:p>
        </w:tc>
        <w:tc>
          <w:tcPr>
            <w:tcW w:w="1532" w:type="dxa"/>
            <w:vAlign w:val="bottom"/>
          </w:tcPr>
          <w:p w14:paraId="16C16FBD" w14:textId="6471D013"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77.3%</w:t>
            </w:r>
          </w:p>
        </w:tc>
        <w:tc>
          <w:tcPr>
            <w:tcW w:w="1532" w:type="dxa"/>
            <w:vAlign w:val="bottom"/>
          </w:tcPr>
          <w:p w14:paraId="15E87683" w14:textId="5B9F1D61"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100.0%</w:t>
            </w:r>
          </w:p>
        </w:tc>
      </w:tr>
      <w:tr w:rsidR="00DA19E9" w:rsidRPr="003D2556" w14:paraId="3E71947F" w14:textId="77777777" w:rsidTr="008469E3">
        <w:tc>
          <w:tcPr>
            <w:tcW w:w="1441" w:type="dxa"/>
            <w:vMerge w:val="restart"/>
          </w:tcPr>
          <w:p w14:paraId="1F00857F" w14:textId="77777777" w:rsidR="00DA19E9" w:rsidRPr="00B92CA6" w:rsidRDefault="00DA19E9" w:rsidP="0014104A">
            <w:pPr>
              <w:keepNext/>
              <w:spacing w:line="300" w:lineRule="auto"/>
              <w:rPr>
                <w:rFonts w:ascii="Arial" w:hAnsi="Arial" w:cs="Arial"/>
                <w:color w:val="000000"/>
                <w:sz w:val="20"/>
                <w:szCs w:val="20"/>
              </w:rPr>
            </w:pPr>
            <w:r w:rsidRPr="00B92CA6">
              <w:rPr>
                <w:rFonts w:ascii="Arial" w:hAnsi="Arial" w:cs="Arial"/>
                <w:color w:val="000000"/>
                <w:sz w:val="20"/>
                <w:szCs w:val="20"/>
              </w:rPr>
              <w:t>Fylde/BP Periphery</w:t>
            </w:r>
          </w:p>
        </w:tc>
        <w:tc>
          <w:tcPr>
            <w:tcW w:w="540" w:type="dxa"/>
          </w:tcPr>
          <w:p w14:paraId="720E20C4"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230BF1EC" w14:textId="11F9F6B2"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35</w:t>
            </w:r>
          </w:p>
        </w:tc>
        <w:tc>
          <w:tcPr>
            <w:tcW w:w="1532" w:type="dxa"/>
            <w:vAlign w:val="bottom"/>
          </w:tcPr>
          <w:p w14:paraId="1C4CA1CF" w14:textId="057171E0"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81</w:t>
            </w:r>
          </w:p>
        </w:tc>
        <w:tc>
          <w:tcPr>
            <w:tcW w:w="1531" w:type="dxa"/>
            <w:vAlign w:val="bottom"/>
          </w:tcPr>
          <w:p w14:paraId="42E84915" w14:textId="2C5123DD"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213</w:t>
            </w:r>
          </w:p>
        </w:tc>
        <w:tc>
          <w:tcPr>
            <w:tcW w:w="1532" w:type="dxa"/>
            <w:vAlign w:val="bottom"/>
          </w:tcPr>
          <w:p w14:paraId="64487E06" w14:textId="1AB90BFA"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799</w:t>
            </w:r>
          </w:p>
        </w:tc>
        <w:tc>
          <w:tcPr>
            <w:tcW w:w="1532" w:type="dxa"/>
            <w:vAlign w:val="bottom"/>
          </w:tcPr>
          <w:p w14:paraId="4C178C63" w14:textId="3BD39BD5"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1,129</w:t>
            </w:r>
          </w:p>
        </w:tc>
      </w:tr>
      <w:tr w:rsidR="00DA19E9" w:rsidRPr="003D2556" w14:paraId="74AC754E" w14:textId="77777777" w:rsidTr="008469E3">
        <w:tc>
          <w:tcPr>
            <w:tcW w:w="1441" w:type="dxa"/>
            <w:vMerge/>
          </w:tcPr>
          <w:p w14:paraId="265AA082" w14:textId="77777777" w:rsidR="00DA19E9" w:rsidRPr="00B92CA6" w:rsidRDefault="00DA19E9" w:rsidP="0014104A">
            <w:pPr>
              <w:keepNext/>
              <w:spacing w:line="300" w:lineRule="auto"/>
              <w:rPr>
                <w:rFonts w:ascii="Arial" w:hAnsi="Arial" w:cs="Arial"/>
                <w:color w:val="000000"/>
                <w:sz w:val="20"/>
                <w:szCs w:val="20"/>
              </w:rPr>
            </w:pPr>
          </w:p>
        </w:tc>
        <w:tc>
          <w:tcPr>
            <w:tcW w:w="540" w:type="dxa"/>
          </w:tcPr>
          <w:p w14:paraId="7DCC62EE"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24FC3E25" w14:textId="78C2A7A6"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3.1%</w:t>
            </w:r>
          </w:p>
        </w:tc>
        <w:tc>
          <w:tcPr>
            <w:tcW w:w="1532" w:type="dxa"/>
            <w:vAlign w:val="bottom"/>
          </w:tcPr>
          <w:p w14:paraId="7BE8EAAD" w14:textId="34BBDD90"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7.2%</w:t>
            </w:r>
          </w:p>
        </w:tc>
        <w:tc>
          <w:tcPr>
            <w:tcW w:w="1531" w:type="dxa"/>
            <w:vAlign w:val="bottom"/>
          </w:tcPr>
          <w:p w14:paraId="317FFBDD" w14:textId="0E4D5375"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18.9%</w:t>
            </w:r>
          </w:p>
        </w:tc>
        <w:tc>
          <w:tcPr>
            <w:tcW w:w="1532" w:type="dxa"/>
            <w:vAlign w:val="bottom"/>
          </w:tcPr>
          <w:p w14:paraId="15EE216F" w14:textId="30A7E073"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70.8%</w:t>
            </w:r>
          </w:p>
        </w:tc>
        <w:tc>
          <w:tcPr>
            <w:tcW w:w="1532" w:type="dxa"/>
            <w:vAlign w:val="bottom"/>
          </w:tcPr>
          <w:p w14:paraId="6B855220" w14:textId="30679FAF"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100.0%</w:t>
            </w:r>
          </w:p>
        </w:tc>
      </w:tr>
      <w:tr w:rsidR="00DA19E9" w:rsidRPr="003D2556" w14:paraId="285AB793" w14:textId="77777777" w:rsidTr="008469E3">
        <w:tc>
          <w:tcPr>
            <w:tcW w:w="1441" w:type="dxa"/>
            <w:vMerge w:val="restart"/>
          </w:tcPr>
          <w:p w14:paraId="171D2FE5" w14:textId="77777777" w:rsidR="00DA19E9" w:rsidRPr="00B92CA6" w:rsidRDefault="00DA19E9" w:rsidP="0014104A">
            <w:pPr>
              <w:keepNext/>
              <w:spacing w:line="300" w:lineRule="auto"/>
              <w:rPr>
                <w:rFonts w:ascii="Arial" w:hAnsi="Arial" w:cs="Arial"/>
                <w:color w:val="000000"/>
                <w:sz w:val="20"/>
                <w:szCs w:val="20"/>
              </w:rPr>
            </w:pPr>
            <w:r w:rsidRPr="00B92CA6">
              <w:rPr>
                <w:rFonts w:ascii="Arial" w:hAnsi="Arial" w:cs="Arial"/>
                <w:color w:val="000000"/>
                <w:sz w:val="20"/>
                <w:szCs w:val="20"/>
              </w:rPr>
              <w:t>Kirkham</w:t>
            </w:r>
          </w:p>
        </w:tc>
        <w:tc>
          <w:tcPr>
            <w:tcW w:w="540" w:type="dxa"/>
          </w:tcPr>
          <w:p w14:paraId="55C30FB9"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373F1A81" w14:textId="65F3E84B"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235</w:t>
            </w:r>
          </w:p>
        </w:tc>
        <w:tc>
          <w:tcPr>
            <w:tcW w:w="1532" w:type="dxa"/>
            <w:vAlign w:val="bottom"/>
          </w:tcPr>
          <w:p w14:paraId="0AE888BB" w14:textId="3F11A8FF"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253</w:t>
            </w:r>
          </w:p>
        </w:tc>
        <w:tc>
          <w:tcPr>
            <w:tcW w:w="1531" w:type="dxa"/>
            <w:vAlign w:val="bottom"/>
          </w:tcPr>
          <w:p w14:paraId="15D21473" w14:textId="78D69C22"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200</w:t>
            </w:r>
          </w:p>
        </w:tc>
        <w:tc>
          <w:tcPr>
            <w:tcW w:w="1532" w:type="dxa"/>
            <w:vAlign w:val="bottom"/>
          </w:tcPr>
          <w:p w14:paraId="37674131" w14:textId="54FCF866"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2,598</w:t>
            </w:r>
          </w:p>
        </w:tc>
        <w:tc>
          <w:tcPr>
            <w:tcW w:w="1532" w:type="dxa"/>
            <w:vAlign w:val="bottom"/>
          </w:tcPr>
          <w:p w14:paraId="0F3CBE3C" w14:textId="29F034EC"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3,285</w:t>
            </w:r>
          </w:p>
        </w:tc>
      </w:tr>
      <w:tr w:rsidR="00DA19E9" w:rsidRPr="003D2556" w14:paraId="6C84AEA3" w14:textId="77777777" w:rsidTr="008469E3">
        <w:tc>
          <w:tcPr>
            <w:tcW w:w="1441" w:type="dxa"/>
            <w:vMerge/>
          </w:tcPr>
          <w:p w14:paraId="3B414996" w14:textId="77777777" w:rsidR="00DA19E9" w:rsidRPr="00B92CA6" w:rsidRDefault="00DA19E9" w:rsidP="0014104A">
            <w:pPr>
              <w:keepNext/>
              <w:spacing w:line="300" w:lineRule="auto"/>
              <w:rPr>
                <w:rFonts w:ascii="Arial" w:hAnsi="Arial" w:cs="Arial"/>
                <w:color w:val="000000"/>
                <w:sz w:val="20"/>
                <w:szCs w:val="20"/>
              </w:rPr>
            </w:pPr>
          </w:p>
        </w:tc>
        <w:tc>
          <w:tcPr>
            <w:tcW w:w="540" w:type="dxa"/>
          </w:tcPr>
          <w:p w14:paraId="52B0C866"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6304C0C7" w14:textId="30ABAC28"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7.1%</w:t>
            </w:r>
          </w:p>
        </w:tc>
        <w:tc>
          <w:tcPr>
            <w:tcW w:w="1532" w:type="dxa"/>
            <w:vAlign w:val="bottom"/>
          </w:tcPr>
          <w:p w14:paraId="48647652" w14:textId="059014C6"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7.7%</w:t>
            </w:r>
          </w:p>
        </w:tc>
        <w:tc>
          <w:tcPr>
            <w:tcW w:w="1531" w:type="dxa"/>
            <w:vAlign w:val="bottom"/>
          </w:tcPr>
          <w:p w14:paraId="511C146F" w14:textId="6D47D566"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6.1%</w:t>
            </w:r>
          </w:p>
        </w:tc>
        <w:tc>
          <w:tcPr>
            <w:tcW w:w="1532" w:type="dxa"/>
            <w:vAlign w:val="bottom"/>
          </w:tcPr>
          <w:p w14:paraId="3D48CEB3" w14:textId="64CC9AE6"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79.1%</w:t>
            </w:r>
          </w:p>
        </w:tc>
        <w:tc>
          <w:tcPr>
            <w:tcW w:w="1532" w:type="dxa"/>
            <w:vAlign w:val="bottom"/>
          </w:tcPr>
          <w:p w14:paraId="2D2E83D8" w14:textId="1BE83180"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100.0%</w:t>
            </w:r>
          </w:p>
        </w:tc>
      </w:tr>
      <w:tr w:rsidR="00DA19E9" w:rsidRPr="003D2556" w14:paraId="65269C4D" w14:textId="77777777" w:rsidTr="008469E3">
        <w:tc>
          <w:tcPr>
            <w:tcW w:w="1441" w:type="dxa"/>
            <w:vMerge w:val="restart"/>
          </w:tcPr>
          <w:p w14:paraId="392C93C2" w14:textId="77777777" w:rsidR="00DA19E9" w:rsidRPr="00B92CA6" w:rsidRDefault="00DA19E9" w:rsidP="0014104A">
            <w:pPr>
              <w:keepNext/>
              <w:spacing w:line="300" w:lineRule="auto"/>
              <w:rPr>
                <w:rFonts w:ascii="Arial" w:hAnsi="Arial" w:cs="Arial"/>
                <w:sz w:val="20"/>
                <w:szCs w:val="20"/>
              </w:rPr>
            </w:pPr>
            <w:r w:rsidRPr="00B92CA6">
              <w:rPr>
                <w:rFonts w:ascii="Arial" w:hAnsi="Arial" w:cs="Arial"/>
                <w:sz w:val="20"/>
                <w:szCs w:val="20"/>
              </w:rPr>
              <w:t>Wesham</w:t>
            </w:r>
          </w:p>
        </w:tc>
        <w:tc>
          <w:tcPr>
            <w:tcW w:w="540" w:type="dxa"/>
          </w:tcPr>
          <w:p w14:paraId="7E2D4CB8"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2AE5277B" w14:textId="188E1D21"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169</w:t>
            </w:r>
          </w:p>
        </w:tc>
        <w:tc>
          <w:tcPr>
            <w:tcW w:w="1532" w:type="dxa"/>
            <w:vAlign w:val="bottom"/>
          </w:tcPr>
          <w:p w14:paraId="34285E3E" w14:textId="6695CACB"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117</w:t>
            </w:r>
          </w:p>
        </w:tc>
        <w:tc>
          <w:tcPr>
            <w:tcW w:w="1531" w:type="dxa"/>
            <w:vAlign w:val="bottom"/>
          </w:tcPr>
          <w:p w14:paraId="0BB45215" w14:textId="434BF850"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201</w:t>
            </w:r>
          </w:p>
        </w:tc>
        <w:tc>
          <w:tcPr>
            <w:tcW w:w="1532" w:type="dxa"/>
            <w:vAlign w:val="bottom"/>
          </w:tcPr>
          <w:p w14:paraId="1FBDB624" w14:textId="1674F414"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1,455</w:t>
            </w:r>
          </w:p>
        </w:tc>
        <w:tc>
          <w:tcPr>
            <w:tcW w:w="1532" w:type="dxa"/>
            <w:vAlign w:val="bottom"/>
          </w:tcPr>
          <w:p w14:paraId="4C0133A2" w14:textId="4A5D4767"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1,942</w:t>
            </w:r>
          </w:p>
        </w:tc>
      </w:tr>
      <w:tr w:rsidR="00DA19E9" w:rsidRPr="003D2556" w14:paraId="6D382178" w14:textId="77777777" w:rsidTr="008469E3">
        <w:tc>
          <w:tcPr>
            <w:tcW w:w="1441" w:type="dxa"/>
            <w:vMerge/>
          </w:tcPr>
          <w:p w14:paraId="154716A2" w14:textId="77777777" w:rsidR="00DA19E9" w:rsidRPr="00B92CA6" w:rsidRDefault="00DA19E9" w:rsidP="0014104A">
            <w:pPr>
              <w:keepNext/>
              <w:spacing w:line="300" w:lineRule="auto"/>
              <w:rPr>
                <w:rFonts w:ascii="Arial" w:hAnsi="Arial" w:cs="Arial"/>
                <w:sz w:val="20"/>
                <w:szCs w:val="20"/>
              </w:rPr>
            </w:pPr>
          </w:p>
        </w:tc>
        <w:tc>
          <w:tcPr>
            <w:tcW w:w="540" w:type="dxa"/>
          </w:tcPr>
          <w:p w14:paraId="633C0477"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10842B3D" w14:textId="605C7F56"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8.7%</w:t>
            </w:r>
          </w:p>
        </w:tc>
        <w:tc>
          <w:tcPr>
            <w:tcW w:w="1532" w:type="dxa"/>
            <w:vAlign w:val="bottom"/>
          </w:tcPr>
          <w:p w14:paraId="397B8D1D" w14:textId="7CFC27B5"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6.0%</w:t>
            </w:r>
          </w:p>
        </w:tc>
        <w:tc>
          <w:tcPr>
            <w:tcW w:w="1531" w:type="dxa"/>
            <w:vAlign w:val="bottom"/>
          </w:tcPr>
          <w:p w14:paraId="53E17617" w14:textId="4E054EB4"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10.4%</w:t>
            </w:r>
          </w:p>
        </w:tc>
        <w:tc>
          <w:tcPr>
            <w:tcW w:w="1532" w:type="dxa"/>
            <w:vAlign w:val="bottom"/>
          </w:tcPr>
          <w:p w14:paraId="0B7C210F" w14:textId="40D34BC7"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74.9%</w:t>
            </w:r>
          </w:p>
        </w:tc>
        <w:tc>
          <w:tcPr>
            <w:tcW w:w="1532" w:type="dxa"/>
            <w:vAlign w:val="bottom"/>
          </w:tcPr>
          <w:p w14:paraId="340CE19D" w14:textId="28AFC567"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100.0%</w:t>
            </w:r>
          </w:p>
        </w:tc>
      </w:tr>
      <w:tr w:rsidR="00DA19E9" w:rsidRPr="003D2556" w14:paraId="020204C7" w14:textId="77777777" w:rsidTr="008469E3">
        <w:tc>
          <w:tcPr>
            <w:tcW w:w="1441" w:type="dxa"/>
            <w:vMerge w:val="restart"/>
          </w:tcPr>
          <w:p w14:paraId="1D68E5D7" w14:textId="77777777" w:rsidR="00DA19E9" w:rsidRPr="00B92CA6" w:rsidRDefault="00DA19E9" w:rsidP="0014104A">
            <w:pPr>
              <w:keepNext/>
              <w:spacing w:line="300" w:lineRule="auto"/>
              <w:rPr>
                <w:rFonts w:ascii="Arial" w:hAnsi="Arial" w:cs="Arial"/>
                <w:sz w:val="20"/>
                <w:szCs w:val="20"/>
              </w:rPr>
            </w:pPr>
            <w:r w:rsidRPr="00B92CA6">
              <w:rPr>
                <w:rFonts w:ascii="Arial" w:hAnsi="Arial" w:cs="Arial"/>
                <w:sz w:val="20"/>
                <w:szCs w:val="20"/>
              </w:rPr>
              <w:t>Freckleton</w:t>
            </w:r>
          </w:p>
        </w:tc>
        <w:tc>
          <w:tcPr>
            <w:tcW w:w="540" w:type="dxa"/>
          </w:tcPr>
          <w:p w14:paraId="5C463CA6"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0D919A74" w14:textId="588928F1"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149</w:t>
            </w:r>
          </w:p>
        </w:tc>
        <w:tc>
          <w:tcPr>
            <w:tcW w:w="1532" w:type="dxa"/>
            <w:vAlign w:val="bottom"/>
          </w:tcPr>
          <w:p w14:paraId="25DF0811" w14:textId="5F23ECDC"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195</w:t>
            </w:r>
          </w:p>
        </w:tc>
        <w:tc>
          <w:tcPr>
            <w:tcW w:w="1531" w:type="dxa"/>
            <w:vAlign w:val="bottom"/>
          </w:tcPr>
          <w:p w14:paraId="7845494B" w14:textId="176FDF0B"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100</w:t>
            </w:r>
          </w:p>
        </w:tc>
        <w:tc>
          <w:tcPr>
            <w:tcW w:w="1532" w:type="dxa"/>
            <w:vAlign w:val="bottom"/>
          </w:tcPr>
          <w:p w14:paraId="1519A947" w14:textId="7403BFF4"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2,233</w:t>
            </w:r>
          </w:p>
        </w:tc>
        <w:tc>
          <w:tcPr>
            <w:tcW w:w="1532" w:type="dxa"/>
            <w:vAlign w:val="bottom"/>
          </w:tcPr>
          <w:p w14:paraId="147FB2FB" w14:textId="3282A2CD"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2,678</w:t>
            </w:r>
          </w:p>
        </w:tc>
      </w:tr>
      <w:tr w:rsidR="00DA19E9" w:rsidRPr="003D2556" w14:paraId="24286BB2" w14:textId="77777777" w:rsidTr="008469E3">
        <w:tc>
          <w:tcPr>
            <w:tcW w:w="1441" w:type="dxa"/>
            <w:vMerge/>
          </w:tcPr>
          <w:p w14:paraId="227E059C" w14:textId="77777777" w:rsidR="00DA19E9" w:rsidRPr="00B92CA6" w:rsidRDefault="00DA19E9" w:rsidP="0014104A">
            <w:pPr>
              <w:keepNext/>
              <w:spacing w:line="300" w:lineRule="auto"/>
              <w:rPr>
                <w:rFonts w:ascii="Arial" w:hAnsi="Arial" w:cs="Arial"/>
                <w:sz w:val="20"/>
                <w:szCs w:val="20"/>
              </w:rPr>
            </w:pPr>
          </w:p>
        </w:tc>
        <w:tc>
          <w:tcPr>
            <w:tcW w:w="540" w:type="dxa"/>
          </w:tcPr>
          <w:p w14:paraId="57A9F7CE"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2E948B47" w14:textId="6942B08D"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5.6%</w:t>
            </w:r>
          </w:p>
        </w:tc>
        <w:tc>
          <w:tcPr>
            <w:tcW w:w="1532" w:type="dxa"/>
            <w:vAlign w:val="bottom"/>
          </w:tcPr>
          <w:p w14:paraId="13AFFCC9" w14:textId="37AFC00A"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7.3%</w:t>
            </w:r>
          </w:p>
        </w:tc>
        <w:tc>
          <w:tcPr>
            <w:tcW w:w="1531" w:type="dxa"/>
            <w:vAlign w:val="bottom"/>
          </w:tcPr>
          <w:p w14:paraId="61816443" w14:textId="48ED3847"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3.8%</w:t>
            </w:r>
          </w:p>
        </w:tc>
        <w:tc>
          <w:tcPr>
            <w:tcW w:w="1532" w:type="dxa"/>
            <w:vAlign w:val="bottom"/>
          </w:tcPr>
          <w:p w14:paraId="3BF055DA" w14:textId="1BC33A4D"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83.3%</w:t>
            </w:r>
          </w:p>
        </w:tc>
        <w:tc>
          <w:tcPr>
            <w:tcW w:w="1532" w:type="dxa"/>
            <w:vAlign w:val="bottom"/>
          </w:tcPr>
          <w:p w14:paraId="0E1A5B2C" w14:textId="43B8168C"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100.0%</w:t>
            </w:r>
          </w:p>
        </w:tc>
      </w:tr>
      <w:tr w:rsidR="00DA19E9" w:rsidRPr="003D2556" w14:paraId="583E8E01" w14:textId="77777777" w:rsidTr="008469E3">
        <w:tc>
          <w:tcPr>
            <w:tcW w:w="1441" w:type="dxa"/>
            <w:vMerge w:val="restart"/>
          </w:tcPr>
          <w:p w14:paraId="3DB854CB" w14:textId="77777777" w:rsidR="00DA19E9" w:rsidRPr="00B92CA6" w:rsidRDefault="00DA19E9" w:rsidP="0014104A">
            <w:pPr>
              <w:keepNext/>
              <w:spacing w:line="300" w:lineRule="auto"/>
              <w:rPr>
                <w:rFonts w:ascii="Arial" w:hAnsi="Arial" w:cs="Arial"/>
                <w:sz w:val="20"/>
                <w:szCs w:val="20"/>
              </w:rPr>
            </w:pPr>
            <w:r w:rsidRPr="00B92CA6">
              <w:rPr>
                <w:rFonts w:ascii="Arial" w:hAnsi="Arial" w:cs="Arial"/>
                <w:sz w:val="20"/>
                <w:szCs w:val="20"/>
              </w:rPr>
              <w:t>Rural North</w:t>
            </w:r>
          </w:p>
        </w:tc>
        <w:tc>
          <w:tcPr>
            <w:tcW w:w="540" w:type="dxa"/>
          </w:tcPr>
          <w:p w14:paraId="6399D45F"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1F753E8B" w14:textId="7ABF228A"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62</w:t>
            </w:r>
          </w:p>
        </w:tc>
        <w:tc>
          <w:tcPr>
            <w:tcW w:w="1532" w:type="dxa"/>
            <w:vAlign w:val="bottom"/>
          </w:tcPr>
          <w:p w14:paraId="6FED21E6" w14:textId="4FB4A43B"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291</w:t>
            </w:r>
          </w:p>
        </w:tc>
        <w:tc>
          <w:tcPr>
            <w:tcW w:w="1531" w:type="dxa"/>
            <w:vAlign w:val="bottom"/>
          </w:tcPr>
          <w:p w14:paraId="773A78BA" w14:textId="793873D0"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190</w:t>
            </w:r>
          </w:p>
        </w:tc>
        <w:tc>
          <w:tcPr>
            <w:tcW w:w="1532" w:type="dxa"/>
            <w:vAlign w:val="bottom"/>
          </w:tcPr>
          <w:p w14:paraId="1936614C" w14:textId="2E92093B"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2,297</w:t>
            </w:r>
          </w:p>
        </w:tc>
        <w:tc>
          <w:tcPr>
            <w:tcW w:w="1532" w:type="dxa"/>
            <w:vAlign w:val="bottom"/>
          </w:tcPr>
          <w:p w14:paraId="563F5F79" w14:textId="420B52EC"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2,840</w:t>
            </w:r>
          </w:p>
        </w:tc>
      </w:tr>
      <w:tr w:rsidR="00DA19E9" w:rsidRPr="003D2556" w14:paraId="31314593" w14:textId="77777777" w:rsidTr="008469E3">
        <w:tc>
          <w:tcPr>
            <w:tcW w:w="1441" w:type="dxa"/>
            <w:vMerge/>
          </w:tcPr>
          <w:p w14:paraId="72DAAF86" w14:textId="77777777" w:rsidR="00DA19E9" w:rsidRPr="00B92CA6" w:rsidRDefault="00DA19E9" w:rsidP="0014104A">
            <w:pPr>
              <w:keepNext/>
              <w:spacing w:line="300" w:lineRule="auto"/>
              <w:rPr>
                <w:rFonts w:ascii="Arial" w:hAnsi="Arial" w:cs="Arial"/>
                <w:sz w:val="20"/>
                <w:szCs w:val="20"/>
              </w:rPr>
            </w:pPr>
          </w:p>
        </w:tc>
        <w:tc>
          <w:tcPr>
            <w:tcW w:w="540" w:type="dxa"/>
          </w:tcPr>
          <w:p w14:paraId="4A8CAEDA"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121CAEC0" w14:textId="0738A1D9"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2.2%</w:t>
            </w:r>
          </w:p>
        </w:tc>
        <w:tc>
          <w:tcPr>
            <w:tcW w:w="1532" w:type="dxa"/>
            <w:vAlign w:val="bottom"/>
          </w:tcPr>
          <w:p w14:paraId="7168AF26" w14:textId="48CD9905"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10.2%</w:t>
            </w:r>
          </w:p>
        </w:tc>
        <w:tc>
          <w:tcPr>
            <w:tcW w:w="1531" w:type="dxa"/>
            <w:vAlign w:val="bottom"/>
          </w:tcPr>
          <w:p w14:paraId="581435DF" w14:textId="0E1A959D"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6.7%</w:t>
            </w:r>
          </w:p>
        </w:tc>
        <w:tc>
          <w:tcPr>
            <w:tcW w:w="1532" w:type="dxa"/>
            <w:vAlign w:val="bottom"/>
          </w:tcPr>
          <w:p w14:paraId="1A63899A" w14:textId="34473377"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80.9%</w:t>
            </w:r>
          </w:p>
        </w:tc>
        <w:tc>
          <w:tcPr>
            <w:tcW w:w="1532" w:type="dxa"/>
            <w:vAlign w:val="bottom"/>
          </w:tcPr>
          <w:p w14:paraId="77A28766" w14:textId="2892B231"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100.0%</w:t>
            </w:r>
          </w:p>
        </w:tc>
      </w:tr>
      <w:tr w:rsidR="00DA19E9" w:rsidRPr="003D2556" w14:paraId="58509885" w14:textId="77777777" w:rsidTr="008469E3">
        <w:tc>
          <w:tcPr>
            <w:tcW w:w="1441" w:type="dxa"/>
            <w:vMerge w:val="restart"/>
          </w:tcPr>
          <w:p w14:paraId="4A46D312" w14:textId="77777777" w:rsidR="00DA19E9" w:rsidRPr="00B92CA6" w:rsidRDefault="00DA19E9" w:rsidP="0014104A">
            <w:pPr>
              <w:keepNext/>
              <w:spacing w:line="300" w:lineRule="auto"/>
              <w:rPr>
                <w:rFonts w:ascii="Arial" w:hAnsi="Arial" w:cs="Arial"/>
                <w:sz w:val="20"/>
                <w:szCs w:val="20"/>
              </w:rPr>
            </w:pPr>
            <w:r w:rsidRPr="00B92CA6">
              <w:rPr>
                <w:rFonts w:ascii="Arial" w:hAnsi="Arial" w:cs="Arial"/>
                <w:sz w:val="20"/>
                <w:szCs w:val="20"/>
              </w:rPr>
              <w:t>Rural West</w:t>
            </w:r>
          </w:p>
        </w:tc>
        <w:tc>
          <w:tcPr>
            <w:tcW w:w="540" w:type="dxa"/>
          </w:tcPr>
          <w:p w14:paraId="1A1C3BFF"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4836730A" w14:textId="66701EB9"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48</w:t>
            </w:r>
          </w:p>
        </w:tc>
        <w:tc>
          <w:tcPr>
            <w:tcW w:w="1532" w:type="dxa"/>
            <w:vAlign w:val="bottom"/>
          </w:tcPr>
          <w:p w14:paraId="6BE81275" w14:textId="18C24562"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96</w:t>
            </w:r>
          </w:p>
        </w:tc>
        <w:tc>
          <w:tcPr>
            <w:tcW w:w="1531" w:type="dxa"/>
            <w:vAlign w:val="bottom"/>
          </w:tcPr>
          <w:p w14:paraId="41190BD0" w14:textId="5D957048"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89</w:t>
            </w:r>
          </w:p>
        </w:tc>
        <w:tc>
          <w:tcPr>
            <w:tcW w:w="1532" w:type="dxa"/>
            <w:vAlign w:val="bottom"/>
          </w:tcPr>
          <w:p w14:paraId="78E70765" w14:textId="53B82708"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1,092</w:t>
            </w:r>
          </w:p>
        </w:tc>
        <w:tc>
          <w:tcPr>
            <w:tcW w:w="1532" w:type="dxa"/>
            <w:vAlign w:val="bottom"/>
          </w:tcPr>
          <w:p w14:paraId="5213AFEA" w14:textId="4F14248F"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1,325</w:t>
            </w:r>
          </w:p>
        </w:tc>
      </w:tr>
      <w:tr w:rsidR="00DA19E9" w:rsidRPr="003D2556" w14:paraId="4EC5E220" w14:textId="77777777" w:rsidTr="008469E3">
        <w:tc>
          <w:tcPr>
            <w:tcW w:w="1441" w:type="dxa"/>
            <w:vMerge/>
          </w:tcPr>
          <w:p w14:paraId="26F81177" w14:textId="77777777" w:rsidR="00DA19E9" w:rsidRPr="00B92CA6" w:rsidRDefault="00DA19E9" w:rsidP="0014104A">
            <w:pPr>
              <w:keepNext/>
              <w:spacing w:line="300" w:lineRule="auto"/>
              <w:rPr>
                <w:rFonts w:ascii="Arial" w:hAnsi="Arial" w:cs="Arial"/>
                <w:sz w:val="20"/>
                <w:szCs w:val="20"/>
              </w:rPr>
            </w:pPr>
          </w:p>
        </w:tc>
        <w:tc>
          <w:tcPr>
            <w:tcW w:w="540" w:type="dxa"/>
          </w:tcPr>
          <w:p w14:paraId="15C2D255"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6E0BC105" w14:textId="5D28B617"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3.6%</w:t>
            </w:r>
          </w:p>
        </w:tc>
        <w:tc>
          <w:tcPr>
            <w:tcW w:w="1532" w:type="dxa"/>
            <w:vAlign w:val="bottom"/>
          </w:tcPr>
          <w:p w14:paraId="53F8DB38" w14:textId="5A62FD67"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7.2%</w:t>
            </w:r>
          </w:p>
        </w:tc>
        <w:tc>
          <w:tcPr>
            <w:tcW w:w="1531" w:type="dxa"/>
            <w:vAlign w:val="bottom"/>
          </w:tcPr>
          <w:p w14:paraId="0CFEDDAC" w14:textId="76CBDE9C"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6.7%</w:t>
            </w:r>
          </w:p>
        </w:tc>
        <w:tc>
          <w:tcPr>
            <w:tcW w:w="1532" w:type="dxa"/>
            <w:vAlign w:val="bottom"/>
          </w:tcPr>
          <w:p w14:paraId="288AB94C" w14:textId="495A4896"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82.5%</w:t>
            </w:r>
          </w:p>
        </w:tc>
        <w:tc>
          <w:tcPr>
            <w:tcW w:w="1532" w:type="dxa"/>
            <w:vAlign w:val="bottom"/>
          </w:tcPr>
          <w:p w14:paraId="6CF359B8" w14:textId="2CE77540"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100.0%</w:t>
            </w:r>
          </w:p>
        </w:tc>
      </w:tr>
      <w:tr w:rsidR="00DA19E9" w:rsidRPr="003D2556" w14:paraId="0FCCE9F2" w14:textId="77777777" w:rsidTr="008469E3">
        <w:tc>
          <w:tcPr>
            <w:tcW w:w="1441" w:type="dxa"/>
            <w:vMerge w:val="restart"/>
          </w:tcPr>
          <w:p w14:paraId="1880D040" w14:textId="77777777" w:rsidR="00DA19E9" w:rsidRPr="00B92CA6" w:rsidRDefault="00DA19E9" w:rsidP="0014104A">
            <w:pPr>
              <w:keepNext/>
              <w:spacing w:line="300" w:lineRule="auto"/>
              <w:rPr>
                <w:rFonts w:ascii="Arial" w:hAnsi="Arial" w:cs="Arial"/>
                <w:sz w:val="20"/>
                <w:szCs w:val="20"/>
              </w:rPr>
            </w:pPr>
            <w:r w:rsidRPr="00B92CA6">
              <w:rPr>
                <w:rFonts w:ascii="Arial" w:hAnsi="Arial" w:cs="Arial"/>
                <w:sz w:val="20"/>
                <w:szCs w:val="20"/>
              </w:rPr>
              <w:t>Rural East</w:t>
            </w:r>
          </w:p>
        </w:tc>
        <w:tc>
          <w:tcPr>
            <w:tcW w:w="540" w:type="dxa"/>
          </w:tcPr>
          <w:p w14:paraId="20C1ECEF"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4AAB63D1" w14:textId="32B4E993"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28</w:t>
            </w:r>
          </w:p>
        </w:tc>
        <w:tc>
          <w:tcPr>
            <w:tcW w:w="1532" w:type="dxa"/>
            <w:vAlign w:val="bottom"/>
          </w:tcPr>
          <w:p w14:paraId="2C211E58" w14:textId="5A7732DC"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107</w:t>
            </w:r>
          </w:p>
        </w:tc>
        <w:tc>
          <w:tcPr>
            <w:tcW w:w="1531" w:type="dxa"/>
            <w:vAlign w:val="bottom"/>
          </w:tcPr>
          <w:p w14:paraId="0D95F282" w14:textId="1E664D3A"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112</w:t>
            </w:r>
          </w:p>
        </w:tc>
        <w:tc>
          <w:tcPr>
            <w:tcW w:w="1532" w:type="dxa"/>
            <w:vAlign w:val="bottom"/>
          </w:tcPr>
          <w:p w14:paraId="4C852537" w14:textId="7B6B41AB"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1,101</w:t>
            </w:r>
          </w:p>
        </w:tc>
        <w:tc>
          <w:tcPr>
            <w:tcW w:w="1532" w:type="dxa"/>
            <w:vAlign w:val="bottom"/>
          </w:tcPr>
          <w:p w14:paraId="2AF18D77" w14:textId="489310CB"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1,348</w:t>
            </w:r>
          </w:p>
        </w:tc>
      </w:tr>
      <w:tr w:rsidR="00DA19E9" w:rsidRPr="003D2556" w14:paraId="7F0C58B0" w14:textId="77777777" w:rsidTr="008469E3">
        <w:tc>
          <w:tcPr>
            <w:tcW w:w="1441" w:type="dxa"/>
            <w:vMerge/>
          </w:tcPr>
          <w:p w14:paraId="4337A8FA" w14:textId="77777777" w:rsidR="00DA19E9" w:rsidRPr="00B92CA6" w:rsidRDefault="00DA19E9" w:rsidP="0014104A">
            <w:pPr>
              <w:keepNext/>
              <w:spacing w:line="300" w:lineRule="auto"/>
              <w:rPr>
                <w:rFonts w:ascii="Arial" w:hAnsi="Arial" w:cs="Arial"/>
                <w:sz w:val="20"/>
                <w:szCs w:val="20"/>
              </w:rPr>
            </w:pPr>
          </w:p>
        </w:tc>
        <w:tc>
          <w:tcPr>
            <w:tcW w:w="540" w:type="dxa"/>
          </w:tcPr>
          <w:p w14:paraId="495A6446"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2BC5A906" w14:textId="657200E0"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2.1%</w:t>
            </w:r>
          </w:p>
        </w:tc>
        <w:tc>
          <w:tcPr>
            <w:tcW w:w="1532" w:type="dxa"/>
            <w:vAlign w:val="bottom"/>
          </w:tcPr>
          <w:p w14:paraId="58F20B9E" w14:textId="33D69ACB"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7.9%</w:t>
            </w:r>
          </w:p>
        </w:tc>
        <w:tc>
          <w:tcPr>
            <w:tcW w:w="1531" w:type="dxa"/>
            <w:vAlign w:val="bottom"/>
          </w:tcPr>
          <w:p w14:paraId="58B48E54" w14:textId="6EC8ECFB"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8.3%</w:t>
            </w:r>
          </w:p>
        </w:tc>
        <w:tc>
          <w:tcPr>
            <w:tcW w:w="1532" w:type="dxa"/>
            <w:vAlign w:val="bottom"/>
          </w:tcPr>
          <w:p w14:paraId="21C515DE" w14:textId="64C46867"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81.7%</w:t>
            </w:r>
          </w:p>
        </w:tc>
        <w:tc>
          <w:tcPr>
            <w:tcW w:w="1532" w:type="dxa"/>
            <w:vAlign w:val="bottom"/>
          </w:tcPr>
          <w:p w14:paraId="20E4A7F6" w14:textId="6294D015"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100.0%</w:t>
            </w:r>
          </w:p>
        </w:tc>
      </w:tr>
      <w:tr w:rsidR="00DA19E9" w:rsidRPr="003D2556" w14:paraId="3C1CFF96" w14:textId="77777777" w:rsidTr="008469E3">
        <w:tc>
          <w:tcPr>
            <w:tcW w:w="1441" w:type="dxa"/>
            <w:vMerge w:val="restart"/>
          </w:tcPr>
          <w:p w14:paraId="17B34D5A" w14:textId="77777777" w:rsidR="00DA19E9" w:rsidRPr="00B92CA6" w:rsidRDefault="00DA19E9" w:rsidP="0014104A">
            <w:pPr>
              <w:keepNext/>
              <w:widowControl w:val="0"/>
              <w:spacing w:line="300" w:lineRule="auto"/>
              <w:rPr>
                <w:rFonts w:ascii="Arial" w:hAnsi="Arial" w:cs="Arial"/>
                <w:sz w:val="20"/>
                <w:szCs w:val="20"/>
              </w:rPr>
            </w:pPr>
            <w:r w:rsidRPr="00B92CA6">
              <w:rPr>
                <w:rFonts w:ascii="Arial" w:hAnsi="Arial" w:cs="Arial"/>
                <w:sz w:val="20"/>
                <w:szCs w:val="20"/>
              </w:rPr>
              <w:t>BOROUGH</w:t>
            </w:r>
          </w:p>
        </w:tc>
        <w:tc>
          <w:tcPr>
            <w:tcW w:w="540" w:type="dxa"/>
          </w:tcPr>
          <w:p w14:paraId="54AB4172"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No.</w:t>
            </w:r>
          </w:p>
        </w:tc>
        <w:tc>
          <w:tcPr>
            <w:tcW w:w="1531" w:type="dxa"/>
            <w:vAlign w:val="bottom"/>
          </w:tcPr>
          <w:p w14:paraId="48FAA4C1" w14:textId="441BA12C"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2,097</w:t>
            </w:r>
          </w:p>
        </w:tc>
        <w:tc>
          <w:tcPr>
            <w:tcW w:w="1532" w:type="dxa"/>
            <w:vAlign w:val="bottom"/>
          </w:tcPr>
          <w:p w14:paraId="528F60FF" w14:textId="5112AE87"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3,222</w:t>
            </w:r>
          </w:p>
        </w:tc>
        <w:tc>
          <w:tcPr>
            <w:tcW w:w="1531" w:type="dxa"/>
            <w:vAlign w:val="bottom"/>
          </w:tcPr>
          <w:p w14:paraId="6188EB27" w14:textId="23850F30"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2,698</w:t>
            </w:r>
          </w:p>
        </w:tc>
        <w:tc>
          <w:tcPr>
            <w:tcW w:w="1532" w:type="dxa"/>
            <w:vAlign w:val="bottom"/>
          </w:tcPr>
          <w:p w14:paraId="5CB2332C" w14:textId="3AA18612"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30,983</w:t>
            </w:r>
          </w:p>
        </w:tc>
        <w:tc>
          <w:tcPr>
            <w:tcW w:w="1532" w:type="dxa"/>
            <w:vAlign w:val="bottom"/>
          </w:tcPr>
          <w:p w14:paraId="3B62106D" w14:textId="001E7A5D"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39,000</w:t>
            </w:r>
          </w:p>
        </w:tc>
      </w:tr>
      <w:tr w:rsidR="00DA19E9" w:rsidRPr="003D2556" w14:paraId="45C405A9" w14:textId="77777777" w:rsidTr="008469E3">
        <w:tc>
          <w:tcPr>
            <w:tcW w:w="1441" w:type="dxa"/>
            <w:vMerge/>
          </w:tcPr>
          <w:p w14:paraId="3F85FD1A" w14:textId="77777777" w:rsidR="00DA19E9" w:rsidRPr="00B92CA6" w:rsidRDefault="00DA19E9" w:rsidP="0014104A">
            <w:pPr>
              <w:keepNext/>
              <w:widowControl w:val="0"/>
              <w:spacing w:line="300" w:lineRule="auto"/>
              <w:rPr>
                <w:rFonts w:ascii="Arial" w:hAnsi="Arial" w:cs="Arial"/>
                <w:sz w:val="20"/>
                <w:szCs w:val="20"/>
              </w:rPr>
            </w:pPr>
          </w:p>
        </w:tc>
        <w:tc>
          <w:tcPr>
            <w:tcW w:w="540" w:type="dxa"/>
          </w:tcPr>
          <w:p w14:paraId="124B9F99" w14:textId="77777777" w:rsidR="00DA19E9" w:rsidRPr="00B92CA6" w:rsidRDefault="00DA19E9" w:rsidP="00172F56">
            <w:pPr>
              <w:keepNext/>
              <w:spacing w:line="300" w:lineRule="auto"/>
              <w:rPr>
                <w:rFonts w:ascii="Arial" w:hAnsi="Arial" w:cs="Arial"/>
                <w:color w:val="000000"/>
                <w:sz w:val="20"/>
                <w:szCs w:val="20"/>
              </w:rPr>
            </w:pPr>
            <w:r w:rsidRPr="00B92CA6">
              <w:rPr>
                <w:rFonts w:ascii="Arial" w:hAnsi="Arial" w:cs="Arial"/>
                <w:color w:val="000000"/>
                <w:sz w:val="20"/>
                <w:szCs w:val="20"/>
              </w:rPr>
              <w:t>%</w:t>
            </w:r>
          </w:p>
        </w:tc>
        <w:tc>
          <w:tcPr>
            <w:tcW w:w="1531" w:type="dxa"/>
            <w:vAlign w:val="bottom"/>
          </w:tcPr>
          <w:p w14:paraId="7A365931" w14:textId="06E1926A"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5.4%</w:t>
            </w:r>
          </w:p>
        </w:tc>
        <w:tc>
          <w:tcPr>
            <w:tcW w:w="1532" w:type="dxa"/>
            <w:vAlign w:val="bottom"/>
          </w:tcPr>
          <w:p w14:paraId="120897E0" w14:textId="0E08F5B5"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8.3%</w:t>
            </w:r>
          </w:p>
        </w:tc>
        <w:tc>
          <w:tcPr>
            <w:tcW w:w="1531" w:type="dxa"/>
            <w:vAlign w:val="bottom"/>
          </w:tcPr>
          <w:p w14:paraId="6EB73594" w14:textId="518BCD4A"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6.9%</w:t>
            </w:r>
          </w:p>
        </w:tc>
        <w:tc>
          <w:tcPr>
            <w:tcW w:w="1532" w:type="dxa"/>
            <w:vAlign w:val="bottom"/>
          </w:tcPr>
          <w:p w14:paraId="058F5A5E" w14:textId="33D38AA2"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79.4%</w:t>
            </w:r>
          </w:p>
        </w:tc>
        <w:tc>
          <w:tcPr>
            <w:tcW w:w="1532" w:type="dxa"/>
            <w:vAlign w:val="bottom"/>
          </w:tcPr>
          <w:p w14:paraId="678A7554" w14:textId="4EADCE5A" w:rsidR="00DA19E9" w:rsidRPr="00DA19E9" w:rsidRDefault="00DA19E9" w:rsidP="0014104A">
            <w:pPr>
              <w:keepNext/>
              <w:spacing w:line="300" w:lineRule="auto"/>
              <w:jc w:val="center"/>
              <w:rPr>
                <w:rFonts w:ascii="Arial" w:hAnsi="Arial" w:cs="Arial"/>
                <w:sz w:val="20"/>
                <w:szCs w:val="20"/>
              </w:rPr>
            </w:pPr>
            <w:r w:rsidRPr="00DA19E9">
              <w:rPr>
                <w:rFonts w:ascii="Arial" w:hAnsi="Arial" w:cs="Arial"/>
                <w:color w:val="000000"/>
                <w:sz w:val="20"/>
                <w:szCs w:val="20"/>
              </w:rPr>
              <w:t>100.0%</w:t>
            </w:r>
          </w:p>
        </w:tc>
      </w:tr>
    </w:tbl>
    <w:p w14:paraId="0C19FEB0" w14:textId="0664E5D4" w:rsidR="00DA19E9"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3C852FC1" w14:textId="77777777" w:rsidR="003E4A83" w:rsidRDefault="003E4A83" w:rsidP="00172F56">
      <w:pPr>
        <w:pStyle w:val="Reporttext0"/>
        <w:keepLines w:val="0"/>
        <w:widowControl w:val="0"/>
        <w:numPr>
          <w:ilvl w:val="0"/>
          <w:numId w:val="0"/>
        </w:numPr>
        <w:spacing w:line="300" w:lineRule="auto"/>
        <w:jc w:val="both"/>
        <w:rPr>
          <w:rFonts w:ascii="Arial" w:hAnsi="Arial" w:cs="Arial"/>
          <w:sz w:val="20"/>
        </w:rPr>
      </w:pPr>
    </w:p>
    <w:p w14:paraId="06810E12" w14:textId="238B1EC0" w:rsidR="00CC789D" w:rsidRPr="003E4A83" w:rsidRDefault="00CC789D">
      <w:pPr>
        <w:pStyle w:val="11Bodytext"/>
        <w:numPr>
          <w:ilvl w:val="1"/>
          <w:numId w:val="65"/>
        </w:numPr>
        <w:spacing w:before="0" w:after="0" w:line="300" w:lineRule="auto"/>
        <w:ind w:left="720" w:hanging="720"/>
        <w:rPr>
          <w:color w:val="auto"/>
        </w:rPr>
      </w:pPr>
      <w:r w:rsidRPr="00E12B61">
        <w:t>The figure below shows the tenure of the three groups of households with children. The results suggest that lone parents are more likely to be living in social rented and in particular</w:t>
      </w:r>
      <w:r w:rsidR="00E50CF5">
        <w:t>,</w:t>
      </w:r>
      <w:r w:rsidRPr="00E12B61">
        <w:t xml:space="preserve"> private rented accommodation. There is less difference when comparing larger and smaller households with children, although households with one child are more likely to live in owner-occupied accommodation compared with those with two or more children. Very few households with children are outright owners.</w:t>
      </w:r>
    </w:p>
    <w:p w14:paraId="46C0CC70" w14:textId="5BEBE2B0" w:rsidR="003E4A83" w:rsidRDefault="003E4A83" w:rsidP="00172F56">
      <w:pPr>
        <w:pStyle w:val="11Bodytext"/>
        <w:numPr>
          <w:ilvl w:val="0"/>
          <w:numId w:val="0"/>
        </w:numPr>
        <w:spacing w:before="0" w:after="0" w:line="300" w:lineRule="auto"/>
      </w:pPr>
    </w:p>
    <w:tbl>
      <w:tblPr>
        <w:tblStyle w:val="TableGrid10"/>
        <w:tblW w:w="8199" w:type="dxa"/>
        <w:jc w:val="center"/>
        <w:tblLook w:val="04A0" w:firstRow="1" w:lastRow="0" w:firstColumn="1" w:lastColumn="0" w:noHBand="0" w:noVBand="1"/>
      </w:tblPr>
      <w:tblGrid>
        <w:gridCol w:w="8199"/>
      </w:tblGrid>
      <w:tr w:rsidR="003E4A83" w14:paraId="3297240D" w14:textId="77777777" w:rsidTr="003E4A83">
        <w:trPr>
          <w:jc w:val="center"/>
        </w:trPr>
        <w:tc>
          <w:tcPr>
            <w:tcW w:w="9628" w:type="dxa"/>
          </w:tcPr>
          <w:p w14:paraId="0767C256" w14:textId="78270464" w:rsidR="003E4A83" w:rsidRDefault="003E4A83" w:rsidP="0014104A">
            <w:pPr>
              <w:pStyle w:val="FigureHeading"/>
              <w:keepNext/>
              <w:spacing w:before="60" w:after="60" w:line="300" w:lineRule="auto"/>
              <w:ind w:left="0" w:firstLine="0"/>
              <w:jc w:val="center"/>
              <w:rPr>
                <w:color w:val="auto"/>
              </w:rPr>
            </w:pPr>
            <w:r>
              <w:rPr>
                <w:color w:val="auto"/>
              </w:rPr>
              <w:t>Figure 6.</w:t>
            </w:r>
            <w:r w:rsidR="00AD29A6">
              <w:rPr>
                <w:color w:val="auto"/>
              </w:rPr>
              <w:t>1</w:t>
            </w:r>
            <w:r>
              <w:rPr>
                <w:color w:val="auto"/>
              </w:rPr>
              <w:t xml:space="preserve">6: </w:t>
            </w:r>
            <w:bookmarkStart w:id="69" w:name="_Toc372040953"/>
            <w:r w:rsidRPr="00E12B61">
              <w:rPr>
                <w:szCs w:val="20"/>
              </w:rPr>
              <w:t>Household Type by Tenure</w:t>
            </w:r>
            <w:bookmarkEnd w:id="69"/>
          </w:p>
        </w:tc>
      </w:tr>
      <w:tr w:rsidR="003E4A83" w14:paraId="4A073D22" w14:textId="77777777" w:rsidTr="003E4A83">
        <w:trPr>
          <w:jc w:val="center"/>
        </w:trPr>
        <w:tc>
          <w:tcPr>
            <w:tcW w:w="9628" w:type="dxa"/>
          </w:tcPr>
          <w:p w14:paraId="6B4ED326" w14:textId="1F27E2B6" w:rsidR="003E4A83" w:rsidRDefault="003E4A83" w:rsidP="0014104A">
            <w:pPr>
              <w:pStyle w:val="11Bodytext"/>
              <w:keepNext/>
              <w:numPr>
                <w:ilvl w:val="0"/>
                <w:numId w:val="0"/>
              </w:numPr>
              <w:spacing w:before="0" w:after="0" w:line="300" w:lineRule="auto"/>
              <w:jc w:val="center"/>
              <w:rPr>
                <w:color w:val="auto"/>
              </w:rPr>
            </w:pPr>
            <w:r>
              <w:rPr>
                <w:noProof/>
              </w:rPr>
              <w:drawing>
                <wp:inline distT="0" distB="0" distL="0" distR="0" wp14:anchorId="58312C78" wp14:editId="7183D4F4">
                  <wp:extent cx="5040000" cy="2880000"/>
                  <wp:effectExtent l="0" t="0" r="825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14:paraId="2923DFFA" w14:textId="7262CCCE" w:rsidR="00CC789D" w:rsidRPr="00E12B61"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61869B08" w14:textId="77777777" w:rsidR="003E4A83" w:rsidRDefault="003E4A83" w:rsidP="00172F56">
      <w:pPr>
        <w:pStyle w:val="Reporttext0"/>
        <w:keepLines w:val="0"/>
        <w:widowControl w:val="0"/>
        <w:numPr>
          <w:ilvl w:val="0"/>
          <w:numId w:val="0"/>
        </w:numPr>
        <w:spacing w:line="300" w:lineRule="auto"/>
        <w:jc w:val="both"/>
        <w:rPr>
          <w:rFonts w:ascii="Arial" w:hAnsi="Arial" w:cs="Arial"/>
          <w:sz w:val="20"/>
        </w:rPr>
      </w:pPr>
    </w:p>
    <w:p w14:paraId="190CC644" w14:textId="39752661" w:rsidR="00CC789D" w:rsidRDefault="00CC789D">
      <w:pPr>
        <w:pStyle w:val="11Bodytext"/>
        <w:numPr>
          <w:ilvl w:val="1"/>
          <w:numId w:val="65"/>
        </w:numPr>
        <w:spacing w:before="0" w:after="0" w:line="300" w:lineRule="auto"/>
        <w:ind w:left="720" w:hanging="720"/>
        <w:rPr>
          <w:color w:val="auto"/>
        </w:rPr>
      </w:pPr>
      <w:r w:rsidRPr="003E4A83">
        <w:rPr>
          <w:color w:val="auto"/>
        </w:rPr>
        <w:t>T</w:t>
      </w:r>
      <w:r w:rsidR="003E4A83">
        <w:rPr>
          <w:color w:val="auto"/>
        </w:rPr>
        <w:t>he t</w:t>
      </w:r>
      <w:r w:rsidRPr="003E4A83">
        <w:rPr>
          <w:color w:val="auto"/>
        </w:rPr>
        <w:t xml:space="preserve">able </w:t>
      </w:r>
      <w:r w:rsidR="003E4A83">
        <w:rPr>
          <w:color w:val="auto"/>
        </w:rPr>
        <w:t>below</w:t>
      </w:r>
      <w:r w:rsidRPr="003E4A83">
        <w:rPr>
          <w:color w:val="auto"/>
        </w:rPr>
        <w:t xml:space="preserve"> presents the proportion of households with children living in unsuitable housing. The table indicates that all household groups with children are more likely than other households to be in unsuitable housing – all showing </w:t>
      </w:r>
      <w:r w:rsidR="441AE8A6" w:rsidRPr="0808EAF1">
        <w:rPr>
          <w:color w:val="auto"/>
        </w:rPr>
        <w:t>proportions</w:t>
      </w:r>
      <w:r w:rsidRPr="003E4A83">
        <w:rPr>
          <w:color w:val="auto"/>
        </w:rPr>
        <w:t xml:space="preserve"> of 1</w:t>
      </w:r>
      <w:r w:rsidR="00C16CB3">
        <w:rPr>
          <w:color w:val="auto"/>
        </w:rPr>
        <w:t>1</w:t>
      </w:r>
      <w:r w:rsidRPr="003E4A83">
        <w:rPr>
          <w:color w:val="auto"/>
        </w:rPr>
        <w:t>%</w:t>
      </w:r>
      <w:r w:rsidR="00E50CF5">
        <w:rPr>
          <w:color w:val="auto"/>
        </w:rPr>
        <w:t xml:space="preserve"> to </w:t>
      </w:r>
      <w:r w:rsidR="00C16CB3">
        <w:rPr>
          <w:color w:val="auto"/>
        </w:rPr>
        <w:t>23%</w:t>
      </w:r>
      <w:r w:rsidRPr="003E4A83">
        <w:rPr>
          <w:color w:val="auto"/>
        </w:rPr>
        <w:t xml:space="preserve"> compared with just </w:t>
      </w:r>
      <w:r w:rsidR="00C16CB3">
        <w:rPr>
          <w:color w:val="auto"/>
        </w:rPr>
        <w:t>8</w:t>
      </w:r>
      <w:r w:rsidRPr="003E4A83">
        <w:rPr>
          <w:color w:val="auto"/>
        </w:rPr>
        <w:t>% for households without children.</w:t>
      </w:r>
    </w:p>
    <w:p w14:paraId="368F674B" w14:textId="77777777" w:rsidR="00C16CB3" w:rsidRPr="003E4A83" w:rsidRDefault="00C16CB3" w:rsidP="00172F56">
      <w:pPr>
        <w:pStyle w:val="11Bodytext"/>
        <w:numPr>
          <w:ilvl w:val="0"/>
          <w:numId w:val="0"/>
        </w:numPr>
        <w:spacing w:before="0" w:after="0" w:line="300" w:lineRule="auto"/>
        <w:rPr>
          <w:color w:val="auto"/>
        </w:rPr>
      </w:pPr>
    </w:p>
    <w:tbl>
      <w:tblPr>
        <w:tblStyle w:val="TableGrid1"/>
        <w:tblW w:w="9639" w:type="dxa"/>
        <w:jc w:val="center"/>
        <w:tblLayout w:type="fixed"/>
        <w:tblLook w:val="0000" w:firstRow="0" w:lastRow="0" w:firstColumn="0" w:lastColumn="0" w:noHBand="0" w:noVBand="0"/>
      </w:tblPr>
      <w:tblGrid>
        <w:gridCol w:w="2521"/>
        <w:gridCol w:w="1423"/>
        <w:gridCol w:w="1424"/>
        <w:gridCol w:w="1423"/>
        <w:gridCol w:w="1424"/>
        <w:gridCol w:w="1424"/>
      </w:tblGrid>
      <w:tr w:rsidR="00C16CB3" w:rsidRPr="00C16CB3" w14:paraId="066A22BB" w14:textId="77777777" w:rsidTr="008469E3">
        <w:trPr>
          <w:jc w:val="center"/>
        </w:trPr>
        <w:tc>
          <w:tcPr>
            <w:tcW w:w="9639" w:type="dxa"/>
            <w:gridSpan w:val="6"/>
          </w:tcPr>
          <w:p w14:paraId="574ED5BA" w14:textId="2180238B" w:rsidR="00C16CB3" w:rsidRPr="00C16CB3" w:rsidRDefault="00C16CB3" w:rsidP="0014104A">
            <w:pPr>
              <w:keepNext/>
              <w:widowControl w:val="0"/>
              <w:spacing w:before="60" w:after="60" w:line="300" w:lineRule="auto"/>
              <w:jc w:val="center"/>
              <w:rPr>
                <w:rFonts w:ascii="Arial" w:hAnsi="Arial" w:cs="Arial"/>
                <w:b/>
                <w:iCs/>
                <w:sz w:val="20"/>
                <w:szCs w:val="20"/>
              </w:rPr>
            </w:pPr>
            <w:r w:rsidRPr="00C16CB3">
              <w:rPr>
                <w:rFonts w:ascii="Arial" w:hAnsi="Arial" w:cs="Arial"/>
                <w:b/>
                <w:iCs/>
                <w:sz w:val="20"/>
                <w:szCs w:val="20"/>
              </w:rPr>
              <w:t>Figure 6.</w:t>
            </w:r>
            <w:r w:rsidR="00AD29A6">
              <w:rPr>
                <w:rFonts w:ascii="Arial" w:hAnsi="Arial" w:cs="Arial"/>
                <w:b/>
                <w:iCs/>
                <w:sz w:val="20"/>
                <w:szCs w:val="20"/>
              </w:rPr>
              <w:t>1</w:t>
            </w:r>
            <w:r w:rsidRPr="00C16CB3">
              <w:rPr>
                <w:rFonts w:ascii="Arial" w:hAnsi="Arial" w:cs="Arial"/>
                <w:b/>
                <w:iCs/>
                <w:sz w:val="20"/>
                <w:szCs w:val="20"/>
              </w:rPr>
              <w:t xml:space="preserve">7: </w:t>
            </w:r>
            <w:bookmarkStart w:id="70" w:name="_Toc372039107"/>
            <w:r w:rsidRPr="00C16CB3">
              <w:rPr>
                <w:rFonts w:ascii="Arial" w:hAnsi="Arial" w:cs="Arial"/>
                <w:b/>
                <w:sz w:val="20"/>
                <w:szCs w:val="20"/>
              </w:rPr>
              <w:t>Households with Children in Unsuitable Housing</w:t>
            </w:r>
            <w:bookmarkEnd w:id="70"/>
          </w:p>
        </w:tc>
      </w:tr>
      <w:tr w:rsidR="00CC789D" w:rsidRPr="00E12B61" w14:paraId="7AF9E88F" w14:textId="77777777" w:rsidTr="00C16CB3">
        <w:trPr>
          <w:jc w:val="center"/>
        </w:trPr>
        <w:tc>
          <w:tcPr>
            <w:tcW w:w="2521" w:type="dxa"/>
            <w:vMerge w:val="restart"/>
          </w:tcPr>
          <w:p w14:paraId="2D54EAA8" w14:textId="77777777" w:rsidR="00CC789D" w:rsidRPr="00C16CB3" w:rsidRDefault="00CC789D" w:rsidP="0014104A">
            <w:pPr>
              <w:keepNext/>
              <w:widowControl w:val="0"/>
              <w:spacing w:line="300" w:lineRule="auto"/>
              <w:rPr>
                <w:rFonts w:ascii="Arial" w:hAnsi="Arial" w:cs="Arial"/>
                <w:bCs/>
                <w:iCs/>
                <w:sz w:val="20"/>
                <w:szCs w:val="20"/>
              </w:rPr>
            </w:pPr>
            <w:r w:rsidRPr="00C16CB3">
              <w:rPr>
                <w:rFonts w:ascii="Arial" w:hAnsi="Arial" w:cs="Arial"/>
                <w:bCs/>
                <w:iCs/>
                <w:sz w:val="20"/>
                <w:szCs w:val="20"/>
              </w:rPr>
              <w:t>Unsuitable housing</w:t>
            </w:r>
          </w:p>
        </w:tc>
        <w:tc>
          <w:tcPr>
            <w:tcW w:w="7118" w:type="dxa"/>
            <w:gridSpan w:val="5"/>
          </w:tcPr>
          <w:p w14:paraId="2DBB06A0" w14:textId="77777777" w:rsidR="00CC789D" w:rsidRPr="00C16CB3" w:rsidRDefault="00CC789D" w:rsidP="0014104A">
            <w:pPr>
              <w:keepNext/>
              <w:widowControl w:val="0"/>
              <w:spacing w:line="300" w:lineRule="auto"/>
              <w:jc w:val="center"/>
              <w:rPr>
                <w:rFonts w:ascii="Arial" w:hAnsi="Arial" w:cs="Arial"/>
                <w:bCs/>
                <w:iCs/>
                <w:sz w:val="20"/>
                <w:szCs w:val="20"/>
              </w:rPr>
            </w:pPr>
            <w:r w:rsidRPr="00C16CB3">
              <w:rPr>
                <w:rFonts w:ascii="Arial" w:hAnsi="Arial" w:cs="Arial"/>
                <w:bCs/>
                <w:iCs/>
                <w:sz w:val="20"/>
                <w:szCs w:val="20"/>
              </w:rPr>
              <w:t>Households with children</w:t>
            </w:r>
          </w:p>
        </w:tc>
      </w:tr>
      <w:tr w:rsidR="00CC789D" w:rsidRPr="00E12B61" w14:paraId="0431D5A6" w14:textId="77777777" w:rsidTr="00C16CB3">
        <w:trPr>
          <w:jc w:val="center"/>
        </w:trPr>
        <w:tc>
          <w:tcPr>
            <w:tcW w:w="2521" w:type="dxa"/>
            <w:vMerge/>
          </w:tcPr>
          <w:p w14:paraId="605BBE3E" w14:textId="77777777" w:rsidR="00CC789D" w:rsidRPr="00C16CB3" w:rsidRDefault="00CC789D" w:rsidP="0014104A">
            <w:pPr>
              <w:keepNext/>
              <w:widowControl w:val="0"/>
              <w:spacing w:line="300" w:lineRule="auto"/>
              <w:rPr>
                <w:rFonts w:ascii="Arial" w:hAnsi="Arial" w:cs="Arial"/>
                <w:bCs/>
                <w:iCs/>
                <w:sz w:val="20"/>
                <w:szCs w:val="20"/>
              </w:rPr>
            </w:pPr>
          </w:p>
        </w:tc>
        <w:tc>
          <w:tcPr>
            <w:tcW w:w="1423" w:type="dxa"/>
          </w:tcPr>
          <w:p w14:paraId="3A9E39F3" w14:textId="77777777" w:rsidR="00CC789D" w:rsidRPr="00C16CB3" w:rsidRDefault="00CC789D" w:rsidP="0014104A">
            <w:pPr>
              <w:keepNext/>
              <w:widowControl w:val="0"/>
              <w:spacing w:line="300" w:lineRule="auto"/>
              <w:jc w:val="center"/>
              <w:rPr>
                <w:rFonts w:ascii="Arial" w:hAnsi="Arial" w:cs="Arial"/>
                <w:bCs/>
                <w:sz w:val="20"/>
                <w:szCs w:val="20"/>
              </w:rPr>
            </w:pPr>
            <w:r w:rsidRPr="00C16CB3">
              <w:rPr>
                <w:rFonts w:ascii="Arial" w:hAnsi="Arial" w:cs="Arial"/>
                <w:bCs/>
                <w:sz w:val="20"/>
                <w:szCs w:val="20"/>
              </w:rPr>
              <w:t>Lone parent households</w:t>
            </w:r>
          </w:p>
        </w:tc>
        <w:tc>
          <w:tcPr>
            <w:tcW w:w="1424" w:type="dxa"/>
          </w:tcPr>
          <w:p w14:paraId="6321E88E" w14:textId="77777777" w:rsidR="00CC789D" w:rsidRPr="00C16CB3" w:rsidRDefault="00CC789D" w:rsidP="0014104A">
            <w:pPr>
              <w:keepNext/>
              <w:widowControl w:val="0"/>
              <w:spacing w:line="300" w:lineRule="auto"/>
              <w:jc w:val="center"/>
              <w:rPr>
                <w:rFonts w:ascii="Arial" w:hAnsi="Arial" w:cs="Arial"/>
                <w:bCs/>
                <w:sz w:val="20"/>
                <w:szCs w:val="20"/>
              </w:rPr>
            </w:pPr>
            <w:r w:rsidRPr="00C16CB3">
              <w:rPr>
                <w:rFonts w:ascii="Arial" w:hAnsi="Arial" w:cs="Arial"/>
                <w:bCs/>
                <w:sz w:val="20"/>
                <w:szCs w:val="20"/>
              </w:rPr>
              <w:t>Two or more adults and one child</w:t>
            </w:r>
          </w:p>
        </w:tc>
        <w:tc>
          <w:tcPr>
            <w:tcW w:w="1423" w:type="dxa"/>
          </w:tcPr>
          <w:p w14:paraId="26E38227" w14:textId="77777777" w:rsidR="00CC789D" w:rsidRPr="00C16CB3" w:rsidRDefault="00CC789D" w:rsidP="0014104A">
            <w:pPr>
              <w:keepNext/>
              <w:widowControl w:val="0"/>
              <w:spacing w:line="300" w:lineRule="auto"/>
              <w:jc w:val="center"/>
              <w:rPr>
                <w:rFonts w:ascii="Arial" w:hAnsi="Arial" w:cs="Arial"/>
                <w:bCs/>
                <w:sz w:val="20"/>
                <w:szCs w:val="20"/>
              </w:rPr>
            </w:pPr>
            <w:r w:rsidRPr="00C16CB3">
              <w:rPr>
                <w:rFonts w:ascii="Arial" w:hAnsi="Arial" w:cs="Arial"/>
                <w:bCs/>
                <w:sz w:val="20"/>
                <w:szCs w:val="20"/>
              </w:rPr>
              <w:t>Two or more adults and two or more children</w:t>
            </w:r>
          </w:p>
        </w:tc>
        <w:tc>
          <w:tcPr>
            <w:tcW w:w="1424" w:type="dxa"/>
          </w:tcPr>
          <w:p w14:paraId="0104E199" w14:textId="77777777" w:rsidR="00CC789D" w:rsidRPr="00C16CB3" w:rsidRDefault="00CC789D" w:rsidP="0014104A">
            <w:pPr>
              <w:keepNext/>
              <w:widowControl w:val="0"/>
              <w:spacing w:line="300" w:lineRule="auto"/>
              <w:jc w:val="center"/>
              <w:rPr>
                <w:rFonts w:ascii="Arial" w:hAnsi="Arial" w:cs="Arial"/>
                <w:bCs/>
                <w:sz w:val="20"/>
                <w:szCs w:val="20"/>
              </w:rPr>
            </w:pPr>
            <w:r w:rsidRPr="00C16CB3">
              <w:rPr>
                <w:rFonts w:ascii="Arial" w:hAnsi="Arial" w:cs="Arial"/>
                <w:bCs/>
                <w:sz w:val="20"/>
                <w:szCs w:val="20"/>
              </w:rPr>
              <w:t>All other households</w:t>
            </w:r>
          </w:p>
        </w:tc>
        <w:tc>
          <w:tcPr>
            <w:tcW w:w="1424" w:type="dxa"/>
          </w:tcPr>
          <w:p w14:paraId="334F4C60" w14:textId="77777777" w:rsidR="00CC789D" w:rsidRPr="00C16CB3" w:rsidRDefault="00CC789D" w:rsidP="0014104A">
            <w:pPr>
              <w:keepNext/>
              <w:widowControl w:val="0"/>
              <w:spacing w:line="300" w:lineRule="auto"/>
              <w:jc w:val="center"/>
              <w:rPr>
                <w:rFonts w:ascii="Arial" w:hAnsi="Arial" w:cs="Arial"/>
                <w:bCs/>
                <w:sz w:val="20"/>
                <w:szCs w:val="20"/>
              </w:rPr>
            </w:pPr>
            <w:r w:rsidRPr="00C16CB3">
              <w:rPr>
                <w:rFonts w:ascii="Arial" w:hAnsi="Arial" w:cs="Arial"/>
                <w:bCs/>
                <w:sz w:val="20"/>
                <w:szCs w:val="20"/>
              </w:rPr>
              <w:t>Total</w:t>
            </w:r>
          </w:p>
        </w:tc>
      </w:tr>
      <w:tr w:rsidR="00C16CB3" w:rsidRPr="00E12B61" w14:paraId="05D76338" w14:textId="77777777" w:rsidTr="00C16CB3">
        <w:trPr>
          <w:jc w:val="center"/>
        </w:trPr>
        <w:tc>
          <w:tcPr>
            <w:tcW w:w="2521" w:type="dxa"/>
          </w:tcPr>
          <w:p w14:paraId="06DDE6F6" w14:textId="77777777" w:rsidR="00C16CB3" w:rsidRPr="00C16CB3" w:rsidRDefault="00C16CB3" w:rsidP="0014104A">
            <w:pPr>
              <w:keepNext/>
              <w:widowControl w:val="0"/>
              <w:spacing w:line="300" w:lineRule="auto"/>
              <w:rPr>
                <w:rFonts w:ascii="Arial" w:hAnsi="Arial" w:cs="Arial"/>
                <w:bCs/>
                <w:iCs/>
                <w:sz w:val="20"/>
                <w:szCs w:val="20"/>
              </w:rPr>
            </w:pPr>
            <w:r w:rsidRPr="00C16CB3">
              <w:rPr>
                <w:rFonts w:ascii="Arial" w:hAnsi="Arial" w:cs="Arial"/>
                <w:bCs/>
                <w:iCs/>
                <w:sz w:val="20"/>
                <w:szCs w:val="20"/>
              </w:rPr>
              <w:t>In unsuitable housing</w:t>
            </w:r>
          </w:p>
        </w:tc>
        <w:tc>
          <w:tcPr>
            <w:tcW w:w="1423" w:type="dxa"/>
          </w:tcPr>
          <w:p w14:paraId="09F21631" w14:textId="09CC39A8"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23.4%</w:t>
            </w:r>
          </w:p>
        </w:tc>
        <w:tc>
          <w:tcPr>
            <w:tcW w:w="1424" w:type="dxa"/>
          </w:tcPr>
          <w:p w14:paraId="274A1514" w14:textId="144E7C63"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11.0%</w:t>
            </w:r>
          </w:p>
        </w:tc>
        <w:tc>
          <w:tcPr>
            <w:tcW w:w="1423" w:type="dxa"/>
          </w:tcPr>
          <w:p w14:paraId="60177618" w14:textId="71C2602B"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23.2%</w:t>
            </w:r>
          </w:p>
        </w:tc>
        <w:tc>
          <w:tcPr>
            <w:tcW w:w="1424" w:type="dxa"/>
          </w:tcPr>
          <w:p w14:paraId="7F1A6665" w14:textId="44C53151"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7.8%</w:t>
            </w:r>
          </w:p>
        </w:tc>
        <w:tc>
          <w:tcPr>
            <w:tcW w:w="1424" w:type="dxa"/>
          </w:tcPr>
          <w:p w14:paraId="32D739F6" w14:textId="4A12D763"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10.0%</w:t>
            </w:r>
          </w:p>
        </w:tc>
      </w:tr>
      <w:tr w:rsidR="00C16CB3" w:rsidRPr="00E12B61" w14:paraId="372759FB" w14:textId="77777777" w:rsidTr="00C16CB3">
        <w:trPr>
          <w:jc w:val="center"/>
        </w:trPr>
        <w:tc>
          <w:tcPr>
            <w:tcW w:w="2521" w:type="dxa"/>
          </w:tcPr>
          <w:p w14:paraId="33060E72" w14:textId="77777777" w:rsidR="00C16CB3" w:rsidRPr="00C16CB3" w:rsidRDefault="00C16CB3" w:rsidP="0014104A">
            <w:pPr>
              <w:keepNext/>
              <w:widowControl w:val="0"/>
              <w:spacing w:line="300" w:lineRule="auto"/>
              <w:rPr>
                <w:rFonts w:ascii="Arial" w:hAnsi="Arial" w:cs="Arial"/>
                <w:bCs/>
                <w:iCs/>
                <w:sz w:val="20"/>
                <w:szCs w:val="20"/>
              </w:rPr>
            </w:pPr>
            <w:r w:rsidRPr="00C16CB3">
              <w:rPr>
                <w:rFonts w:ascii="Arial" w:hAnsi="Arial" w:cs="Arial"/>
                <w:bCs/>
                <w:iCs/>
                <w:sz w:val="20"/>
                <w:szCs w:val="20"/>
              </w:rPr>
              <w:t>Not in unsuitable housing</w:t>
            </w:r>
          </w:p>
        </w:tc>
        <w:tc>
          <w:tcPr>
            <w:tcW w:w="1423" w:type="dxa"/>
          </w:tcPr>
          <w:p w14:paraId="0A65009C" w14:textId="09754120"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76.6%</w:t>
            </w:r>
          </w:p>
        </w:tc>
        <w:tc>
          <w:tcPr>
            <w:tcW w:w="1424" w:type="dxa"/>
          </w:tcPr>
          <w:p w14:paraId="5FD5284D" w14:textId="070DBAB7"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89.0%</w:t>
            </w:r>
          </w:p>
        </w:tc>
        <w:tc>
          <w:tcPr>
            <w:tcW w:w="1423" w:type="dxa"/>
          </w:tcPr>
          <w:p w14:paraId="0F7804B1" w14:textId="5F835528"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76.8%</w:t>
            </w:r>
          </w:p>
        </w:tc>
        <w:tc>
          <w:tcPr>
            <w:tcW w:w="1424" w:type="dxa"/>
          </w:tcPr>
          <w:p w14:paraId="0A58B14D" w14:textId="1F185E33"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92.2%</w:t>
            </w:r>
          </w:p>
        </w:tc>
        <w:tc>
          <w:tcPr>
            <w:tcW w:w="1424" w:type="dxa"/>
          </w:tcPr>
          <w:p w14:paraId="079696E4" w14:textId="018FAC73"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90.0%</w:t>
            </w:r>
          </w:p>
        </w:tc>
      </w:tr>
      <w:tr w:rsidR="00C16CB3" w:rsidRPr="00E12B61" w14:paraId="232A7719" w14:textId="77777777" w:rsidTr="00C16CB3">
        <w:trPr>
          <w:jc w:val="center"/>
        </w:trPr>
        <w:tc>
          <w:tcPr>
            <w:tcW w:w="2521" w:type="dxa"/>
          </w:tcPr>
          <w:p w14:paraId="7BB3D203" w14:textId="77777777" w:rsidR="00C16CB3" w:rsidRPr="00C16CB3" w:rsidRDefault="00C16CB3" w:rsidP="0014104A">
            <w:pPr>
              <w:keepNext/>
              <w:widowControl w:val="0"/>
              <w:spacing w:line="300" w:lineRule="auto"/>
              <w:rPr>
                <w:rFonts w:ascii="Arial" w:hAnsi="Arial" w:cs="Arial"/>
                <w:bCs/>
                <w:sz w:val="20"/>
                <w:szCs w:val="20"/>
              </w:rPr>
            </w:pPr>
            <w:r w:rsidRPr="00C16CB3">
              <w:rPr>
                <w:rFonts w:ascii="Arial" w:hAnsi="Arial" w:cs="Arial"/>
                <w:bCs/>
                <w:sz w:val="20"/>
                <w:szCs w:val="20"/>
              </w:rPr>
              <w:t>Total</w:t>
            </w:r>
          </w:p>
        </w:tc>
        <w:tc>
          <w:tcPr>
            <w:tcW w:w="1423" w:type="dxa"/>
          </w:tcPr>
          <w:p w14:paraId="3C8CC982" w14:textId="08681533"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100.0%</w:t>
            </w:r>
          </w:p>
        </w:tc>
        <w:tc>
          <w:tcPr>
            <w:tcW w:w="1424" w:type="dxa"/>
          </w:tcPr>
          <w:p w14:paraId="001B42FE" w14:textId="154F8F4B"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100.0%</w:t>
            </w:r>
          </w:p>
        </w:tc>
        <w:tc>
          <w:tcPr>
            <w:tcW w:w="1423" w:type="dxa"/>
          </w:tcPr>
          <w:p w14:paraId="30E5B7AE" w14:textId="2B22EF42"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100.0%</w:t>
            </w:r>
          </w:p>
        </w:tc>
        <w:tc>
          <w:tcPr>
            <w:tcW w:w="1424" w:type="dxa"/>
          </w:tcPr>
          <w:p w14:paraId="77C46AE5" w14:textId="499A5369"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100.0%</w:t>
            </w:r>
          </w:p>
        </w:tc>
        <w:tc>
          <w:tcPr>
            <w:tcW w:w="1424" w:type="dxa"/>
          </w:tcPr>
          <w:p w14:paraId="4545D5DE" w14:textId="5B8645CD" w:rsidR="00C16CB3" w:rsidRPr="00C16CB3" w:rsidRDefault="00C16CB3" w:rsidP="0014104A">
            <w:pPr>
              <w:keepNext/>
              <w:spacing w:line="300" w:lineRule="auto"/>
              <w:jc w:val="center"/>
              <w:rPr>
                <w:rFonts w:ascii="Arial" w:hAnsi="Arial" w:cs="Arial"/>
                <w:bCs/>
                <w:sz w:val="20"/>
                <w:szCs w:val="20"/>
              </w:rPr>
            </w:pPr>
            <w:r w:rsidRPr="00C16CB3">
              <w:rPr>
                <w:rFonts w:ascii="Arial" w:hAnsi="Arial" w:cs="Arial"/>
                <w:bCs/>
                <w:sz w:val="20"/>
                <w:szCs w:val="20"/>
              </w:rPr>
              <w:t>100.0%</w:t>
            </w:r>
          </w:p>
        </w:tc>
      </w:tr>
    </w:tbl>
    <w:p w14:paraId="2F27BE91" w14:textId="6D5E2D62" w:rsidR="00CC789D"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1975B04A" w14:textId="316DFCA0" w:rsidR="00C16CB3" w:rsidRDefault="00C16CB3" w:rsidP="00172F56">
      <w:pPr>
        <w:pStyle w:val="Reporttext0"/>
        <w:keepLines w:val="0"/>
        <w:widowControl w:val="0"/>
        <w:numPr>
          <w:ilvl w:val="0"/>
          <w:numId w:val="0"/>
        </w:numPr>
        <w:spacing w:line="300" w:lineRule="auto"/>
        <w:jc w:val="both"/>
        <w:rPr>
          <w:rFonts w:ascii="Arial" w:hAnsi="Arial" w:cs="Arial"/>
          <w:sz w:val="20"/>
        </w:rPr>
      </w:pPr>
    </w:p>
    <w:p w14:paraId="22C69B44" w14:textId="372A31D1" w:rsidR="00CC789D" w:rsidRPr="00C16CB3" w:rsidRDefault="00CC789D">
      <w:pPr>
        <w:pStyle w:val="11Bodytext"/>
        <w:numPr>
          <w:ilvl w:val="1"/>
          <w:numId w:val="65"/>
        </w:numPr>
        <w:spacing w:before="0" w:after="0" w:line="300" w:lineRule="auto"/>
        <w:ind w:left="720" w:hanging="720"/>
        <w:rPr>
          <w:color w:val="auto"/>
        </w:rPr>
      </w:pPr>
      <w:r w:rsidRPr="00E12B61">
        <w:t xml:space="preserve">The figure below presents the level of overcrowding and under-occupation for households with children. The table shows that whilst levels of overcrowding across the Borough are generally low all household groups containing children are more likely to be overcrowded than is the average for the Borough. In addition, levels of under-occupation are low; particularly for lone parent households where only </w:t>
      </w:r>
      <w:r w:rsidR="004D6B30">
        <w:t>8</w:t>
      </w:r>
      <w:r w:rsidRPr="00E12B61">
        <w:t xml:space="preserve">% are under-occupied (compared to a Borough average of </w:t>
      </w:r>
      <w:r w:rsidR="004D6B30">
        <w:t>4</w:t>
      </w:r>
      <w:r w:rsidRPr="00E12B61">
        <w:t>2%).</w:t>
      </w:r>
    </w:p>
    <w:p w14:paraId="35A335CE" w14:textId="77777777" w:rsidR="00C16CB3" w:rsidRPr="00C16CB3" w:rsidRDefault="00C16CB3" w:rsidP="00172F56">
      <w:pPr>
        <w:pStyle w:val="11Bodytext"/>
        <w:numPr>
          <w:ilvl w:val="0"/>
          <w:numId w:val="0"/>
        </w:numPr>
        <w:spacing w:before="0" w:after="0" w:line="300" w:lineRule="auto"/>
        <w:rPr>
          <w:color w:val="auto"/>
        </w:rPr>
      </w:pPr>
    </w:p>
    <w:tbl>
      <w:tblPr>
        <w:tblStyle w:val="TableGrid10"/>
        <w:tblW w:w="8199" w:type="dxa"/>
        <w:jc w:val="center"/>
        <w:tblLook w:val="04A0" w:firstRow="1" w:lastRow="0" w:firstColumn="1" w:lastColumn="0" w:noHBand="0" w:noVBand="1"/>
      </w:tblPr>
      <w:tblGrid>
        <w:gridCol w:w="8199"/>
      </w:tblGrid>
      <w:tr w:rsidR="00C16CB3" w14:paraId="161B73C1" w14:textId="77777777" w:rsidTr="00172F56">
        <w:trPr>
          <w:jc w:val="center"/>
        </w:trPr>
        <w:tc>
          <w:tcPr>
            <w:tcW w:w="0" w:type="dxa"/>
            <w:vAlign w:val="center"/>
          </w:tcPr>
          <w:p w14:paraId="6FE743A8" w14:textId="08360272" w:rsidR="00C16CB3" w:rsidRDefault="00C16CB3" w:rsidP="0014104A">
            <w:pPr>
              <w:pStyle w:val="FigureHeading"/>
              <w:keepNext/>
              <w:spacing w:before="60" w:after="60" w:line="300" w:lineRule="auto"/>
              <w:ind w:left="0" w:firstLine="0"/>
              <w:jc w:val="center"/>
              <w:rPr>
                <w:color w:val="auto"/>
              </w:rPr>
            </w:pPr>
            <w:r>
              <w:rPr>
                <w:color w:val="auto"/>
              </w:rPr>
              <w:t>Figure 6.</w:t>
            </w:r>
            <w:r w:rsidR="00AD29A6">
              <w:rPr>
                <w:color w:val="auto"/>
              </w:rPr>
              <w:t>18</w:t>
            </w:r>
            <w:r>
              <w:rPr>
                <w:color w:val="auto"/>
              </w:rPr>
              <w:t xml:space="preserve">: </w:t>
            </w:r>
            <w:bookmarkStart w:id="71" w:name="_Toc372040954"/>
            <w:r w:rsidRPr="00E12B61">
              <w:rPr>
                <w:szCs w:val="20"/>
              </w:rPr>
              <w:t>Overcrowded and Under-Occupying Households with Children</w:t>
            </w:r>
            <w:bookmarkEnd w:id="71"/>
          </w:p>
        </w:tc>
      </w:tr>
      <w:tr w:rsidR="00C16CB3" w14:paraId="12538BE9" w14:textId="77777777" w:rsidTr="00C16CB3">
        <w:trPr>
          <w:jc w:val="center"/>
        </w:trPr>
        <w:tc>
          <w:tcPr>
            <w:tcW w:w="8199" w:type="dxa"/>
          </w:tcPr>
          <w:p w14:paraId="36345FFF" w14:textId="476440A4" w:rsidR="00C16CB3" w:rsidRDefault="004D6B30" w:rsidP="0014104A">
            <w:pPr>
              <w:pStyle w:val="11Bodytext"/>
              <w:keepNext/>
              <w:numPr>
                <w:ilvl w:val="0"/>
                <w:numId w:val="0"/>
              </w:numPr>
              <w:spacing w:before="0" w:after="0" w:line="300" w:lineRule="auto"/>
              <w:jc w:val="center"/>
              <w:rPr>
                <w:color w:val="auto"/>
              </w:rPr>
            </w:pPr>
            <w:r>
              <w:rPr>
                <w:noProof/>
              </w:rPr>
              <w:drawing>
                <wp:inline distT="0" distB="0" distL="0" distR="0" wp14:anchorId="6C109BCE" wp14:editId="7CB17E08">
                  <wp:extent cx="5040000" cy="2880000"/>
                  <wp:effectExtent l="0" t="0" r="825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bl>
    <w:p w14:paraId="216BFA4E" w14:textId="06CC5647" w:rsidR="00CC789D" w:rsidRPr="00E12B61"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466E4E03" w14:textId="0CFE656A" w:rsidR="00CC789D" w:rsidRDefault="00CC789D" w:rsidP="00172F56">
      <w:pPr>
        <w:pStyle w:val="Reporttext0"/>
        <w:keepLines w:val="0"/>
        <w:widowControl w:val="0"/>
        <w:numPr>
          <w:ilvl w:val="0"/>
          <w:numId w:val="0"/>
        </w:numPr>
        <w:spacing w:line="300" w:lineRule="auto"/>
        <w:jc w:val="both"/>
        <w:rPr>
          <w:rFonts w:ascii="Arial" w:hAnsi="Arial" w:cs="Arial"/>
          <w:sz w:val="20"/>
        </w:rPr>
      </w:pPr>
      <w:bookmarkStart w:id="72" w:name="_Toc177896297"/>
      <w:bookmarkStart w:id="73" w:name="_Toc179971645"/>
      <w:bookmarkStart w:id="74" w:name="_Toc226258742"/>
      <w:bookmarkEnd w:id="67"/>
    </w:p>
    <w:p w14:paraId="10B3B477" w14:textId="30C14B9B" w:rsidR="00CC789D" w:rsidRPr="004D6B30" w:rsidRDefault="00CC789D">
      <w:pPr>
        <w:pStyle w:val="11Bodytext"/>
        <w:numPr>
          <w:ilvl w:val="1"/>
          <w:numId w:val="65"/>
        </w:numPr>
        <w:spacing w:before="0" w:after="0" w:line="300" w:lineRule="auto"/>
        <w:ind w:left="720" w:hanging="720"/>
        <w:rPr>
          <w:color w:val="auto"/>
        </w:rPr>
      </w:pPr>
      <w:r w:rsidRPr="00E12B61">
        <w:t>Finally, we have presented data on average (median) income levels for households with children compared with the average for all households in the Borough. The data shows that both household groups with two or more adults have incomes well in excess of the Borough average whilst the average lone parent income is very low (around £</w:t>
      </w:r>
      <w:r w:rsidR="004D6B30">
        <w:t>19,100</w:t>
      </w:r>
      <w:r w:rsidRPr="00E12B61">
        <w:t xml:space="preserve"> per annum).</w:t>
      </w:r>
    </w:p>
    <w:p w14:paraId="23E7D0C8" w14:textId="06F053C5" w:rsidR="004D6B30" w:rsidRDefault="004D6B30" w:rsidP="00172F56">
      <w:pPr>
        <w:pStyle w:val="11Bodytext"/>
        <w:numPr>
          <w:ilvl w:val="0"/>
          <w:numId w:val="0"/>
        </w:numPr>
        <w:spacing w:before="0" w:after="0" w:line="300" w:lineRule="auto"/>
      </w:pPr>
    </w:p>
    <w:tbl>
      <w:tblPr>
        <w:tblStyle w:val="TableGrid10"/>
        <w:tblW w:w="8199" w:type="dxa"/>
        <w:jc w:val="center"/>
        <w:tblLook w:val="04A0" w:firstRow="1" w:lastRow="0" w:firstColumn="1" w:lastColumn="0" w:noHBand="0" w:noVBand="1"/>
      </w:tblPr>
      <w:tblGrid>
        <w:gridCol w:w="8199"/>
      </w:tblGrid>
      <w:tr w:rsidR="004D6B30" w14:paraId="5084F348" w14:textId="77777777" w:rsidTr="008469E3">
        <w:trPr>
          <w:jc w:val="center"/>
        </w:trPr>
        <w:tc>
          <w:tcPr>
            <w:tcW w:w="8199" w:type="dxa"/>
          </w:tcPr>
          <w:p w14:paraId="6CA6A7EC" w14:textId="3E8CD430" w:rsidR="004D6B30" w:rsidRDefault="004D6B30" w:rsidP="0014104A">
            <w:pPr>
              <w:pStyle w:val="FigureHeading"/>
              <w:spacing w:before="60" w:after="60" w:line="300" w:lineRule="auto"/>
              <w:ind w:left="0" w:firstLine="0"/>
              <w:jc w:val="center"/>
              <w:rPr>
                <w:color w:val="auto"/>
              </w:rPr>
            </w:pPr>
            <w:r>
              <w:rPr>
                <w:color w:val="auto"/>
              </w:rPr>
              <w:t>Figure 6.</w:t>
            </w:r>
            <w:r w:rsidR="00AD29A6">
              <w:rPr>
                <w:color w:val="auto"/>
              </w:rPr>
              <w:t>19</w:t>
            </w:r>
            <w:r>
              <w:rPr>
                <w:color w:val="auto"/>
              </w:rPr>
              <w:t xml:space="preserve">: </w:t>
            </w:r>
            <w:r w:rsidRPr="00E12B61">
              <w:rPr>
                <w:szCs w:val="20"/>
              </w:rPr>
              <w:t>Median Household Income by Household Type</w:t>
            </w:r>
          </w:p>
        </w:tc>
      </w:tr>
      <w:tr w:rsidR="004D6B30" w14:paraId="2379F6A7" w14:textId="77777777" w:rsidTr="008469E3">
        <w:trPr>
          <w:jc w:val="center"/>
        </w:trPr>
        <w:tc>
          <w:tcPr>
            <w:tcW w:w="8199" w:type="dxa"/>
          </w:tcPr>
          <w:p w14:paraId="1775F663" w14:textId="2D7D4CC6" w:rsidR="004D6B30" w:rsidRDefault="004D6B30" w:rsidP="0014104A">
            <w:pPr>
              <w:pStyle w:val="11Bodytext"/>
              <w:keepNext/>
              <w:numPr>
                <w:ilvl w:val="0"/>
                <w:numId w:val="0"/>
              </w:numPr>
              <w:spacing w:before="0" w:after="0" w:line="300" w:lineRule="auto"/>
              <w:jc w:val="center"/>
              <w:rPr>
                <w:color w:val="auto"/>
              </w:rPr>
            </w:pPr>
            <w:r>
              <w:rPr>
                <w:noProof/>
                <w:color w:val="auto"/>
              </w:rPr>
              <w:drawing>
                <wp:inline distT="0" distB="0" distL="0" distR="0" wp14:anchorId="3AF7079F" wp14:editId="31EC2160">
                  <wp:extent cx="5040000" cy="2880000"/>
                  <wp:effectExtent l="0" t="0" r="8255"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3D4EF159" w14:textId="45216CF9" w:rsidR="00CC789D" w:rsidRPr="00E12B61"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bookmarkEnd w:id="72"/>
    <w:bookmarkEnd w:id="73"/>
    <w:bookmarkEnd w:id="74"/>
    <w:p w14:paraId="7C0C36C8" w14:textId="77777777" w:rsidR="004D6B30" w:rsidRDefault="004D6B30" w:rsidP="00172F56">
      <w:pPr>
        <w:pStyle w:val="Reporttext0"/>
        <w:keepLines w:val="0"/>
        <w:widowControl w:val="0"/>
        <w:numPr>
          <w:ilvl w:val="0"/>
          <w:numId w:val="0"/>
        </w:numPr>
        <w:spacing w:line="300" w:lineRule="auto"/>
        <w:jc w:val="both"/>
        <w:rPr>
          <w:rFonts w:ascii="Arial" w:hAnsi="Arial" w:cs="Arial"/>
          <w:sz w:val="20"/>
        </w:rPr>
      </w:pPr>
    </w:p>
    <w:p w14:paraId="105FD581" w14:textId="5B38128A" w:rsidR="00CC789D" w:rsidRPr="004D6B30" w:rsidRDefault="00CC789D">
      <w:pPr>
        <w:pStyle w:val="11Bodytext"/>
        <w:numPr>
          <w:ilvl w:val="1"/>
          <w:numId w:val="65"/>
        </w:numPr>
        <w:spacing w:before="0" w:after="0" w:line="300" w:lineRule="auto"/>
        <w:ind w:left="720" w:hanging="720"/>
        <w:rPr>
          <w:color w:val="auto"/>
        </w:rPr>
      </w:pPr>
      <w:r w:rsidRPr="00E12B61">
        <w:t>The analysis particularly points to the need for social housing provision to meet the needs of lone parent households with low household incomes.</w:t>
      </w:r>
    </w:p>
    <w:p w14:paraId="112C1AAB" w14:textId="20B62637" w:rsidR="004D6B30" w:rsidRDefault="004D6B30" w:rsidP="00172F56">
      <w:pPr>
        <w:pStyle w:val="11Bodytext"/>
        <w:numPr>
          <w:ilvl w:val="0"/>
          <w:numId w:val="0"/>
        </w:numPr>
        <w:spacing w:before="0" w:after="0" w:line="300" w:lineRule="auto"/>
      </w:pPr>
    </w:p>
    <w:p w14:paraId="0FFD4C27" w14:textId="77EA9F76" w:rsidR="004D6B30" w:rsidRPr="007236BD" w:rsidRDefault="004D6B30" w:rsidP="00172F56">
      <w:pPr>
        <w:spacing w:line="300" w:lineRule="auto"/>
        <w:jc w:val="both"/>
        <w:rPr>
          <w:rFonts w:ascii="Arial" w:hAnsi="Arial" w:cs="Arial"/>
          <w:b/>
          <w:lang w:eastAsia="ja-JP"/>
        </w:rPr>
      </w:pPr>
      <w:r>
        <w:rPr>
          <w:rFonts w:ascii="Arial" w:hAnsi="Arial" w:cs="Arial"/>
          <w:b/>
          <w:lang w:eastAsia="ja-JP"/>
        </w:rPr>
        <w:t>Young People and First-Time Buyers</w:t>
      </w:r>
    </w:p>
    <w:p w14:paraId="035F312A" w14:textId="77777777" w:rsidR="004D6B30" w:rsidRPr="00E12B61" w:rsidRDefault="004D6B30" w:rsidP="00172F56">
      <w:pPr>
        <w:spacing w:line="300" w:lineRule="auto"/>
        <w:jc w:val="both"/>
        <w:rPr>
          <w:rFonts w:ascii="Arial" w:hAnsi="Arial" w:cs="Arial"/>
          <w:sz w:val="20"/>
          <w:szCs w:val="20"/>
          <w:lang w:eastAsia="ja-JP"/>
        </w:rPr>
      </w:pPr>
    </w:p>
    <w:p w14:paraId="3F716900" w14:textId="7157A155" w:rsidR="00CC789D" w:rsidRPr="004D6B30" w:rsidRDefault="00CC789D">
      <w:pPr>
        <w:pStyle w:val="11Bodytext"/>
        <w:numPr>
          <w:ilvl w:val="1"/>
          <w:numId w:val="65"/>
        </w:numPr>
        <w:spacing w:before="0" w:after="0" w:line="300" w:lineRule="auto"/>
        <w:ind w:left="720" w:hanging="720"/>
        <w:rPr>
          <w:color w:val="auto"/>
        </w:rPr>
      </w:pPr>
      <w:r w:rsidRPr="00E12B61">
        <w:t xml:space="preserve">For the purpose of this study younger people households are defined as those where the household reference person (survey respondent) is aged under 35. The survey records that there are </w:t>
      </w:r>
      <w:r w:rsidR="00A10711">
        <w:t>4,885</w:t>
      </w:r>
      <w:r w:rsidRPr="00E12B61">
        <w:t xml:space="preserve"> younger households in the Borough representing </w:t>
      </w:r>
      <w:r w:rsidR="00A10711">
        <w:t>12</w:t>
      </w:r>
      <w:r w:rsidRPr="00E12B61">
        <w:t>.5% of all households.</w:t>
      </w:r>
    </w:p>
    <w:p w14:paraId="6270E584" w14:textId="77777777" w:rsidR="004D6B30" w:rsidRPr="004D6B30" w:rsidRDefault="004D6B30" w:rsidP="00172F56">
      <w:pPr>
        <w:pStyle w:val="11Bodytext"/>
        <w:numPr>
          <w:ilvl w:val="0"/>
          <w:numId w:val="0"/>
        </w:numPr>
        <w:spacing w:before="0" w:after="0" w:line="300" w:lineRule="auto"/>
        <w:rPr>
          <w:color w:val="auto"/>
        </w:rPr>
      </w:pPr>
    </w:p>
    <w:p w14:paraId="7CD5F180" w14:textId="2AE4896C" w:rsidR="00CC789D" w:rsidRPr="00A10711" w:rsidRDefault="00CC789D">
      <w:pPr>
        <w:pStyle w:val="11Bodytext"/>
        <w:numPr>
          <w:ilvl w:val="1"/>
          <w:numId w:val="65"/>
        </w:numPr>
        <w:spacing w:before="0" w:after="0" w:line="300" w:lineRule="auto"/>
        <w:ind w:left="720" w:hanging="720"/>
        <w:rPr>
          <w:color w:val="auto"/>
        </w:rPr>
      </w:pPr>
      <w:r w:rsidRPr="00A10711">
        <w:rPr>
          <w:color w:val="auto"/>
        </w:rPr>
        <w:t>T</w:t>
      </w:r>
      <w:r w:rsidR="00A10711">
        <w:rPr>
          <w:color w:val="auto"/>
        </w:rPr>
        <w:t>he t</w:t>
      </w:r>
      <w:r w:rsidRPr="00A10711">
        <w:rPr>
          <w:color w:val="auto"/>
        </w:rPr>
        <w:t xml:space="preserve">able </w:t>
      </w:r>
      <w:r w:rsidR="00A10711">
        <w:rPr>
          <w:color w:val="auto"/>
        </w:rPr>
        <w:t>below</w:t>
      </w:r>
      <w:r w:rsidRPr="00A10711">
        <w:rPr>
          <w:color w:val="auto"/>
        </w:rPr>
        <w:t xml:space="preserve"> presents the working status of younger people in the Borough compared with working status for all households. The table indicates that around </w:t>
      </w:r>
      <w:r w:rsidR="00A10711">
        <w:rPr>
          <w:color w:val="auto"/>
        </w:rPr>
        <w:t>80</w:t>
      </w:r>
      <w:r w:rsidRPr="00A10711">
        <w:rPr>
          <w:color w:val="auto"/>
        </w:rPr>
        <w:t>% of younger person households are working – this compares with 4</w:t>
      </w:r>
      <w:r w:rsidR="00A10711">
        <w:rPr>
          <w:color w:val="auto"/>
        </w:rPr>
        <w:t>5</w:t>
      </w:r>
      <w:r w:rsidRPr="00A10711">
        <w:rPr>
          <w:color w:val="auto"/>
        </w:rPr>
        <w:t xml:space="preserve">% of all other households (or </w:t>
      </w:r>
      <w:r w:rsidR="00A10711">
        <w:rPr>
          <w:color w:val="auto"/>
        </w:rPr>
        <w:t>85</w:t>
      </w:r>
      <w:r w:rsidRPr="00A10711">
        <w:rPr>
          <w:color w:val="auto"/>
        </w:rPr>
        <w:t xml:space="preserve">% if we exclude retired households). The figures for unemployment are also quite notable with </w:t>
      </w:r>
      <w:r w:rsidR="00A10711">
        <w:rPr>
          <w:color w:val="auto"/>
        </w:rPr>
        <w:t>6</w:t>
      </w:r>
      <w:r w:rsidRPr="00A10711">
        <w:rPr>
          <w:color w:val="auto"/>
        </w:rPr>
        <w:t xml:space="preserve">% of younger person households being unemployed compared to </w:t>
      </w:r>
      <w:r w:rsidR="00A10711">
        <w:rPr>
          <w:color w:val="auto"/>
        </w:rPr>
        <w:t>3</w:t>
      </w:r>
      <w:r w:rsidRPr="00A10711">
        <w:rPr>
          <w:color w:val="auto"/>
        </w:rPr>
        <w:t>% of all other households in the Borough.</w:t>
      </w:r>
    </w:p>
    <w:p w14:paraId="369EA6CC" w14:textId="04A0FDD6" w:rsidR="00CC789D" w:rsidRPr="00E12B61" w:rsidRDefault="00CC789D" w:rsidP="00172F56">
      <w:pPr>
        <w:spacing w:line="300" w:lineRule="auto"/>
        <w:jc w:val="both"/>
        <w:rPr>
          <w:rFonts w:ascii="Arial" w:hAnsi="Arial" w:cs="Arial"/>
          <w:b/>
          <w:sz w:val="20"/>
          <w:szCs w:val="20"/>
        </w:rPr>
      </w:pPr>
    </w:p>
    <w:tbl>
      <w:tblPr>
        <w:tblStyle w:val="TableGridLight10"/>
        <w:tblW w:w="8199" w:type="dxa"/>
        <w:jc w:val="center"/>
        <w:tblLayout w:type="fixed"/>
        <w:tblLook w:val="01E0" w:firstRow="1" w:lastRow="1" w:firstColumn="1" w:lastColumn="1" w:noHBand="0" w:noVBand="0"/>
      </w:tblPr>
      <w:tblGrid>
        <w:gridCol w:w="1838"/>
        <w:gridCol w:w="1590"/>
        <w:gridCol w:w="1590"/>
        <w:gridCol w:w="1590"/>
        <w:gridCol w:w="1591"/>
      </w:tblGrid>
      <w:tr w:rsidR="00A10711" w:rsidRPr="00A10711" w14:paraId="2F42A211" w14:textId="77777777" w:rsidTr="008469E3">
        <w:trPr>
          <w:jc w:val="center"/>
        </w:trPr>
        <w:tc>
          <w:tcPr>
            <w:tcW w:w="8199" w:type="dxa"/>
            <w:gridSpan w:val="5"/>
          </w:tcPr>
          <w:p w14:paraId="3147EC57" w14:textId="219AF697" w:rsidR="00A10711" w:rsidRPr="00A10711" w:rsidRDefault="00A10711" w:rsidP="0014104A">
            <w:pPr>
              <w:keepLines/>
              <w:widowControl w:val="0"/>
              <w:spacing w:before="60" w:after="60" w:line="300" w:lineRule="auto"/>
              <w:jc w:val="center"/>
              <w:rPr>
                <w:rFonts w:ascii="Arial" w:hAnsi="Arial" w:cs="Arial"/>
                <w:b/>
                <w:bCs/>
                <w:iCs/>
                <w:sz w:val="20"/>
                <w:szCs w:val="20"/>
              </w:rPr>
            </w:pPr>
            <w:r w:rsidRPr="00A10711">
              <w:rPr>
                <w:rFonts w:ascii="Arial" w:hAnsi="Arial" w:cs="Arial"/>
                <w:b/>
                <w:bCs/>
                <w:iCs/>
                <w:sz w:val="20"/>
                <w:szCs w:val="20"/>
              </w:rPr>
              <w:t>Figure 6.</w:t>
            </w:r>
            <w:r w:rsidR="00AD29A6">
              <w:rPr>
                <w:rFonts w:ascii="Arial" w:hAnsi="Arial" w:cs="Arial"/>
                <w:b/>
                <w:bCs/>
                <w:iCs/>
                <w:sz w:val="20"/>
                <w:szCs w:val="20"/>
              </w:rPr>
              <w:t>20</w:t>
            </w:r>
            <w:r w:rsidRPr="00A10711">
              <w:rPr>
                <w:rFonts w:ascii="Arial" w:hAnsi="Arial" w:cs="Arial"/>
                <w:b/>
                <w:bCs/>
                <w:iCs/>
                <w:sz w:val="20"/>
                <w:szCs w:val="20"/>
              </w:rPr>
              <w:t xml:space="preserve">: </w:t>
            </w:r>
            <w:bookmarkStart w:id="75" w:name="_Toc372039108"/>
            <w:r w:rsidRPr="00A10711">
              <w:rPr>
                <w:rFonts w:ascii="Arial" w:hAnsi="Arial" w:cs="Arial"/>
                <w:b/>
                <w:bCs/>
                <w:sz w:val="20"/>
                <w:szCs w:val="20"/>
              </w:rPr>
              <w:t>Working status of Younger People</w:t>
            </w:r>
            <w:bookmarkEnd w:id="75"/>
          </w:p>
        </w:tc>
      </w:tr>
      <w:tr w:rsidR="00CC789D" w:rsidRPr="00E12B61" w14:paraId="3D99D3AE" w14:textId="77777777" w:rsidTr="00A10711">
        <w:trPr>
          <w:jc w:val="center"/>
        </w:trPr>
        <w:tc>
          <w:tcPr>
            <w:tcW w:w="1838" w:type="dxa"/>
            <w:vMerge w:val="restart"/>
          </w:tcPr>
          <w:p w14:paraId="499869B5" w14:textId="77777777" w:rsidR="00CC789D" w:rsidRPr="00A10711" w:rsidRDefault="00CC789D" w:rsidP="0014104A">
            <w:pPr>
              <w:keepLines/>
              <w:widowControl w:val="0"/>
              <w:spacing w:line="300" w:lineRule="auto"/>
              <w:rPr>
                <w:rFonts w:ascii="Arial" w:hAnsi="Arial" w:cs="Arial"/>
                <w:iCs/>
                <w:sz w:val="20"/>
                <w:szCs w:val="20"/>
              </w:rPr>
            </w:pPr>
            <w:r w:rsidRPr="00A10711">
              <w:rPr>
                <w:rFonts w:ascii="Arial" w:hAnsi="Arial" w:cs="Arial"/>
                <w:iCs/>
                <w:sz w:val="20"/>
                <w:szCs w:val="20"/>
              </w:rPr>
              <w:t>Working status</w:t>
            </w:r>
          </w:p>
        </w:tc>
        <w:tc>
          <w:tcPr>
            <w:tcW w:w="3180" w:type="dxa"/>
            <w:gridSpan w:val="2"/>
          </w:tcPr>
          <w:p w14:paraId="771C1DB1" w14:textId="77777777" w:rsidR="00CC789D" w:rsidRPr="00A10711" w:rsidRDefault="00CC789D" w:rsidP="0014104A">
            <w:pPr>
              <w:keepLines/>
              <w:widowControl w:val="0"/>
              <w:spacing w:line="300" w:lineRule="auto"/>
              <w:jc w:val="center"/>
              <w:rPr>
                <w:rFonts w:ascii="Arial" w:hAnsi="Arial" w:cs="Arial"/>
                <w:iCs/>
                <w:sz w:val="20"/>
                <w:szCs w:val="20"/>
              </w:rPr>
            </w:pPr>
            <w:r w:rsidRPr="00A10711">
              <w:rPr>
                <w:rFonts w:ascii="Arial" w:hAnsi="Arial" w:cs="Arial"/>
                <w:iCs/>
                <w:sz w:val="20"/>
                <w:szCs w:val="20"/>
              </w:rPr>
              <w:t>Young households</w:t>
            </w:r>
          </w:p>
        </w:tc>
        <w:tc>
          <w:tcPr>
            <w:tcW w:w="3181" w:type="dxa"/>
            <w:gridSpan w:val="2"/>
          </w:tcPr>
          <w:p w14:paraId="0CAC0072" w14:textId="77777777" w:rsidR="00CC789D" w:rsidRPr="00A10711" w:rsidRDefault="00CC789D" w:rsidP="0014104A">
            <w:pPr>
              <w:keepLines/>
              <w:widowControl w:val="0"/>
              <w:spacing w:line="300" w:lineRule="auto"/>
              <w:jc w:val="center"/>
              <w:rPr>
                <w:rFonts w:ascii="Arial" w:hAnsi="Arial" w:cs="Arial"/>
                <w:iCs/>
                <w:sz w:val="20"/>
                <w:szCs w:val="20"/>
              </w:rPr>
            </w:pPr>
            <w:r w:rsidRPr="00A10711">
              <w:rPr>
                <w:rFonts w:ascii="Arial" w:hAnsi="Arial" w:cs="Arial"/>
                <w:iCs/>
                <w:sz w:val="20"/>
                <w:szCs w:val="20"/>
              </w:rPr>
              <w:t>All other households</w:t>
            </w:r>
          </w:p>
        </w:tc>
      </w:tr>
      <w:tr w:rsidR="00CC789D" w:rsidRPr="00E12B61" w14:paraId="6D30FCE7" w14:textId="77777777" w:rsidTr="00A10711">
        <w:trPr>
          <w:jc w:val="center"/>
        </w:trPr>
        <w:tc>
          <w:tcPr>
            <w:tcW w:w="1838" w:type="dxa"/>
            <w:vMerge/>
          </w:tcPr>
          <w:p w14:paraId="515A91E0" w14:textId="77777777" w:rsidR="00CC789D" w:rsidRPr="00A10711" w:rsidRDefault="00CC789D" w:rsidP="0014104A">
            <w:pPr>
              <w:widowControl w:val="0"/>
              <w:spacing w:line="300" w:lineRule="auto"/>
              <w:rPr>
                <w:rFonts w:ascii="Arial" w:hAnsi="Arial" w:cs="Arial"/>
                <w:iCs/>
                <w:sz w:val="20"/>
                <w:szCs w:val="20"/>
              </w:rPr>
            </w:pPr>
          </w:p>
        </w:tc>
        <w:tc>
          <w:tcPr>
            <w:tcW w:w="1590" w:type="dxa"/>
          </w:tcPr>
          <w:p w14:paraId="1A9B2C26" w14:textId="77777777" w:rsidR="00CC789D" w:rsidRPr="00A10711" w:rsidRDefault="00CC789D" w:rsidP="0014104A">
            <w:pPr>
              <w:widowControl w:val="0"/>
              <w:spacing w:line="300" w:lineRule="auto"/>
              <w:jc w:val="center"/>
              <w:rPr>
                <w:rFonts w:ascii="Arial" w:hAnsi="Arial" w:cs="Arial"/>
                <w:iCs/>
                <w:sz w:val="20"/>
                <w:szCs w:val="20"/>
              </w:rPr>
            </w:pPr>
            <w:r w:rsidRPr="00A10711">
              <w:rPr>
                <w:rFonts w:ascii="Arial" w:hAnsi="Arial" w:cs="Arial"/>
                <w:iCs/>
                <w:sz w:val="20"/>
                <w:szCs w:val="20"/>
              </w:rPr>
              <w:t>Number of household</w:t>
            </w:r>
          </w:p>
        </w:tc>
        <w:tc>
          <w:tcPr>
            <w:tcW w:w="1590" w:type="dxa"/>
          </w:tcPr>
          <w:p w14:paraId="4DF96540" w14:textId="77777777" w:rsidR="00CC789D" w:rsidRPr="00A10711" w:rsidRDefault="00CC789D" w:rsidP="0014104A">
            <w:pPr>
              <w:widowControl w:val="0"/>
              <w:spacing w:line="300" w:lineRule="auto"/>
              <w:jc w:val="center"/>
              <w:rPr>
                <w:rFonts w:ascii="Arial" w:hAnsi="Arial" w:cs="Arial"/>
                <w:iCs/>
                <w:sz w:val="20"/>
                <w:szCs w:val="20"/>
              </w:rPr>
            </w:pPr>
            <w:r w:rsidRPr="00A10711">
              <w:rPr>
                <w:rFonts w:ascii="Arial" w:hAnsi="Arial" w:cs="Arial"/>
                <w:iCs/>
                <w:sz w:val="20"/>
                <w:szCs w:val="20"/>
              </w:rPr>
              <w:t>% of households</w:t>
            </w:r>
          </w:p>
        </w:tc>
        <w:tc>
          <w:tcPr>
            <w:tcW w:w="1590" w:type="dxa"/>
          </w:tcPr>
          <w:p w14:paraId="73AE31F9" w14:textId="77777777" w:rsidR="00CC789D" w:rsidRPr="00A10711" w:rsidRDefault="00CC789D" w:rsidP="0014104A">
            <w:pPr>
              <w:widowControl w:val="0"/>
              <w:spacing w:line="300" w:lineRule="auto"/>
              <w:jc w:val="center"/>
              <w:rPr>
                <w:rFonts w:ascii="Arial" w:hAnsi="Arial" w:cs="Arial"/>
                <w:iCs/>
                <w:sz w:val="20"/>
                <w:szCs w:val="20"/>
              </w:rPr>
            </w:pPr>
            <w:r w:rsidRPr="00A10711">
              <w:rPr>
                <w:rFonts w:ascii="Arial" w:hAnsi="Arial" w:cs="Arial"/>
                <w:iCs/>
                <w:sz w:val="20"/>
                <w:szCs w:val="20"/>
              </w:rPr>
              <w:t>Number of household</w:t>
            </w:r>
          </w:p>
        </w:tc>
        <w:tc>
          <w:tcPr>
            <w:tcW w:w="1591" w:type="dxa"/>
          </w:tcPr>
          <w:p w14:paraId="7CC0029B" w14:textId="77777777" w:rsidR="00CC789D" w:rsidRPr="00A10711" w:rsidRDefault="00CC789D" w:rsidP="0014104A">
            <w:pPr>
              <w:widowControl w:val="0"/>
              <w:spacing w:line="300" w:lineRule="auto"/>
              <w:jc w:val="center"/>
              <w:rPr>
                <w:rFonts w:ascii="Arial" w:hAnsi="Arial" w:cs="Arial"/>
                <w:iCs/>
                <w:sz w:val="20"/>
                <w:szCs w:val="20"/>
              </w:rPr>
            </w:pPr>
            <w:r w:rsidRPr="00A10711">
              <w:rPr>
                <w:rFonts w:ascii="Arial" w:hAnsi="Arial" w:cs="Arial"/>
                <w:iCs/>
                <w:sz w:val="20"/>
                <w:szCs w:val="20"/>
              </w:rPr>
              <w:t>% of households</w:t>
            </w:r>
          </w:p>
        </w:tc>
      </w:tr>
      <w:tr w:rsidR="00A10711" w:rsidRPr="00E12B61" w14:paraId="0CFC5866" w14:textId="77777777" w:rsidTr="00A10711">
        <w:trPr>
          <w:jc w:val="center"/>
        </w:trPr>
        <w:tc>
          <w:tcPr>
            <w:tcW w:w="1838" w:type="dxa"/>
          </w:tcPr>
          <w:p w14:paraId="0B6308DB" w14:textId="77777777" w:rsidR="00A10711" w:rsidRPr="00A10711" w:rsidRDefault="00A10711" w:rsidP="0014104A">
            <w:pPr>
              <w:widowControl w:val="0"/>
              <w:spacing w:line="300" w:lineRule="auto"/>
              <w:rPr>
                <w:rFonts w:ascii="Arial" w:hAnsi="Arial" w:cs="Arial"/>
                <w:sz w:val="20"/>
                <w:szCs w:val="20"/>
              </w:rPr>
            </w:pPr>
            <w:r w:rsidRPr="00A10711">
              <w:rPr>
                <w:rFonts w:ascii="Arial" w:hAnsi="Arial" w:cs="Arial"/>
                <w:sz w:val="20"/>
                <w:szCs w:val="20"/>
              </w:rPr>
              <w:t>Working</w:t>
            </w:r>
          </w:p>
        </w:tc>
        <w:tc>
          <w:tcPr>
            <w:tcW w:w="1590" w:type="dxa"/>
          </w:tcPr>
          <w:p w14:paraId="7157726D" w14:textId="0D7597DC"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3,927</w:t>
            </w:r>
          </w:p>
        </w:tc>
        <w:tc>
          <w:tcPr>
            <w:tcW w:w="1590" w:type="dxa"/>
          </w:tcPr>
          <w:p w14:paraId="42CDBAA1" w14:textId="4B03BE53"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80.4%</w:t>
            </w:r>
          </w:p>
        </w:tc>
        <w:tc>
          <w:tcPr>
            <w:tcW w:w="1590" w:type="dxa"/>
          </w:tcPr>
          <w:p w14:paraId="697D9637" w14:textId="1F07199A"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15,356</w:t>
            </w:r>
          </w:p>
        </w:tc>
        <w:tc>
          <w:tcPr>
            <w:tcW w:w="1591" w:type="dxa"/>
          </w:tcPr>
          <w:p w14:paraId="11F8B31F" w14:textId="0C98F444"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45.0%</w:t>
            </w:r>
          </w:p>
        </w:tc>
      </w:tr>
      <w:tr w:rsidR="00A10711" w:rsidRPr="00E12B61" w14:paraId="39816291" w14:textId="77777777" w:rsidTr="00A10711">
        <w:trPr>
          <w:jc w:val="center"/>
        </w:trPr>
        <w:tc>
          <w:tcPr>
            <w:tcW w:w="1838" w:type="dxa"/>
          </w:tcPr>
          <w:p w14:paraId="47D7F401" w14:textId="77777777" w:rsidR="00A10711" w:rsidRPr="00A10711" w:rsidRDefault="00A10711" w:rsidP="0014104A">
            <w:pPr>
              <w:widowControl w:val="0"/>
              <w:spacing w:line="300" w:lineRule="auto"/>
              <w:rPr>
                <w:rFonts w:ascii="Arial" w:hAnsi="Arial" w:cs="Arial"/>
                <w:sz w:val="20"/>
                <w:szCs w:val="20"/>
              </w:rPr>
            </w:pPr>
            <w:r w:rsidRPr="00A10711">
              <w:rPr>
                <w:rFonts w:ascii="Arial" w:hAnsi="Arial" w:cs="Arial"/>
                <w:sz w:val="20"/>
                <w:szCs w:val="20"/>
              </w:rPr>
              <w:t>Unemployed</w:t>
            </w:r>
          </w:p>
        </w:tc>
        <w:tc>
          <w:tcPr>
            <w:tcW w:w="1590" w:type="dxa"/>
          </w:tcPr>
          <w:p w14:paraId="42B8B7FC" w14:textId="341C2286"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279</w:t>
            </w:r>
          </w:p>
        </w:tc>
        <w:tc>
          <w:tcPr>
            <w:tcW w:w="1590" w:type="dxa"/>
          </w:tcPr>
          <w:p w14:paraId="43770E6C" w14:textId="634ECE02"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5.7%</w:t>
            </w:r>
          </w:p>
        </w:tc>
        <w:tc>
          <w:tcPr>
            <w:tcW w:w="1590" w:type="dxa"/>
          </w:tcPr>
          <w:p w14:paraId="497110D6" w14:textId="3ECA7296"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1,003</w:t>
            </w:r>
          </w:p>
        </w:tc>
        <w:tc>
          <w:tcPr>
            <w:tcW w:w="1591" w:type="dxa"/>
          </w:tcPr>
          <w:p w14:paraId="119FC626" w14:textId="0456EDA5"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2.9%</w:t>
            </w:r>
          </w:p>
        </w:tc>
      </w:tr>
      <w:tr w:rsidR="00A10711" w:rsidRPr="00E12B61" w14:paraId="160FC9CA" w14:textId="77777777" w:rsidTr="00A10711">
        <w:trPr>
          <w:jc w:val="center"/>
        </w:trPr>
        <w:tc>
          <w:tcPr>
            <w:tcW w:w="1838" w:type="dxa"/>
          </w:tcPr>
          <w:p w14:paraId="33AF2872" w14:textId="77777777" w:rsidR="00A10711" w:rsidRPr="00A10711" w:rsidRDefault="00A10711" w:rsidP="0014104A">
            <w:pPr>
              <w:widowControl w:val="0"/>
              <w:spacing w:line="300" w:lineRule="auto"/>
              <w:rPr>
                <w:rFonts w:ascii="Arial" w:hAnsi="Arial" w:cs="Arial"/>
                <w:sz w:val="20"/>
                <w:szCs w:val="20"/>
              </w:rPr>
            </w:pPr>
            <w:r w:rsidRPr="00A10711">
              <w:rPr>
                <w:rFonts w:ascii="Arial" w:hAnsi="Arial" w:cs="Arial"/>
                <w:sz w:val="20"/>
                <w:szCs w:val="20"/>
              </w:rPr>
              <w:t>Retired</w:t>
            </w:r>
          </w:p>
        </w:tc>
        <w:tc>
          <w:tcPr>
            <w:tcW w:w="1590" w:type="dxa"/>
          </w:tcPr>
          <w:p w14:paraId="61AF7A19" w14:textId="6D1F93EC"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0</w:t>
            </w:r>
          </w:p>
        </w:tc>
        <w:tc>
          <w:tcPr>
            <w:tcW w:w="1590" w:type="dxa"/>
          </w:tcPr>
          <w:p w14:paraId="23EC055F" w14:textId="50ABE1EC"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0.0%</w:t>
            </w:r>
          </w:p>
        </w:tc>
        <w:tc>
          <w:tcPr>
            <w:tcW w:w="1590" w:type="dxa"/>
          </w:tcPr>
          <w:p w14:paraId="3096E3C1" w14:textId="3E46440F"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16,078</w:t>
            </w:r>
          </w:p>
        </w:tc>
        <w:tc>
          <w:tcPr>
            <w:tcW w:w="1591" w:type="dxa"/>
          </w:tcPr>
          <w:p w14:paraId="27AC3F94" w14:textId="2D72EF86"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47.1%</w:t>
            </w:r>
          </w:p>
        </w:tc>
      </w:tr>
      <w:tr w:rsidR="00A10711" w:rsidRPr="00E12B61" w14:paraId="16516DF0" w14:textId="77777777" w:rsidTr="00A10711">
        <w:trPr>
          <w:jc w:val="center"/>
        </w:trPr>
        <w:tc>
          <w:tcPr>
            <w:tcW w:w="1838" w:type="dxa"/>
          </w:tcPr>
          <w:p w14:paraId="76BD069F" w14:textId="77777777" w:rsidR="00A10711" w:rsidRPr="00A10711" w:rsidRDefault="00A10711" w:rsidP="0014104A">
            <w:pPr>
              <w:widowControl w:val="0"/>
              <w:spacing w:line="300" w:lineRule="auto"/>
              <w:rPr>
                <w:rFonts w:ascii="Arial" w:hAnsi="Arial" w:cs="Arial"/>
                <w:sz w:val="20"/>
                <w:szCs w:val="20"/>
              </w:rPr>
            </w:pPr>
            <w:r w:rsidRPr="00A10711">
              <w:rPr>
                <w:rFonts w:ascii="Arial" w:hAnsi="Arial" w:cs="Arial"/>
                <w:sz w:val="20"/>
                <w:szCs w:val="20"/>
              </w:rPr>
              <w:t>Other</w:t>
            </w:r>
          </w:p>
        </w:tc>
        <w:tc>
          <w:tcPr>
            <w:tcW w:w="1590" w:type="dxa"/>
          </w:tcPr>
          <w:p w14:paraId="4CB40376" w14:textId="31C03826"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679</w:t>
            </w:r>
          </w:p>
        </w:tc>
        <w:tc>
          <w:tcPr>
            <w:tcW w:w="1590" w:type="dxa"/>
          </w:tcPr>
          <w:p w14:paraId="30F5AFE4" w14:textId="702D209D"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13.9%</w:t>
            </w:r>
          </w:p>
        </w:tc>
        <w:tc>
          <w:tcPr>
            <w:tcW w:w="1590" w:type="dxa"/>
          </w:tcPr>
          <w:p w14:paraId="5C69987D" w14:textId="26EEE6DC"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1,678</w:t>
            </w:r>
          </w:p>
        </w:tc>
        <w:tc>
          <w:tcPr>
            <w:tcW w:w="1591" w:type="dxa"/>
          </w:tcPr>
          <w:p w14:paraId="5A0BEB5E" w14:textId="4E19A85B"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4.9%</w:t>
            </w:r>
          </w:p>
        </w:tc>
      </w:tr>
      <w:tr w:rsidR="00A10711" w:rsidRPr="00E12B61" w14:paraId="1FDC4EBF" w14:textId="77777777" w:rsidTr="00A10711">
        <w:trPr>
          <w:jc w:val="center"/>
        </w:trPr>
        <w:tc>
          <w:tcPr>
            <w:tcW w:w="1838" w:type="dxa"/>
          </w:tcPr>
          <w:p w14:paraId="4CF33C2C" w14:textId="77777777" w:rsidR="00A10711" w:rsidRPr="00A10711" w:rsidRDefault="00A10711" w:rsidP="0014104A">
            <w:pPr>
              <w:widowControl w:val="0"/>
              <w:spacing w:line="300" w:lineRule="auto"/>
              <w:rPr>
                <w:rFonts w:ascii="Arial" w:hAnsi="Arial" w:cs="Arial"/>
                <w:sz w:val="20"/>
                <w:szCs w:val="20"/>
              </w:rPr>
            </w:pPr>
            <w:r w:rsidRPr="00A10711">
              <w:rPr>
                <w:rFonts w:ascii="Arial" w:hAnsi="Arial" w:cs="Arial"/>
                <w:sz w:val="20"/>
                <w:szCs w:val="20"/>
              </w:rPr>
              <w:t>Total</w:t>
            </w:r>
          </w:p>
        </w:tc>
        <w:tc>
          <w:tcPr>
            <w:tcW w:w="1590" w:type="dxa"/>
          </w:tcPr>
          <w:p w14:paraId="2A582F5D" w14:textId="7C9CE626"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4,885</w:t>
            </w:r>
          </w:p>
        </w:tc>
        <w:tc>
          <w:tcPr>
            <w:tcW w:w="1590" w:type="dxa"/>
          </w:tcPr>
          <w:p w14:paraId="141DD249" w14:textId="7ACFE619"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100.0%</w:t>
            </w:r>
          </w:p>
        </w:tc>
        <w:tc>
          <w:tcPr>
            <w:tcW w:w="1590" w:type="dxa"/>
          </w:tcPr>
          <w:p w14:paraId="571909A5" w14:textId="705FDD8A"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34,115</w:t>
            </w:r>
          </w:p>
        </w:tc>
        <w:tc>
          <w:tcPr>
            <w:tcW w:w="1591" w:type="dxa"/>
          </w:tcPr>
          <w:p w14:paraId="7693D196" w14:textId="55DD4682" w:rsidR="00A10711" w:rsidRPr="00A10711" w:rsidRDefault="00A10711" w:rsidP="0014104A">
            <w:pPr>
              <w:spacing w:line="300" w:lineRule="auto"/>
              <w:jc w:val="center"/>
              <w:rPr>
                <w:rFonts w:ascii="Arial" w:hAnsi="Arial" w:cs="Arial"/>
                <w:sz w:val="20"/>
                <w:szCs w:val="20"/>
              </w:rPr>
            </w:pPr>
            <w:r w:rsidRPr="00A10711">
              <w:rPr>
                <w:rFonts w:ascii="Arial" w:hAnsi="Arial" w:cs="Arial"/>
                <w:sz w:val="20"/>
                <w:szCs w:val="20"/>
              </w:rPr>
              <w:t>100.0%</w:t>
            </w:r>
          </w:p>
        </w:tc>
      </w:tr>
    </w:tbl>
    <w:p w14:paraId="61C5B48D" w14:textId="3327A7DD" w:rsidR="00CC789D" w:rsidRDefault="00AB789F" w:rsidP="00172F56">
      <w:pPr>
        <w:pStyle w:val="Reporttext0"/>
        <w:keepLines w:val="0"/>
        <w:widowControl w:val="0"/>
        <w:numPr>
          <w:ilvl w:val="0"/>
          <w:numId w:val="0"/>
        </w:numPr>
        <w:spacing w:line="300" w:lineRule="auto"/>
        <w:ind w:left="720" w:hanging="720"/>
        <w:jc w:val="center"/>
        <w:rPr>
          <w:rFonts w:ascii="Arial" w:hAnsi="Arial" w:cs="Arial"/>
          <w:iCs/>
          <w:sz w:val="20"/>
        </w:rPr>
      </w:pPr>
      <w:r>
        <w:rPr>
          <w:rFonts w:ascii="Arial" w:hAnsi="Arial" w:cs="Arial"/>
          <w:iCs/>
          <w:sz w:val="20"/>
        </w:rPr>
        <w:t>Source: Household survey</w:t>
      </w:r>
    </w:p>
    <w:p w14:paraId="73856D4A" w14:textId="77777777" w:rsidR="00694397" w:rsidRPr="004D6B30" w:rsidRDefault="00694397" w:rsidP="00172F56">
      <w:pPr>
        <w:pStyle w:val="11Bodytext"/>
        <w:numPr>
          <w:ilvl w:val="0"/>
          <w:numId w:val="0"/>
        </w:numPr>
        <w:spacing w:before="0" w:after="0" w:line="300" w:lineRule="auto"/>
        <w:rPr>
          <w:color w:val="auto"/>
        </w:rPr>
      </w:pPr>
    </w:p>
    <w:p w14:paraId="78AC63C7" w14:textId="7922C76C" w:rsidR="00CC789D" w:rsidRPr="00694397" w:rsidRDefault="00CC789D">
      <w:pPr>
        <w:pStyle w:val="11Bodytext"/>
        <w:numPr>
          <w:ilvl w:val="1"/>
          <w:numId w:val="65"/>
        </w:numPr>
        <w:spacing w:before="0" w:after="0" w:line="300" w:lineRule="auto"/>
        <w:ind w:left="720" w:hanging="720"/>
        <w:rPr>
          <w:color w:val="auto"/>
        </w:rPr>
      </w:pPr>
      <w:r w:rsidRPr="00E12B61">
        <w:rPr>
          <w:rStyle w:val="11BodytextChar"/>
        </w:rPr>
        <w:t xml:space="preserve">The table below indicates the type of households these younger households live in. The table shows that </w:t>
      </w:r>
      <w:r w:rsidR="00694397">
        <w:rPr>
          <w:rStyle w:val="11BodytextChar"/>
        </w:rPr>
        <w:t>24</w:t>
      </w:r>
      <w:r w:rsidRPr="00E12B61">
        <w:rPr>
          <w:rStyle w:val="11BodytextChar"/>
        </w:rPr>
        <w:t xml:space="preserve">% live alone and a </w:t>
      </w:r>
      <w:r w:rsidR="00694397">
        <w:rPr>
          <w:rStyle w:val="11BodytextChar"/>
        </w:rPr>
        <w:t>further 22%</w:t>
      </w:r>
      <w:r w:rsidRPr="00E12B61">
        <w:rPr>
          <w:rStyle w:val="11BodytextChar"/>
        </w:rPr>
        <w:t xml:space="preserve"> live as a childless couple. In total </w:t>
      </w:r>
      <w:r w:rsidR="00694397">
        <w:rPr>
          <w:rStyle w:val="11BodytextChar"/>
        </w:rPr>
        <w:t>51</w:t>
      </w:r>
      <w:r w:rsidRPr="00E12B61">
        <w:rPr>
          <w:rStyle w:val="11BodytextChar"/>
        </w:rPr>
        <w:t>% of all younger person households contain children with a significant proportion of these being lone parent</w:t>
      </w:r>
      <w:r w:rsidRPr="00E12B61">
        <w:t xml:space="preserve"> households.</w:t>
      </w:r>
    </w:p>
    <w:p w14:paraId="5614B04B" w14:textId="77777777" w:rsidR="00694397" w:rsidRPr="00E12B61" w:rsidRDefault="00694397" w:rsidP="0033047F">
      <w:pPr>
        <w:pStyle w:val="11Bodytext"/>
        <w:numPr>
          <w:ilvl w:val="0"/>
          <w:numId w:val="0"/>
        </w:numPr>
        <w:spacing w:before="0" w:after="0" w:line="300" w:lineRule="auto"/>
      </w:pPr>
    </w:p>
    <w:tbl>
      <w:tblPr>
        <w:tblStyle w:val="TableTheme"/>
        <w:tblW w:w="8199" w:type="dxa"/>
        <w:jc w:val="center"/>
        <w:tblLayout w:type="fixed"/>
        <w:tblLook w:val="01E0" w:firstRow="1" w:lastRow="1" w:firstColumn="1" w:lastColumn="1" w:noHBand="0" w:noVBand="0"/>
      </w:tblPr>
      <w:tblGrid>
        <w:gridCol w:w="3964"/>
        <w:gridCol w:w="2117"/>
        <w:gridCol w:w="2118"/>
      </w:tblGrid>
      <w:tr w:rsidR="00694397" w:rsidRPr="00694397" w14:paraId="1A46CD1F" w14:textId="77777777" w:rsidTr="008469E3">
        <w:trPr>
          <w:jc w:val="center"/>
        </w:trPr>
        <w:tc>
          <w:tcPr>
            <w:tcW w:w="8199" w:type="dxa"/>
            <w:gridSpan w:val="3"/>
          </w:tcPr>
          <w:p w14:paraId="69FFED7D" w14:textId="6F41F899" w:rsidR="00694397" w:rsidRPr="00694397" w:rsidRDefault="00694397" w:rsidP="0014104A">
            <w:pPr>
              <w:keepNext/>
              <w:widowControl w:val="0"/>
              <w:spacing w:before="60" w:after="60" w:line="300" w:lineRule="auto"/>
              <w:jc w:val="center"/>
              <w:rPr>
                <w:rFonts w:ascii="Arial" w:hAnsi="Arial" w:cs="Arial"/>
                <w:b/>
                <w:bCs/>
                <w:iCs/>
                <w:sz w:val="20"/>
                <w:szCs w:val="20"/>
              </w:rPr>
            </w:pPr>
            <w:r w:rsidRPr="00694397">
              <w:rPr>
                <w:rFonts w:ascii="Arial" w:hAnsi="Arial" w:cs="Arial"/>
                <w:b/>
                <w:bCs/>
                <w:iCs/>
                <w:sz w:val="20"/>
                <w:szCs w:val="20"/>
              </w:rPr>
              <w:t>Figure 6.</w:t>
            </w:r>
            <w:r w:rsidR="00AD29A6">
              <w:rPr>
                <w:rFonts w:ascii="Arial" w:hAnsi="Arial" w:cs="Arial"/>
                <w:b/>
                <w:bCs/>
                <w:iCs/>
                <w:sz w:val="20"/>
                <w:szCs w:val="20"/>
              </w:rPr>
              <w:t>21</w:t>
            </w:r>
            <w:r w:rsidRPr="00694397">
              <w:rPr>
                <w:rFonts w:ascii="Arial" w:hAnsi="Arial" w:cs="Arial"/>
                <w:b/>
                <w:bCs/>
                <w:iCs/>
                <w:sz w:val="20"/>
                <w:szCs w:val="20"/>
              </w:rPr>
              <w:t xml:space="preserve">: </w:t>
            </w:r>
            <w:bookmarkStart w:id="76" w:name="_Toc372039109"/>
            <w:r w:rsidRPr="00694397">
              <w:rPr>
                <w:rFonts w:ascii="Arial" w:hAnsi="Arial" w:cs="Arial"/>
                <w:b/>
                <w:bCs/>
                <w:sz w:val="20"/>
                <w:szCs w:val="20"/>
              </w:rPr>
              <w:t>Younger person Household Types</w:t>
            </w:r>
            <w:bookmarkEnd w:id="76"/>
          </w:p>
        </w:tc>
      </w:tr>
      <w:tr w:rsidR="00CC789D" w:rsidRPr="0014104A" w14:paraId="2C167E21" w14:textId="77777777" w:rsidTr="00172F56">
        <w:trPr>
          <w:jc w:val="center"/>
        </w:trPr>
        <w:tc>
          <w:tcPr>
            <w:tcW w:w="3964" w:type="dxa"/>
          </w:tcPr>
          <w:p w14:paraId="379E0FA0" w14:textId="77777777" w:rsidR="00CC789D" w:rsidRPr="0014104A" w:rsidRDefault="00CC789D" w:rsidP="0014104A">
            <w:pPr>
              <w:keepNext/>
              <w:widowControl w:val="0"/>
              <w:spacing w:line="300" w:lineRule="auto"/>
              <w:rPr>
                <w:rFonts w:ascii="Arial" w:hAnsi="Arial" w:cs="Arial"/>
                <w:iCs/>
                <w:sz w:val="20"/>
                <w:szCs w:val="20"/>
              </w:rPr>
            </w:pPr>
            <w:r w:rsidRPr="0014104A">
              <w:rPr>
                <w:rFonts w:ascii="Arial" w:hAnsi="Arial" w:cs="Arial"/>
                <w:iCs/>
                <w:sz w:val="20"/>
                <w:szCs w:val="20"/>
              </w:rPr>
              <w:t>Household type</w:t>
            </w:r>
          </w:p>
        </w:tc>
        <w:tc>
          <w:tcPr>
            <w:tcW w:w="2117" w:type="dxa"/>
          </w:tcPr>
          <w:p w14:paraId="45CA338F" w14:textId="77777777" w:rsidR="00CC789D" w:rsidRPr="0014104A" w:rsidRDefault="00CC789D" w:rsidP="0014104A">
            <w:pPr>
              <w:keepNext/>
              <w:widowControl w:val="0"/>
              <w:spacing w:line="300" w:lineRule="auto"/>
              <w:jc w:val="center"/>
              <w:rPr>
                <w:rFonts w:ascii="Arial" w:hAnsi="Arial" w:cs="Arial"/>
                <w:iCs/>
                <w:sz w:val="20"/>
                <w:szCs w:val="20"/>
              </w:rPr>
            </w:pPr>
            <w:r w:rsidRPr="0014104A">
              <w:rPr>
                <w:rFonts w:ascii="Arial" w:hAnsi="Arial" w:cs="Arial"/>
                <w:iCs/>
                <w:sz w:val="20"/>
                <w:szCs w:val="20"/>
              </w:rPr>
              <w:t>Number of household</w:t>
            </w:r>
          </w:p>
        </w:tc>
        <w:tc>
          <w:tcPr>
            <w:tcW w:w="2118" w:type="dxa"/>
          </w:tcPr>
          <w:p w14:paraId="7928C4E5" w14:textId="77777777" w:rsidR="00CC789D" w:rsidRPr="0014104A" w:rsidRDefault="00CC789D" w:rsidP="0014104A">
            <w:pPr>
              <w:keepNext/>
              <w:widowControl w:val="0"/>
              <w:spacing w:line="300" w:lineRule="auto"/>
              <w:jc w:val="center"/>
              <w:rPr>
                <w:rFonts w:ascii="Arial" w:hAnsi="Arial" w:cs="Arial"/>
                <w:iCs/>
                <w:sz w:val="20"/>
                <w:szCs w:val="20"/>
              </w:rPr>
            </w:pPr>
            <w:r w:rsidRPr="0014104A">
              <w:rPr>
                <w:rFonts w:ascii="Arial" w:hAnsi="Arial" w:cs="Arial"/>
                <w:iCs/>
                <w:sz w:val="20"/>
                <w:szCs w:val="20"/>
              </w:rPr>
              <w:t>% of households</w:t>
            </w:r>
          </w:p>
        </w:tc>
      </w:tr>
      <w:tr w:rsidR="00694397" w:rsidRPr="0014104A" w14:paraId="092F9E83" w14:textId="77777777" w:rsidTr="00172F56">
        <w:trPr>
          <w:jc w:val="center"/>
        </w:trPr>
        <w:tc>
          <w:tcPr>
            <w:tcW w:w="3964" w:type="dxa"/>
          </w:tcPr>
          <w:p w14:paraId="75F1720E" w14:textId="77777777" w:rsidR="00694397" w:rsidRPr="00172F56" w:rsidRDefault="00694397" w:rsidP="0014104A">
            <w:pPr>
              <w:keepNext/>
              <w:keepLines/>
              <w:autoSpaceDE w:val="0"/>
              <w:autoSpaceDN w:val="0"/>
              <w:adjustRightInd w:val="0"/>
              <w:spacing w:line="300" w:lineRule="auto"/>
              <w:ind w:right="60"/>
              <w:rPr>
                <w:rFonts w:ascii="Arial" w:hAnsi="Arial" w:cs="Arial"/>
                <w:sz w:val="20"/>
                <w:szCs w:val="20"/>
              </w:rPr>
            </w:pPr>
            <w:r w:rsidRPr="0014104A">
              <w:rPr>
                <w:rFonts w:ascii="Arial" w:hAnsi="Arial" w:cs="Arial"/>
                <w:sz w:val="20"/>
                <w:szCs w:val="20"/>
              </w:rPr>
              <w:t>Single non-pensioners</w:t>
            </w:r>
          </w:p>
        </w:tc>
        <w:tc>
          <w:tcPr>
            <w:tcW w:w="2117" w:type="dxa"/>
          </w:tcPr>
          <w:p w14:paraId="4AB17A85" w14:textId="28151C14" w:rsidR="00694397" w:rsidRPr="0014104A"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1,170</w:t>
            </w:r>
          </w:p>
        </w:tc>
        <w:tc>
          <w:tcPr>
            <w:tcW w:w="2118" w:type="dxa"/>
          </w:tcPr>
          <w:p w14:paraId="15B62ED7" w14:textId="0AA716F2" w:rsidR="00694397" w:rsidRPr="00172F56"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24</w:t>
            </w:r>
            <w:r w:rsidRPr="0014104A">
              <w:rPr>
                <w:rFonts w:ascii="Arial" w:hAnsi="Arial" w:cs="Arial"/>
                <w:sz w:val="20"/>
                <w:szCs w:val="20"/>
              </w:rPr>
              <w:t>.0%</w:t>
            </w:r>
          </w:p>
        </w:tc>
      </w:tr>
      <w:tr w:rsidR="00694397" w:rsidRPr="0014104A" w14:paraId="2F97C535" w14:textId="77777777" w:rsidTr="00172F56">
        <w:trPr>
          <w:jc w:val="center"/>
        </w:trPr>
        <w:tc>
          <w:tcPr>
            <w:tcW w:w="3964" w:type="dxa"/>
          </w:tcPr>
          <w:p w14:paraId="02E0C81B" w14:textId="77777777" w:rsidR="00694397" w:rsidRPr="00172F56" w:rsidRDefault="00694397" w:rsidP="0014104A">
            <w:pPr>
              <w:keepNext/>
              <w:keepLines/>
              <w:autoSpaceDE w:val="0"/>
              <w:autoSpaceDN w:val="0"/>
              <w:adjustRightInd w:val="0"/>
              <w:spacing w:line="300" w:lineRule="auto"/>
              <w:ind w:right="60"/>
              <w:rPr>
                <w:rFonts w:ascii="Arial" w:hAnsi="Arial" w:cs="Arial"/>
                <w:sz w:val="20"/>
                <w:szCs w:val="20"/>
              </w:rPr>
            </w:pPr>
            <w:r w:rsidRPr="0014104A">
              <w:rPr>
                <w:rFonts w:ascii="Arial" w:hAnsi="Arial" w:cs="Arial"/>
                <w:sz w:val="20"/>
                <w:szCs w:val="20"/>
              </w:rPr>
              <w:t>Childless couple</w:t>
            </w:r>
          </w:p>
        </w:tc>
        <w:tc>
          <w:tcPr>
            <w:tcW w:w="2117" w:type="dxa"/>
          </w:tcPr>
          <w:p w14:paraId="04697659" w14:textId="532468FB" w:rsidR="00694397" w:rsidRPr="0014104A"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1,070</w:t>
            </w:r>
          </w:p>
        </w:tc>
        <w:tc>
          <w:tcPr>
            <w:tcW w:w="2118" w:type="dxa"/>
          </w:tcPr>
          <w:p w14:paraId="5CEDF333" w14:textId="4728032D" w:rsidR="00694397" w:rsidRPr="00172F56"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21.9</w:t>
            </w:r>
            <w:r w:rsidRPr="0014104A">
              <w:rPr>
                <w:rFonts w:ascii="Arial" w:hAnsi="Arial" w:cs="Arial"/>
                <w:sz w:val="20"/>
                <w:szCs w:val="20"/>
              </w:rPr>
              <w:t>%</w:t>
            </w:r>
          </w:p>
        </w:tc>
      </w:tr>
      <w:tr w:rsidR="00694397" w:rsidRPr="0014104A" w14:paraId="5715BAA6" w14:textId="77777777" w:rsidTr="00172F56">
        <w:trPr>
          <w:jc w:val="center"/>
        </w:trPr>
        <w:tc>
          <w:tcPr>
            <w:tcW w:w="3964" w:type="dxa"/>
          </w:tcPr>
          <w:p w14:paraId="6C755D11" w14:textId="77777777" w:rsidR="00694397" w:rsidRPr="00172F56" w:rsidRDefault="00694397" w:rsidP="0014104A">
            <w:pPr>
              <w:keepNext/>
              <w:keepLines/>
              <w:autoSpaceDE w:val="0"/>
              <w:autoSpaceDN w:val="0"/>
              <w:adjustRightInd w:val="0"/>
              <w:spacing w:line="300" w:lineRule="auto"/>
              <w:ind w:right="60"/>
              <w:rPr>
                <w:rFonts w:ascii="Arial" w:hAnsi="Arial" w:cs="Arial"/>
                <w:sz w:val="20"/>
                <w:szCs w:val="20"/>
              </w:rPr>
            </w:pPr>
            <w:r w:rsidRPr="0014104A">
              <w:rPr>
                <w:rFonts w:ascii="Arial" w:hAnsi="Arial" w:cs="Arial"/>
                <w:sz w:val="20"/>
                <w:szCs w:val="20"/>
              </w:rPr>
              <w:t>Other multi-adult</w:t>
            </w:r>
          </w:p>
        </w:tc>
        <w:tc>
          <w:tcPr>
            <w:tcW w:w="2117" w:type="dxa"/>
          </w:tcPr>
          <w:p w14:paraId="6D8034B5" w14:textId="69399A88" w:rsidR="00694397" w:rsidRPr="0014104A"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141</w:t>
            </w:r>
          </w:p>
        </w:tc>
        <w:tc>
          <w:tcPr>
            <w:tcW w:w="2118" w:type="dxa"/>
          </w:tcPr>
          <w:p w14:paraId="6A72F45E" w14:textId="650EB734" w:rsidR="00694397" w:rsidRPr="00172F56"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2.9</w:t>
            </w:r>
            <w:r w:rsidRPr="0014104A">
              <w:rPr>
                <w:rFonts w:ascii="Arial" w:hAnsi="Arial" w:cs="Arial"/>
                <w:sz w:val="20"/>
                <w:szCs w:val="20"/>
              </w:rPr>
              <w:t>%</w:t>
            </w:r>
          </w:p>
        </w:tc>
      </w:tr>
      <w:tr w:rsidR="00694397" w:rsidRPr="0014104A" w14:paraId="79D1E585" w14:textId="77777777" w:rsidTr="00172F56">
        <w:trPr>
          <w:jc w:val="center"/>
        </w:trPr>
        <w:tc>
          <w:tcPr>
            <w:tcW w:w="3964" w:type="dxa"/>
          </w:tcPr>
          <w:p w14:paraId="77A65FD9" w14:textId="77777777" w:rsidR="00694397" w:rsidRPr="00172F56" w:rsidRDefault="00694397" w:rsidP="0014104A">
            <w:pPr>
              <w:keepNext/>
              <w:keepLines/>
              <w:autoSpaceDE w:val="0"/>
              <w:autoSpaceDN w:val="0"/>
              <w:adjustRightInd w:val="0"/>
              <w:spacing w:line="300" w:lineRule="auto"/>
              <w:ind w:right="60"/>
              <w:rPr>
                <w:rFonts w:ascii="Arial" w:hAnsi="Arial" w:cs="Arial"/>
                <w:sz w:val="20"/>
                <w:szCs w:val="20"/>
              </w:rPr>
            </w:pPr>
            <w:r w:rsidRPr="0014104A">
              <w:rPr>
                <w:rFonts w:ascii="Arial" w:hAnsi="Arial" w:cs="Arial"/>
                <w:sz w:val="20"/>
                <w:szCs w:val="20"/>
              </w:rPr>
              <w:t>Lone parent</w:t>
            </w:r>
          </w:p>
        </w:tc>
        <w:tc>
          <w:tcPr>
            <w:tcW w:w="2117" w:type="dxa"/>
          </w:tcPr>
          <w:p w14:paraId="44B7F71A" w14:textId="08F14EBD" w:rsidR="00694397" w:rsidRPr="0014104A"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922</w:t>
            </w:r>
          </w:p>
        </w:tc>
        <w:tc>
          <w:tcPr>
            <w:tcW w:w="2118" w:type="dxa"/>
          </w:tcPr>
          <w:p w14:paraId="608F703E" w14:textId="00972847" w:rsidR="00694397" w:rsidRPr="00172F56"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18.9</w:t>
            </w:r>
            <w:r w:rsidRPr="0014104A">
              <w:rPr>
                <w:rFonts w:ascii="Arial" w:hAnsi="Arial" w:cs="Arial"/>
                <w:sz w:val="20"/>
                <w:szCs w:val="20"/>
              </w:rPr>
              <w:t>%</w:t>
            </w:r>
          </w:p>
        </w:tc>
      </w:tr>
      <w:tr w:rsidR="00694397" w:rsidRPr="0014104A" w14:paraId="4F5B2B03" w14:textId="77777777" w:rsidTr="00172F56">
        <w:trPr>
          <w:jc w:val="center"/>
        </w:trPr>
        <w:tc>
          <w:tcPr>
            <w:tcW w:w="3964" w:type="dxa"/>
          </w:tcPr>
          <w:p w14:paraId="045F07D8" w14:textId="77777777" w:rsidR="00694397" w:rsidRPr="00172F56" w:rsidRDefault="00694397" w:rsidP="0014104A">
            <w:pPr>
              <w:keepNext/>
              <w:keepLines/>
              <w:autoSpaceDE w:val="0"/>
              <w:autoSpaceDN w:val="0"/>
              <w:adjustRightInd w:val="0"/>
              <w:spacing w:line="300" w:lineRule="auto"/>
              <w:ind w:right="60"/>
              <w:rPr>
                <w:rFonts w:ascii="Arial" w:hAnsi="Arial" w:cs="Arial"/>
                <w:sz w:val="20"/>
                <w:szCs w:val="20"/>
              </w:rPr>
            </w:pPr>
            <w:r w:rsidRPr="0014104A">
              <w:rPr>
                <w:rFonts w:ascii="Arial" w:hAnsi="Arial" w:cs="Arial"/>
                <w:sz w:val="20"/>
                <w:szCs w:val="20"/>
              </w:rPr>
              <w:t>Two or more adults and one child</w:t>
            </w:r>
          </w:p>
        </w:tc>
        <w:tc>
          <w:tcPr>
            <w:tcW w:w="2117" w:type="dxa"/>
          </w:tcPr>
          <w:p w14:paraId="4CBCABEE" w14:textId="592CC8DB" w:rsidR="00694397" w:rsidRPr="0014104A"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888</w:t>
            </w:r>
          </w:p>
        </w:tc>
        <w:tc>
          <w:tcPr>
            <w:tcW w:w="2118" w:type="dxa"/>
          </w:tcPr>
          <w:p w14:paraId="7D1CA7B8" w14:textId="41F0CBDD" w:rsidR="00694397" w:rsidRPr="00172F56"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18.2</w:t>
            </w:r>
            <w:r w:rsidRPr="0014104A">
              <w:rPr>
                <w:rFonts w:ascii="Arial" w:hAnsi="Arial" w:cs="Arial"/>
                <w:sz w:val="20"/>
                <w:szCs w:val="20"/>
              </w:rPr>
              <w:t>%</w:t>
            </w:r>
          </w:p>
        </w:tc>
      </w:tr>
      <w:tr w:rsidR="00694397" w:rsidRPr="0014104A" w14:paraId="76FF6AF8" w14:textId="77777777" w:rsidTr="00172F56">
        <w:trPr>
          <w:jc w:val="center"/>
        </w:trPr>
        <w:tc>
          <w:tcPr>
            <w:tcW w:w="3964" w:type="dxa"/>
          </w:tcPr>
          <w:p w14:paraId="778E04F4" w14:textId="77777777" w:rsidR="00694397" w:rsidRPr="00172F56" w:rsidRDefault="00694397" w:rsidP="0014104A">
            <w:pPr>
              <w:keepNext/>
              <w:keepLines/>
              <w:autoSpaceDE w:val="0"/>
              <w:autoSpaceDN w:val="0"/>
              <w:adjustRightInd w:val="0"/>
              <w:spacing w:line="300" w:lineRule="auto"/>
              <w:ind w:right="60"/>
              <w:rPr>
                <w:rFonts w:ascii="Arial" w:hAnsi="Arial" w:cs="Arial"/>
                <w:sz w:val="20"/>
                <w:szCs w:val="20"/>
              </w:rPr>
            </w:pPr>
            <w:r w:rsidRPr="0014104A">
              <w:rPr>
                <w:rFonts w:ascii="Arial" w:hAnsi="Arial" w:cs="Arial"/>
                <w:sz w:val="20"/>
                <w:szCs w:val="20"/>
              </w:rPr>
              <w:t>Two or more adults and two or more child</w:t>
            </w:r>
          </w:p>
        </w:tc>
        <w:tc>
          <w:tcPr>
            <w:tcW w:w="2117" w:type="dxa"/>
          </w:tcPr>
          <w:p w14:paraId="1E60EFF1" w14:textId="0F59FED3" w:rsidR="00694397" w:rsidRPr="0014104A"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693</w:t>
            </w:r>
          </w:p>
        </w:tc>
        <w:tc>
          <w:tcPr>
            <w:tcW w:w="2118" w:type="dxa"/>
          </w:tcPr>
          <w:p w14:paraId="07E1A83A" w14:textId="4DC9AD3C" w:rsidR="00694397" w:rsidRPr="00172F56"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14.2</w:t>
            </w:r>
            <w:r w:rsidRPr="0014104A">
              <w:rPr>
                <w:rFonts w:ascii="Arial" w:hAnsi="Arial" w:cs="Arial"/>
                <w:sz w:val="20"/>
                <w:szCs w:val="20"/>
              </w:rPr>
              <w:t>%</w:t>
            </w:r>
          </w:p>
        </w:tc>
      </w:tr>
      <w:tr w:rsidR="00694397" w:rsidRPr="0014104A" w14:paraId="661D0022" w14:textId="77777777" w:rsidTr="00172F56">
        <w:trPr>
          <w:jc w:val="center"/>
        </w:trPr>
        <w:tc>
          <w:tcPr>
            <w:tcW w:w="3964" w:type="dxa"/>
          </w:tcPr>
          <w:p w14:paraId="3FB7AB3F" w14:textId="77777777" w:rsidR="00694397" w:rsidRPr="00172F56" w:rsidRDefault="00694397" w:rsidP="0014104A">
            <w:pPr>
              <w:keepNext/>
              <w:widowControl w:val="0"/>
              <w:spacing w:line="300" w:lineRule="auto"/>
              <w:rPr>
                <w:rFonts w:ascii="Arial" w:hAnsi="Arial" w:cs="Arial"/>
                <w:iCs/>
                <w:sz w:val="20"/>
                <w:szCs w:val="20"/>
              </w:rPr>
            </w:pPr>
            <w:r w:rsidRPr="0014104A">
              <w:rPr>
                <w:rFonts w:ascii="Arial" w:hAnsi="Arial" w:cs="Arial"/>
                <w:iCs/>
                <w:sz w:val="20"/>
                <w:szCs w:val="20"/>
              </w:rPr>
              <w:t>Total</w:t>
            </w:r>
          </w:p>
        </w:tc>
        <w:tc>
          <w:tcPr>
            <w:tcW w:w="2117" w:type="dxa"/>
          </w:tcPr>
          <w:p w14:paraId="0431732C" w14:textId="5529ECED" w:rsidR="00694397" w:rsidRPr="00172F56"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4,885</w:t>
            </w:r>
          </w:p>
        </w:tc>
        <w:tc>
          <w:tcPr>
            <w:tcW w:w="2118" w:type="dxa"/>
          </w:tcPr>
          <w:p w14:paraId="781C05F2" w14:textId="23C61D7F" w:rsidR="00694397" w:rsidRPr="00172F56" w:rsidRDefault="00694397" w:rsidP="0014104A">
            <w:pPr>
              <w:keepNext/>
              <w:spacing w:line="300" w:lineRule="auto"/>
              <w:jc w:val="center"/>
              <w:rPr>
                <w:rFonts w:ascii="Arial" w:hAnsi="Arial" w:cs="Arial"/>
                <w:sz w:val="20"/>
                <w:szCs w:val="20"/>
              </w:rPr>
            </w:pPr>
            <w:r w:rsidRPr="0014104A">
              <w:rPr>
                <w:rFonts w:ascii="Arial" w:hAnsi="Arial" w:cs="Arial"/>
                <w:color w:val="000000"/>
                <w:sz w:val="20"/>
                <w:szCs w:val="20"/>
              </w:rPr>
              <w:t>100</w:t>
            </w:r>
            <w:r w:rsidRPr="0014104A">
              <w:rPr>
                <w:rFonts w:ascii="Arial" w:hAnsi="Arial" w:cs="Arial"/>
                <w:sz w:val="20"/>
                <w:szCs w:val="20"/>
              </w:rPr>
              <w:t>.0%</w:t>
            </w:r>
          </w:p>
        </w:tc>
      </w:tr>
    </w:tbl>
    <w:p w14:paraId="65756F01" w14:textId="57B40C47" w:rsidR="00694397" w:rsidRDefault="00AB789F" w:rsidP="00172F56">
      <w:pPr>
        <w:pStyle w:val="Reporttext0"/>
        <w:keepLines w:val="0"/>
        <w:widowControl w:val="0"/>
        <w:numPr>
          <w:ilvl w:val="0"/>
          <w:numId w:val="0"/>
        </w:numPr>
        <w:spacing w:line="300" w:lineRule="auto"/>
        <w:ind w:left="720" w:hanging="720"/>
        <w:jc w:val="center"/>
        <w:rPr>
          <w:rFonts w:ascii="Arial" w:hAnsi="Arial" w:cs="Arial"/>
          <w:iCs/>
          <w:sz w:val="20"/>
        </w:rPr>
      </w:pPr>
      <w:r>
        <w:rPr>
          <w:rFonts w:ascii="Arial" w:hAnsi="Arial" w:cs="Arial"/>
          <w:iCs/>
          <w:sz w:val="20"/>
        </w:rPr>
        <w:t>Source: Household survey</w:t>
      </w:r>
    </w:p>
    <w:p w14:paraId="46F9B2A3" w14:textId="575D2F3A" w:rsidR="00694397" w:rsidRDefault="00694397" w:rsidP="0033047F">
      <w:pPr>
        <w:pStyle w:val="11Bodytext"/>
        <w:numPr>
          <w:ilvl w:val="0"/>
          <w:numId w:val="0"/>
        </w:numPr>
        <w:spacing w:before="0" w:after="0" w:line="300" w:lineRule="auto"/>
        <w:ind w:left="794" w:hanging="794"/>
      </w:pPr>
    </w:p>
    <w:p w14:paraId="2CE9AD1F" w14:textId="34273979" w:rsidR="00734EBE" w:rsidRDefault="00734EBE" w:rsidP="0033047F">
      <w:pPr>
        <w:pStyle w:val="11Bodytext"/>
        <w:numPr>
          <w:ilvl w:val="0"/>
          <w:numId w:val="0"/>
        </w:numPr>
        <w:spacing w:before="0" w:after="0" w:line="300" w:lineRule="auto"/>
        <w:ind w:left="794" w:hanging="794"/>
      </w:pPr>
    </w:p>
    <w:p w14:paraId="5FD4B524" w14:textId="42FD1EFF" w:rsidR="00734EBE" w:rsidRDefault="00734EBE" w:rsidP="0033047F">
      <w:pPr>
        <w:pStyle w:val="11Bodytext"/>
        <w:numPr>
          <w:ilvl w:val="0"/>
          <w:numId w:val="0"/>
        </w:numPr>
        <w:spacing w:before="0" w:after="0" w:line="300" w:lineRule="auto"/>
        <w:ind w:left="794" w:hanging="794"/>
      </w:pPr>
    </w:p>
    <w:p w14:paraId="039AE9D1" w14:textId="68A09646" w:rsidR="00734EBE" w:rsidRDefault="00734EBE" w:rsidP="0033047F">
      <w:pPr>
        <w:pStyle w:val="11Bodytext"/>
        <w:numPr>
          <w:ilvl w:val="0"/>
          <w:numId w:val="0"/>
        </w:numPr>
        <w:spacing w:before="0" w:after="0" w:line="300" w:lineRule="auto"/>
        <w:ind w:left="794" w:hanging="794"/>
      </w:pPr>
    </w:p>
    <w:p w14:paraId="73B1F915" w14:textId="7A173FDD" w:rsidR="00734EBE" w:rsidRDefault="00734EBE" w:rsidP="0033047F">
      <w:pPr>
        <w:pStyle w:val="11Bodytext"/>
        <w:numPr>
          <w:ilvl w:val="0"/>
          <w:numId w:val="0"/>
        </w:numPr>
        <w:spacing w:before="0" w:after="0" w:line="300" w:lineRule="auto"/>
        <w:ind w:left="794" w:hanging="794"/>
      </w:pPr>
    </w:p>
    <w:p w14:paraId="68F9ECBB" w14:textId="77777777" w:rsidR="00734EBE" w:rsidRDefault="00734EBE" w:rsidP="0033047F">
      <w:pPr>
        <w:pStyle w:val="11Bodytext"/>
        <w:numPr>
          <w:ilvl w:val="0"/>
          <w:numId w:val="0"/>
        </w:numPr>
        <w:spacing w:before="0" w:after="0" w:line="300" w:lineRule="auto"/>
        <w:ind w:left="794" w:hanging="794"/>
      </w:pPr>
    </w:p>
    <w:p w14:paraId="35A255EA" w14:textId="50B9535E" w:rsidR="00CC789D" w:rsidRPr="00694397" w:rsidRDefault="00CC789D">
      <w:pPr>
        <w:pStyle w:val="11Bodytext"/>
        <w:numPr>
          <w:ilvl w:val="1"/>
          <w:numId w:val="65"/>
        </w:numPr>
        <w:spacing w:before="0" w:after="0" w:line="300" w:lineRule="auto"/>
        <w:ind w:left="720" w:hanging="720"/>
        <w:rPr>
          <w:color w:val="auto"/>
        </w:rPr>
      </w:pPr>
      <w:r w:rsidRPr="00E12B61">
        <w:t>It is possible to briefly examine the housing circumstances of the different groups of younger person households and in the analysis that follows we have split the group into four main categories, these are:</w:t>
      </w:r>
    </w:p>
    <w:p w14:paraId="70C02E23" w14:textId="77777777" w:rsidR="00694397" w:rsidRPr="00694397" w:rsidRDefault="00694397" w:rsidP="00172F56">
      <w:pPr>
        <w:pStyle w:val="11Bodytext"/>
        <w:numPr>
          <w:ilvl w:val="0"/>
          <w:numId w:val="0"/>
        </w:numPr>
        <w:spacing w:before="0" w:after="0" w:line="300" w:lineRule="auto"/>
        <w:rPr>
          <w:color w:val="auto"/>
        </w:rPr>
      </w:pPr>
    </w:p>
    <w:p w14:paraId="2FC6C64E" w14:textId="7F0060A0" w:rsidR="00CC789D" w:rsidRPr="00E12B61" w:rsidRDefault="00CC789D">
      <w:pPr>
        <w:pStyle w:val="Bulletblueplain"/>
        <w:numPr>
          <w:ilvl w:val="0"/>
          <w:numId w:val="70"/>
        </w:numPr>
        <w:spacing w:before="0" w:after="0" w:line="300" w:lineRule="auto"/>
        <w:rPr>
          <w:szCs w:val="20"/>
        </w:rPr>
      </w:pPr>
      <w:r w:rsidRPr="00E12B61">
        <w:rPr>
          <w:szCs w:val="20"/>
        </w:rPr>
        <w:t>Single person households</w:t>
      </w:r>
      <w:r w:rsidR="00E50CF5">
        <w:rPr>
          <w:szCs w:val="20"/>
        </w:rPr>
        <w:t>;</w:t>
      </w:r>
    </w:p>
    <w:p w14:paraId="77B26A89" w14:textId="1742E04D" w:rsidR="00CC789D" w:rsidRPr="00E12B61" w:rsidRDefault="00CC789D">
      <w:pPr>
        <w:pStyle w:val="Bulletblueplain"/>
        <w:numPr>
          <w:ilvl w:val="0"/>
          <w:numId w:val="70"/>
        </w:numPr>
        <w:spacing w:before="0" w:after="0" w:line="300" w:lineRule="auto"/>
        <w:rPr>
          <w:szCs w:val="20"/>
        </w:rPr>
      </w:pPr>
      <w:r w:rsidRPr="00E12B61">
        <w:rPr>
          <w:szCs w:val="20"/>
        </w:rPr>
        <w:t>Multiple adult households (including childless couples)</w:t>
      </w:r>
      <w:r w:rsidR="00E50CF5">
        <w:rPr>
          <w:szCs w:val="20"/>
        </w:rPr>
        <w:t>;</w:t>
      </w:r>
    </w:p>
    <w:p w14:paraId="12ADFF8F" w14:textId="696097B7" w:rsidR="00CC789D" w:rsidRPr="00E12B61" w:rsidRDefault="00CC789D">
      <w:pPr>
        <w:pStyle w:val="Bulletblueplain"/>
        <w:numPr>
          <w:ilvl w:val="0"/>
          <w:numId w:val="70"/>
        </w:numPr>
        <w:spacing w:before="0" w:after="0" w:line="300" w:lineRule="auto"/>
        <w:rPr>
          <w:szCs w:val="20"/>
        </w:rPr>
      </w:pPr>
      <w:r w:rsidRPr="00E12B61">
        <w:rPr>
          <w:szCs w:val="20"/>
        </w:rPr>
        <w:t>Lone parents</w:t>
      </w:r>
      <w:r w:rsidR="00E50CF5">
        <w:rPr>
          <w:szCs w:val="20"/>
        </w:rPr>
        <w:t>; and</w:t>
      </w:r>
    </w:p>
    <w:p w14:paraId="267C1EA1" w14:textId="6C625033" w:rsidR="00694397" w:rsidRDefault="00CC789D">
      <w:pPr>
        <w:pStyle w:val="Bulletblueplain"/>
        <w:numPr>
          <w:ilvl w:val="0"/>
          <w:numId w:val="70"/>
        </w:numPr>
        <w:spacing w:before="0" w:after="0" w:line="300" w:lineRule="auto"/>
        <w:rPr>
          <w:szCs w:val="20"/>
        </w:rPr>
      </w:pPr>
      <w:r w:rsidRPr="00E12B61">
        <w:rPr>
          <w:szCs w:val="20"/>
        </w:rPr>
        <w:t>Households with two or more adults and children</w:t>
      </w:r>
      <w:r w:rsidR="00E50CF5">
        <w:rPr>
          <w:szCs w:val="20"/>
        </w:rPr>
        <w:t>.</w:t>
      </w:r>
    </w:p>
    <w:p w14:paraId="6D466C21" w14:textId="3DA54AFE" w:rsidR="00694397" w:rsidRDefault="00694397" w:rsidP="0033047F">
      <w:pPr>
        <w:pStyle w:val="Bulletblueplain"/>
        <w:numPr>
          <w:ilvl w:val="0"/>
          <w:numId w:val="0"/>
        </w:numPr>
        <w:spacing w:before="0" w:after="0" w:line="300" w:lineRule="auto"/>
        <w:rPr>
          <w:szCs w:val="20"/>
        </w:rPr>
      </w:pPr>
    </w:p>
    <w:p w14:paraId="6B62B793" w14:textId="5F23D58B" w:rsidR="00CC789D" w:rsidRPr="00624CC0" w:rsidRDefault="00CC789D">
      <w:pPr>
        <w:pStyle w:val="11Bodytext"/>
        <w:numPr>
          <w:ilvl w:val="1"/>
          <w:numId w:val="65"/>
        </w:numPr>
        <w:spacing w:before="0" w:after="0" w:line="300" w:lineRule="auto"/>
        <w:ind w:left="720" w:hanging="720"/>
        <w:rPr>
          <w:color w:val="auto"/>
        </w:rPr>
      </w:pPr>
      <w:r w:rsidRPr="00E12B61">
        <w:t>T</w:t>
      </w:r>
      <w:r w:rsidR="00624CC0">
        <w:t>he t</w:t>
      </w:r>
      <w:r w:rsidRPr="00E12B61">
        <w:t xml:space="preserve">able </w:t>
      </w:r>
      <w:r w:rsidR="00624CC0">
        <w:t>below</w:t>
      </w:r>
      <w:r w:rsidRPr="00E12B61">
        <w:t xml:space="preserve"> presents the level of overcrowding and under-occupation for younger person households. The table indicates that the levels of overcrowding for households with children are relatively high</w:t>
      </w:r>
      <w:r w:rsidR="00624CC0">
        <w:t xml:space="preserve">, particularly for lone parent </w:t>
      </w:r>
      <w:r w:rsidR="00432414">
        <w:t>households</w:t>
      </w:r>
      <w:r w:rsidR="00624CC0">
        <w:t xml:space="preserve">. There is some degree of </w:t>
      </w:r>
      <w:r w:rsidRPr="00E12B61">
        <w:t>under-occupation amongst younger person households</w:t>
      </w:r>
      <w:r w:rsidR="00624CC0">
        <w:t>, particularly non-single person</w:t>
      </w:r>
      <w:r w:rsidRPr="00E12B61">
        <w:t xml:space="preserve"> households with</w:t>
      </w:r>
      <w:r w:rsidR="00624CC0">
        <w:t>out</w:t>
      </w:r>
      <w:r w:rsidRPr="00E12B61">
        <w:t xml:space="preserve"> children.</w:t>
      </w:r>
    </w:p>
    <w:p w14:paraId="45296947" w14:textId="24B72D13" w:rsidR="00CC789D" w:rsidRPr="00624CC0" w:rsidRDefault="00CC789D" w:rsidP="00172F56">
      <w:pPr>
        <w:spacing w:line="300" w:lineRule="auto"/>
        <w:jc w:val="both"/>
        <w:rPr>
          <w:rFonts w:ascii="Arial" w:hAnsi="Arial" w:cs="Arial"/>
          <w:bCs/>
          <w:sz w:val="20"/>
          <w:szCs w:val="20"/>
        </w:rPr>
      </w:pPr>
    </w:p>
    <w:tbl>
      <w:tblPr>
        <w:tblStyle w:val="TableTheme"/>
        <w:tblW w:w="9639" w:type="dxa"/>
        <w:jc w:val="center"/>
        <w:tblLayout w:type="fixed"/>
        <w:tblLook w:val="0000" w:firstRow="0" w:lastRow="0" w:firstColumn="0" w:lastColumn="0" w:noHBand="0" w:noVBand="0"/>
      </w:tblPr>
      <w:tblGrid>
        <w:gridCol w:w="3781"/>
        <w:gridCol w:w="1171"/>
        <w:gridCol w:w="1172"/>
        <w:gridCol w:w="1171"/>
        <w:gridCol w:w="1172"/>
        <w:gridCol w:w="1172"/>
      </w:tblGrid>
      <w:tr w:rsidR="00624CC0" w:rsidRPr="00624CC0" w14:paraId="47917C9B" w14:textId="77777777" w:rsidTr="008469E3">
        <w:trPr>
          <w:jc w:val="center"/>
        </w:trPr>
        <w:tc>
          <w:tcPr>
            <w:tcW w:w="9639" w:type="dxa"/>
            <w:gridSpan w:val="6"/>
          </w:tcPr>
          <w:p w14:paraId="575734CD" w14:textId="79AF0969" w:rsidR="00624CC0" w:rsidRPr="00624CC0" w:rsidRDefault="00624CC0" w:rsidP="0014104A">
            <w:pPr>
              <w:keepNext/>
              <w:widowControl w:val="0"/>
              <w:spacing w:before="60" w:after="60" w:line="300" w:lineRule="auto"/>
              <w:jc w:val="center"/>
              <w:rPr>
                <w:rFonts w:ascii="Arial" w:hAnsi="Arial" w:cs="Arial"/>
                <w:b/>
                <w:iCs/>
                <w:spacing w:val="-6"/>
                <w:sz w:val="20"/>
                <w:szCs w:val="20"/>
              </w:rPr>
            </w:pPr>
            <w:r w:rsidRPr="00624CC0">
              <w:rPr>
                <w:rFonts w:ascii="Arial" w:hAnsi="Arial" w:cs="Arial"/>
                <w:b/>
                <w:iCs/>
                <w:spacing w:val="-6"/>
                <w:sz w:val="20"/>
                <w:szCs w:val="20"/>
              </w:rPr>
              <w:t>Figure 6.</w:t>
            </w:r>
            <w:r w:rsidR="00AD29A6">
              <w:rPr>
                <w:rFonts w:ascii="Arial" w:hAnsi="Arial" w:cs="Arial"/>
                <w:b/>
                <w:iCs/>
                <w:spacing w:val="-6"/>
                <w:sz w:val="20"/>
                <w:szCs w:val="20"/>
              </w:rPr>
              <w:t>22</w:t>
            </w:r>
            <w:r w:rsidRPr="00624CC0">
              <w:rPr>
                <w:rFonts w:ascii="Arial" w:hAnsi="Arial" w:cs="Arial"/>
                <w:b/>
                <w:iCs/>
                <w:spacing w:val="-6"/>
                <w:sz w:val="20"/>
                <w:szCs w:val="20"/>
              </w:rPr>
              <w:t xml:space="preserve">: </w:t>
            </w:r>
            <w:bookmarkStart w:id="77" w:name="_Toc372039110"/>
            <w:r w:rsidRPr="00624CC0">
              <w:rPr>
                <w:rFonts w:ascii="Arial" w:hAnsi="Arial" w:cs="Arial"/>
                <w:b/>
                <w:sz w:val="20"/>
                <w:szCs w:val="20"/>
              </w:rPr>
              <w:t>Overcrowded and Under-Occupying Younger Households</w:t>
            </w:r>
            <w:bookmarkEnd w:id="77"/>
          </w:p>
        </w:tc>
      </w:tr>
      <w:tr w:rsidR="00CC789D" w:rsidRPr="00E12B61" w14:paraId="40A3F529" w14:textId="77777777" w:rsidTr="00624CC0">
        <w:trPr>
          <w:jc w:val="center"/>
        </w:trPr>
        <w:tc>
          <w:tcPr>
            <w:tcW w:w="3781" w:type="dxa"/>
          </w:tcPr>
          <w:p w14:paraId="28889867" w14:textId="77777777" w:rsidR="00CC789D" w:rsidRPr="00624CC0" w:rsidRDefault="00CC789D" w:rsidP="0014104A">
            <w:pPr>
              <w:keepNext/>
              <w:widowControl w:val="0"/>
              <w:spacing w:line="300" w:lineRule="auto"/>
              <w:rPr>
                <w:rFonts w:ascii="Arial" w:hAnsi="Arial" w:cs="Arial"/>
                <w:bCs/>
                <w:iCs/>
                <w:sz w:val="20"/>
                <w:szCs w:val="20"/>
              </w:rPr>
            </w:pPr>
            <w:r w:rsidRPr="00624CC0">
              <w:rPr>
                <w:rFonts w:ascii="Arial" w:hAnsi="Arial" w:cs="Arial"/>
                <w:bCs/>
                <w:iCs/>
                <w:sz w:val="20"/>
                <w:szCs w:val="20"/>
              </w:rPr>
              <w:t>Overcrowded/under-occupied</w:t>
            </w:r>
          </w:p>
        </w:tc>
        <w:tc>
          <w:tcPr>
            <w:tcW w:w="1171" w:type="dxa"/>
          </w:tcPr>
          <w:p w14:paraId="1B4B65FC" w14:textId="77777777" w:rsidR="00CC789D" w:rsidRPr="00624CC0" w:rsidRDefault="00CC789D" w:rsidP="0014104A">
            <w:pPr>
              <w:keepNext/>
              <w:widowControl w:val="0"/>
              <w:spacing w:line="300" w:lineRule="auto"/>
              <w:jc w:val="center"/>
              <w:rPr>
                <w:rFonts w:ascii="Arial" w:hAnsi="Arial" w:cs="Arial"/>
                <w:bCs/>
                <w:iCs/>
                <w:sz w:val="20"/>
                <w:szCs w:val="20"/>
              </w:rPr>
            </w:pPr>
            <w:r w:rsidRPr="00624CC0">
              <w:rPr>
                <w:rFonts w:ascii="Arial" w:hAnsi="Arial" w:cs="Arial"/>
                <w:bCs/>
                <w:iCs/>
                <w:sz w:val="20"/>
                <w:szCs w:val="20"/>
              </w:rPr>
              <w:t>Single person</w:t>
            </w:r>
          </w:p>
        </w:tc>
        <w:tc>
          <w:tcPr>
            <w:tcW w:w="1172" w:type="dxa"/>
          </w:tcPr>
          <w:p w14:paraId="369441B9" w14:textId="77777777" w:rsidR="00CC789D" w:rsidRPr="00624CC0" w:rsidRDefault="00CC789D" w:rsidP="0014104A">
            <w:pPr>
              <w:keepNext/>
              <w:widowControl w:val="0"/>
              <w:spacing w:line="300" w:lineRule="auto"/>
              <w:jc w:val="center"/>
              <w:rPr>
                <w:rFonts w:ascii="Arial" w:hAnsi="Arial" w:cs="Arial"/>
                <w:bCs/>
                <w:iCs/>
                <w:sz w:val="20"/>
                <w:szCs w:val="20"/>
              </w:rPr>
            </w:pPr>
            <w:r w:rsidRPr="00624CC0">
              <w:rPr>
                <w:rFonts w:ascii="Arial" w:hAnsi="Arial" w:cs="Arial"/>
                <w:bCs/>
                <w:iCs/>
                <w:sz w:val="20"/>
                <w:szCs w:val="20"/>
              </w:rPr>
              <w:t>Multi-adult</w:t>
            </w:r>
          </w:p>
        </w:tc>
        <w:tc>
          <w:tcPr>
            <w:tcW w:w="1171" w:type="dxa"/>
          </w:tcPr>
          <w:p w14:paraId="70AA337D" w14:textId="77777777" w:rsidR="00CC789D" w:rsidRPr="00624CC0" w:rsidRDefault="00CC789D" w:rsidP="0014104A">
            <w:pPr>
              <w:keepNext/>
              <w:widowControl w:val="0"/>
              <w:spacing w:line="300" w:lineRule="auto"/>
              <w:jc w:val="center"/>
              <w:rPr>
                <w:rFonts w:ascii="Arial" w:hAnsi="Arial" w:cs="Arial"/>
                <w:bCs/>
                <w:iCs/>
                <w:sz w:val="20"/>
                <w:szCs w:val="20"/>
              </w:rPr>
            </w:pPr>
            <w:r w:rsidRPr="00624CC0">
              <w:rPr>
                <w:rFonts w:ascii="Arial" w:hAnsi="Arial" w:cs="Arial"/>
                <w:bCs/>
                <w:iCs/>
                <w:sz w:val="20"/>
                <w:szCs w:val="20"/>
              </w:rPr>
              <w:t>Lone parents</w:t>
            </w:r>
          </w:p>
        </w:tc>
        <w:tc>
          <w:tcPr>
            <w:tcW w:w="1172" w:type="dxa"/>
          </w:tcPr>
          <w:p w14:paraId="4C864815" w14:textId="77777777" w:rsidR="00CC789D" w:rsidRPr="00624CC0" w:rsidRDefault="00CC789D" w:rsidP="0014104A">
            <w:pPr>
              <w:keepNext/>
              <w:widowControl w:val="0"/>
              <w:spacing w:line="300" w:lineRule="auto"/>
              <w:jc w:val="center"/>
              <w:rPr>
                <w:rFonts w:ascii="Arial" w:hAnsi="Arial" w:cs="Arial"/>
                <w:bCs/>
                <w:iCs/>
                <w:sz w:val="20"/>
                <w:szCs w:val="20"/>
              </w:rPr>
            </w:pPr>
            <w:r w:rsidRPr="00624CC0">
              <w:rPr>
                <w:rFonts w:ascii="Arial" w:hAnsi="Arial" w:cs="Arial"/>
                <w:bCs/>
                <w:iCs/>
                <w:sz w:val="20"/>
                <w:szCs w:val="20"/>
              </w:rPr>
              <w:t xml:space="preserve">2+ adults </w:t>
            </w:r>
            <w:r w:rsidRPr="00624CC0">
              <w:rPr>
                <w:rFonts w:ascii="Arial" w:hAnsi="Arial" w:cs="Arial"/>
                <w:bCs/>
                <w:iCs/>
                <w:spacing w:val="-2"/>
                <w:sz w:val="20"/>
                <w:szCs w:val="20"/>
              </w:rPr>
              <w:t>&amp; children</w:t>
            </w:r>
          </w:p>
        </w:tc>
        <w:tc>
          <w:tcPr>
            <w:tcW w:w="1172" w:type="dxa"/>
          </w:tcPr>
          <w:p w14:paraId="56882944" w14:textId="77777777" w:rsidR="00CC789D" w:rsidRPr="00624CC0" w:rsidRDefault="00CC789D" w:rsidP="0014104A">
            <w:pPr>
              <w:keepNext/>
              <w:widowControl w:val="0"/>
              <w:spacing w:line="300" w:lineRule="auto"/>
              <w:jc w:val="center"/>
              <w:rPr>
                <w:rFonts w:ascii="Arial" w:hAnsi="Arial" w:cs="Arial"/>
                <w:bCs/>
                <w:iCs/>
                <w:spacing w:val="-6"/>
                <w:sz w:val="20"/>
                <w:szCs w:val="20"/>
              </w:rPr>
            </w:pPr>
            <w:r w:rsidRPr="00624CC0">
              <w:rPr>
                <w:rFonts w:ascii="Arial" w:hAnsi="Arial" w:cs="Arial"/>
                <w:bCs/>
                <w:iCs/>
                <w:spacing w:val="-6"/>
                <w:sz w:val="20"/>
                <w:szCs w:val="20"/>
              </w:rPr>
              <w:t xml:space="preserve">All younger </w:t>
            </w:r>
            <w:r w:rsidRPr="00624CC0">
              <w:rPr>
                <w:rFonts w:ascii="Arial" w:hAnsi="Arial" w:cs="Arial"/>
                <w:bCs/>
                <w:iCs/>
                <w:spacing w:val="-8"/>
                <w:sz w:val="20"/>
                <w:szCs w:val="20"/>
              </w:rPr>
              <w:t>households</w:t>
            </w:r>
          </w:p>
        </w:tc>
      </w:tr>
      <w:tr w:rsidR="00624CC0" w:rsidRPr="00E12B61" w14:paraId="4466620A" w14:textId="77777777" w:rsidTr="00624CC0">
        <w:trPr>
          <w:jc w:val="center"/>
        </w:trPr>
        <w:tc>
          <w:tcPr>
            <w:tcW w:w="3781" w:type="dxa"/>
          </w:tcPr>
          <w:p w14:paraId="6D010F77" w14:textId="77777777" w:rsidR="00624CC0" w:rsidRPr="00624CC0" w:rsidRDefault="00624CC0" w:rsidP="0014104A">
            <w:pPr>
              <w:keepNext/>
              <w:widowControl w:val="0"/>
              <w:spacing w:line="300" w:lineRule="auto"/>
              <w:rPr>
                <w:rFonts w:ascii="Arial" w:hAnsi="Arial" w:cs="Arial"/>
                <w:bCs/>
                <w:iCs/>
                <w:sz w:val="20"/>
                <w:szCs w:val="20"/>
              </w:rPr>
            </w:pPr>
            <w:r w:rsidRPr="00624CC0">
              <w:rPr>
                <w:rFonts w:ascii="Arial" w:hAnsi="Arial" w:cs="Arial"/>
                <w:bCs/>
                <w:iCs/>
                <w:sz w:val="20"/>
                <w:szCs w:val="20"/>
              </w:rPr>
              <w:t>Overcrowded</w:t>
            </w:r>
          </w:p>
        </w:tc>
        <w:tc>
          <w:tcPr>
            <w:tcW w:w="1171" w:type="dxa"/>
          </w:tcPr>
          <w:p w14:paraId="5CBB45CF" w14:textId="6A855BFF"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0.0%</w:t>
            </w:r>
          </w:p>
        </w:tc>
        <w:tc>
          <w:tcPr>
            <w:tcW w:w="1172" w:type="dxa"/>
          </w:tcPr>
          <w:p w14:paraId="17720086" w14:textId="0DCF92E8"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0.0%</w:t>
            </w:r>
          </w:p>
        </w:tc>
        <w:tc>
          <w:tcPr>
            <w:tcW w:w="1171" w:type="dxa"/>
          </w:tcPr>
          <w:p w14:paraId="0B8AE4DB" w14:textId="0F5698CD"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13.3%</w:t>
            </w:r>
          </w:p>
        </w:tc>
        <w:tc>
          <w:tcPr>
            <w:tcW w:w="1172" w:type="dxa"/>
          </w:tcPr>
          <w:p w14:paraId="6A7A66AB" w14:textId="4FCBD365"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3.5%</w:t>
            </w:r>
          </w:p>
        </w:tc>
        <w:tc>
          <w:tcPr>
            <w:tcW w:w="1172" w:type="dxa"/>
          </w:tcPr>
          <w:p w14:paraId="74C1A867" w14:textId="293BB8D3"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3.6%</w:t>
            </w:r>
          </w:p>
        </w:tc>
      </w:tr>
      <w:tr w:rsidR="00624CC0" w:rsidRPr="00E12B61" w14:paraId="56C9DEB6" w14:textId="77777777" w:rsidTr="00624CC0">
        <w:trPr>
          <w:jc w:val="center"/>
        </w:trPr>
        <w:tc>
          <w:tcPr>
            <w:tcW w:w="3781" w:type="dxa"/>
          </w:tcPr>
          <w:p w14:paraId="26CC05C2" w14:textId="77777777" w:rsidR="00624CC0" w:rsidRPr="00624CC0" w:rsidRDefault="00624CC0" w:rsidP="0014104A">
            <w:pPr>
              <w:keepNext/>
              <w:widowControl w:val="0"/>
              <w:autoSpaceDE w:val="0"/>
              <w:autoSpaceDN w:val="0"/>
              <w:adjustRightInd w:val="0"/>
              <w:spacing w:line="300" w:lineRule="auto"/>
              <w:rPr>
                <w:rFonts w:ascii="Arial" w:hAnsi="Arial" w:cs="Arial"/>
                <w:bCs/>
                <w:iCs/>
                <w:spacing w:val="-2"/>
                <w:sz w:val="20"/>
                <w:szCs w:val="20"/>
              </w:rPr>
            </w:pPr>
            <w:r w:rsidRPr="00624CC0">
              <w:rPr>
                <w:rFonts w:ascii="Arial" w:hAnsi="Arial" w:cs="Arial"/>
                <w:bCs/>
                <w:iCs/>
                <w:spacing w:val="-2"/>
                <w:sz w:val="20"/>
                <w:szCs w:val="20"/>
              </w:rPr>
              <w:t>Neither overcrowded nor under-occupied</w:t>
            </w:r>
          </w:p>
        </w:tc>
        <w:tc>
          <w:tcPr>
            <w:tcW w:w="1171" w:type="dxa"/>
          </w:tcPr>
          <w:p w14:paraId="7C059B12" w14:textId="4E6BF624"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75.4%</w:t>
            </w:r>
          </w:p>
        </w:tc>
        <w:tc>
          <w:tcPr>
            <w:tcW w:w="1172" w:type="dxa"/>
          </w:tcPr>
          <w:p w14:paraId="7E1AF932" w14:textId="77FC2E51"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35.7%</w:t>
            </w:r>
          </w:p>
        </w:tc>
        <w:tc>
          <w:tcPr>
            <w:tcW w:w="1171" w:type="dxa"/>
          </w:tcPr>
          <w:p w14:paraId="6BD6F683" w14:textId="5FFF2ECF"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79.9%</w:t>
            </w:r>
          </w:p>
        </w:tc>
        <w:tc>
          <w:tcPr>
            <w:tcW w:w="1172" w:type="dxa"/>
          </w:tcPr>
          <w:p w14:paraId="30BBE977" w14:textId="13A5CF98"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68.5%</w:t>
            </w:r>
          </w:p>
        </w:tc>
        <w:tc>
          <w:tcPr>
            <w:tcW w:w="1172" w:type="dxa"/>
          </w:tcPr>
          <w:p w14:paraId="33F84708" w14:textId="019F890F"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64.2%</w:t>
            </w:r>
          </w:p>
        </w:tc>
      </w:tr>
      <w:tr w:rsidR="00624CC0" w:rsidRPr="00E12B61" w14:paraId="7D44A2EB" w14:textId="77777777" w:rsidTr="00624CC0">
        <w:trPr>
          <w:jc w:val="center"/>
        </w:trPr>
        <w:tc>
          <w:tcPr>
            <w:tcW w:w="3781" w:type="dxa"/>
          </w:tcPr>
          <w:p w14:paraId="1971E009" w14:textId="77777777" w:rsidR="00624CC0" w:rsidRPr="00624CC0" w:rsidRDefault="00624CC0" w:rsidP="0014104A">
            <w:pPr>
              <w:keepNext/>
              <w:widowControl w:val="0"/>
              <w:spacing w:line="300" w:lineRule="auto"/>
              <w:rPr>
                <w:rFonts w:ascii="Arial" w:hAnsi="Arial" w:cs="Arial"/>
                <w:bCs/>
                <w:iCs/>
                <w:sz w:val="20"/>
                <w:szCs w:val="20"/>
              </w:rPr>
            </w:pPr>
            <w:r w:rsidRPr="00624CC0">
              <w:rPr>
                <w:rFonts w:ascii="Arial" w:hAnsi="Arial" w:cs="Arial"/>
                <w:bCs/>
                <w:iCs/>
                <w:sz w:val="20"/>
                <w:szCs w:val="20"/>
              </w:rPr>
              <w:t>Under-occupied</w:t>
            </w:r>
          </w:p>
        </w:tc>
        <w:tc>
          <w:tcPr>
            <w:tcW w:w="1171" w:type="dxa"/>
          </w:tcPr>
          <w:p w14:paraId="40AC6CAC" w14:textId="6B3FC44C"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24.6%</w:t>
            </w:r>
          </w:p>
        </w:tc>
        <w:tc>
          <w:tcPr>
            <w:tcW w:w="1172" w:type="dxa"/>
          </w:tcPr>
          <w:p w14:paraId="31D1CD30" w14:textId="13AA78E7"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64.3%</w:t>
            </w:r>
          </w:p>
        </w:tc>
        <w:tc>
          <w:tcPr>
            <w:tcW w:w="1171" w:type="dxa"/>
          </w:tcPr>
          <w:p w14:paraId="58B987F2" w14:textId="56242975"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6.7%</w:t>
            </w:r>
          </w:p>
        </w:tc>
        <w:tc>
          <w:tcPr>
            <w:tcW w:w="1172" w:type="dxa"/>
          </w:tcPr>
          <w:p w14:paraId="60A14320" w14:textId="620E3B83"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28.1%</w:t>
            </w:r>
          </w:p>
        </w:tc>
        <w:tc>
          <w:tcPr>
            <w:tcW w:w="1172" w:type="dxa"/>
          </w:tcPr>
          <w:p w14:paraId="25991844" w14:textId="4DDE5900"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32.2%</w:t>
            </w:r>
          </w:p>
        </w:tc>
      </w:tr>
      <w:tr w:rsidR="00624CC0" w:rsidRPr="00E12B61" w14:paraId="138C6428" w14:textId="77777777" w:rsidTr="00624CC0">
        <w:trPr>
          <w:jc w:val="center"/>
        </w:trPr>
        <w:tc>
          <w:tcPr>
            <w:tcW w:w="3781" w:type="dxa"/>
          </w:tcPr>
          <w:p w14:paraId="4D2B16BE" w14:textId="77777777" w:rsidR="00624CC0" w:rsidRPr="00624CC0" w:rsidRDefault="00624CC0" w:rsidP="0014104A">
            <w:pPr>
              <w:keepNext/>
              <w:widowControl w:val="0"/>
              <w:spacing w:line="300" w:lineRule="auto"/>
              <w:rPr>
                <w:rFonts w:ascii="Arial" w:hAnsi="Arial" w:cs="Arial"/>
                <w:bCs/>
                <w:sz w:val="20"/>
                <w:szCs w:val="20"/>
              </w:rPr>
            </w:pPr>
            <w:r w:rsidRPr="00624CC0">
              <w:rPr>
                <w:rFonts w:ascii="Arial" w:hAnsi="Arial" w:cs="Arial"/>
                <w:bCs/>
                <w:sz w:val="20"/>
                <w:szCs w:val="20"/>
              </w:rPr>
              <w:t>Total</w:t>
            </w:r>
          </w:p>
        </w:tc>
        <w:tc>
          <w:tcPr>
            <w:tcW w:w="1171" w:type="dxa"/>
          </w:tcPr>
          <w:p w14:paraId="09145D28" w14:textId="0A6D933C"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100.0%</w:t>
            </w:r>
          </w:p>
        </w:tc>
        <w:tc>
          <w:tcPr>
            <w:tcW w:w="1172" w:type="dxa"/>
          </w:tcPr>
          <w:p w14:paraId="6D466ABF" w14:textId="70128177"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100.0%</w:t>
            </w:r>
          </w:p>
        </w:tc>
        <w:tc>
          <w:tcPr>
            <w:tcW w:w="1171" w:type="dxa"/>
          </w:tcPr>
          <w:p w14:paraId="417A0976" w14:textId="6E238FF8"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100.0%</w:t>
            </w:r>
          </w:p>
        </w:tc>
        <w:tc>
          <w:tcPr>
            <w:tcW w:w="1172" w:type="dxa"/>
          </w:tcPr>
          <w:p w14:paraId="01C9D940" w14:textId="5995E3BB"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100.0%</w:t>
            </w:r>
          </w:p>
        </w:tc>
        <w:tc>
          <w:tcPr>
            <w:tcW w:w="1172" w:type="dxa"/>
          </w:tcPr>
          <w:p w14:paraId="37A01683" w14:textId="6ABC298D" w:rsidR="00624CC0" w:rsidRPr="00624CC0" w:rsidRDefault="00624CC0" w:rsidP="0014104A">
            <w:pPr>
              <w:keepNext/>
              <w:spacing w:line="300" w:lineRule="auto"/>
              <w:jc w:val="center"/>
              <w:rPr>
                <w:rFonts w:ascii="Arial" w:hAnsi="Arial" w:cs="Arial"/>
                <w:bCs/>
                <w:sz w:val="20"/>
                <w:szCs w:val="20"/>
              </w:rPr>
            </w:pPr>
            <w:r w:rsidRPr="00624CC0">
              <w:rPr>
                <w:rFonts w:ascii="Arial" w:hAnsi="Arial" w:cs="Arial"/>
                <w:bCs/>
                <w:sz w:val="20"/>
                <w:szCs w:val="20"/>
              </w:rPr>
              <w:t>100.0%</w:t>
            </w:r>
          </w:p>
        </w:tc>
      </w:tr>
    </w:tbl>
    <w:p w14:paraId="0BEAFE5E" w14:textId="2E57D7CC" w:rsidR="00CC789D"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398919D0" w14:textId="77777777" w:rsidR="0055181D" w:rsidRDefault="0055181D" w:rsidP="0033047F">
      <w:pPr>
        <w:pStyle w:val="Bulletblueplain"/>
        <w:numPr>
          <w:ilvl w:val="0"/>
          <w:numId w:val="0"/>
        </w:numPr>
        <w:spacing w:before="0" w:after="0" w:line="300" w:lineRule="auto"/>
        <w:rPr>
          <w:szCs w:val="20"/>
        </w:rPr>
      </w:pPr>
    </w:p>
    <w:p w14:paraId="512D1997" w14:textId="384E43F3" w:rsidR="00CC789D" w:rsidRPr="0055181D" w:rsidRDefault="00CC789D">
      <w:pPr>
        <w:pStyle w:val="11Bodytext"/>
        <w:numPr>
          <w:ilvl w:val="1"/>
          <w:numId w:val="65"/>
        </w:numPr>
        <w:spacing w:before="0" w:after="0" w:line="300" w:lineRule="auto"/>
        <w:ind w:left="720" w:hanging="720"/>
        <w:rPr>
          <w:color w:val="auto"/>
        </w:rPr>
      </w:pPr>
      <w:r w:rsidRPr="00E12B61">
        <w:t xml:space="preserve">The table below shows the tenure of the four groups of younger households. The data suggests that there are considerable differences between the different groups of younger households with lone parent households having large proportions in the private rented sector (and also the social rented sector). Multi-adult households are particularly likely to live in owner-occupied housing although around </w:t>
      </w:r>
      <w:r w:rsidR="0055181D">
        <w:t>29</w:t>
      </w:r>
      <w:r w:rsidRPr="00E12B61">
        <w:t xml:space="preserve">% are in the private rented sector. The group of households with two or more adults and children also show a high proportion in the owner-occupied sector (around </w:t>
      </w:r>
      <w:r w:rsidR="0055181D">
        <w:t>59</w:t>
      </w:r>
      <w:r w:rsidRPr="00E12B61">
        <w:t xml:space="preserve">% are owner-occupiers) although a relatively large proportion are also in the </w:t>
      </w:r>
      <w:r w:rsidR="0055181D">
        <w:t>private</w:t>
      </w:r>
      <w:r w:rsidRPr="00E12B61">
        <w:t xml:space="preserve"> rented sector. Over two-fifths of </w:t>
      </w:r>
      <w:r w:rsidR="0055181D">
        <w:t>all</w:t>
      </w:r>
      <w:r w:rsidRPr="00E12B61">
        <w:t xml:space="preserve"> younger households live in private rented accommodation.</w:t>
      </w:r>
    </w:p>
    <w:p w14:paraId="376E2521" w14:textId="77777777" w:rsidR="0055181D" w:rsidRPr="0055181D" w:rsidRDefault="0055181D" w:rsidP="00172F56">
      <w:pPr>
        <w:pStyle w:val="11Bodytext"/>
        <w:numPr>
          <w:ilvl w:val="0"/>
          <w:numId w:val="0"/>
        </w:numPr>
        <w:spacing w:before="0" w:after="0" w:line="300" w:lineRule="auto"/>
        <w:rPr>
          <w:color w:val="auto"/>
        </w:rPr>
      </w:pPr>
    </w:p>
    <w:tbl>
      <w:tblPr>
        <w:tblStyle w:val="TableGridLight10"/>
        <w:tblW w:w="9639" w:type="dxa"/>
        <w:jc w:val="center"/>
        <w:tblLayout w:type="fixed"/>
        <w:tblLook w:val="0000" w:firstRow="0" w:lastRow="0" w:firstColumn="0" w:lastColumn="0" w:noHBand="0" w:noVBand="0"/>
      </w:tblPr>
      <w:tblGrid>
        <w:gridCol w:w="3241"/>
        <w:gridCol w:w="1279"/>
        <w:gridCol w:w="1280"/>
        <w:gridCol w:w="1279"/>
        <w:gridCol w:w="1280"/>
        <w:gridCol w:w="1280"/>
      </w:tblGrid>
      <w:tr w:rsidR="0055181D" w:rsidRPr="0055181D" w14:paraId="4B752FE1" w14:textId="77777777" w:rsidTr="008469E3">
        <w:trPr>
          <w:jc w:val="center"/>
        </w:trPr>
        <w:tc>
          <w:tcPr>
            <w:tcW w:w="9639" w:type="dxa"/>
            <w:gridSpan w:val="6"/>
          </w:tcPr>
          <w:p w14:paraId="1B8153B6" w14:textId="6D0B22EB" w:rsidR="0055181D" w:rsidRPr="0055181D" w:rsidRDefault="0055181D" w:rsidP="0014104A">
            <w:pPr>
              <w:pStyle w:val="Tableheading"/>
              <w:numPr>
                <w:ilvl w:val="0"/>
                <w:numId w:val="0"/>
              </w:numPr>
              <w:spacing w:before="60" w:after="60" w:line="300" w:lineRule="auto"/>
              <w:jc w:val="center"/>
              <w:rPr>
                <w:rFonts w:cs="Arial"/>
                <w:bCs/>
                <w:iCs/>
                <w:color w:val="auto"/>
                <w:szCs w:val="20"/>
              </w:rPr>
            </w:pPr>
            <w:r w:rsidRPr="0055181D">
              <w:rPr>
                <w:rFonts w:cs="Arial"/>
                <w:bCs/>
                <w:iCs/>
                <w:color w:val="auto"/>
                <w:szCs w:val="20"/>
              </w:rPr>
              <w:t>Figure 6.</w:t>
            </w:r>
            <w:r w:rsidR="00AD29A6">
              <w:rPr>
                <w:rFonts w:cs="Arial"/>
                <w:bCs/>
                <w:iCs/>
                <w:color w:val="auto"/>
                <w:szCs w:val="20"/>
              </w:rPr>
              <w:t>23</w:t>
            </w:r>
            <w:r w:rsidRPr="0055181D">
              <w:rPr>
                <w:rFonts w:cs="Arial"/>
                <w:bCs/>
                <w:iCs/>
                <w:color w:val="auto"/>
                <w:szCs w:val="20"/>
              </w:rPr>
              <w:t xml:space="preserve">: </w:t>
            </w:r>
            <w:r w:rsidRPr="0055181D">
              <w:rPr>
                <w:rFonts w:cs="Arial"/>
                <w:color w:val="auto"/>
                <w:szCs w:val="20"/>
              </w:rPr>
              <w:t>Tenure of Younger Households</w:t>
            </w:r>
          </w:p>
        </w:tc>
      </w:tr>
      <w:tr w:rsidR="00CC789D" w:rsidRPr="00E12B61" w14:paraId="7779BAE6" w14:textId="77777777" w:rsidTr="0055181D">
        <w:trPr>
          <w:jc w:val="center"/>
        </w:trPr>
        <w:tc>
          <w:tcPr>
            <w:tcW w:w="3241" w:type="dxa"/>
          </w:tcPr>
          <w:p w14:paraId="69B3F4F4" w14:textId="77777777" w:rsidR="00CC789D" w:rsidRPr="0055181D" w:rsidRDefault="00CC789D" w:rsidP="0014104A">
            <w:pPr>
              <w:widowControl w:val="0"/>
              <w:spacing w:line="300" w:lineRule="auto"/>
              <w:rPr>
                <w:rFonts w:ascii="Arial" w:hAnsi="Arial" w:cs="Arial"/>
                <w:bCs/>
                <w:iCs/>
                <w:sz w:val="20"/>
                <w:szCs w:val="20"/>
              </w:rPr>
            </w:pPr>
            <w:r w:rsidRPr="0055181D">
              <w:rPr>
                <w:rFonts w:ascii="Arial" w:hAnsi="Arial" w:cs="Arial"/>
                <w:bCs/>
                <w:iCs/>
                <w:sz w:val="20"/>
                <w:szCs w:val="20"/>
              </w:rPr>
              <w:t>Tenure</w:t>
            </w:r>
          </w:p>
        </w:tc>
        <w:tc>
          <w:tcPr>
            <w:tcW w:w="1279" w:type="dxa"/>
          </w:tcPr>
          <w:p w14:paraId="37C934B2" w14:textId="77777777" w:rsidR="00CC789D" w:rsidRPr="0055181D" w:rsidRDefault="00CC789D" w:rsidP="0014104A">
            <w:pPr>
              <w:widowControl w:val="0"/>
              <w:spacing w:line="300" w:lineRule="auto"/>
              <w:jc w:val="center"/>
              <w:rPr>
                <w:rFonts w:ascii="Arial" w:hAnsi="Arial" w:cs="Arial"/>
                <w:bCs/>
                <w:iCs/>
                <w:sz w:val="20"/>
                <w:szCs w:val="20"/>
              </w:rPr>
            </w:pPr>
            <w:r w:rsidRPr="0055181D">
              <w:rPr>
                <w:rFonts w:ascii="Arial" w:hAnsi="Arial" w:cs="Arial"/>
                <w:bCs/>
                <w:iCs/>
                <w:sz w:val="20"/>
                <w:szCs w:val="20"/>
              </w:rPr>
              <w:t>Single person</w:t>
            </w:r>
          </w:p>
        </w:tc>
        <w:tc>
          <w:tcPr>
            <w:tcW w:w="1280" w:type="dxa"/>
          </w:tcPr>
          <w:p w14:paraId="3CF75466" w14:textId="77777777" w:rsidR="00CC789D" w:rsidRPr="0055181D" w:rsidRDefault="00CC789D" w:rsidP="0014104A">
            <w:pPr>
              <w:widowControl w:val="0"/>
              <w:spacing w:line="300" w:lineRule="auto"/>
              <w:jc w:val="center"/>
              <w:rPr>
                <w:rFonts w:ascii="Arial" w:hAnsi="Arial" w:cs="Arial"/>
                <w:bCs/>
                <w:iCs/>
                <w:sz w:val="20"/>
                <w:szCs w:val="20"/>
              </w:rPr>
            </w:pPr>
            <w:r w:rsidRPr="0055181D">
              <w:rPr>
                <w:rFonts w:ascii="Arial" w:hAnsi="Arial" w:cs="Arial"/>
                <w:bCs/>
                <w:iCs/>
                <w:sz w:val="20"/>
                <w:szCs w:val="20"/>
              </w:rPr>
              <w:t>Multi-adult</w:t>
            </w:r>
          </w:p>
        </w:tc>
        <w:tc>
          <w:tcPr>
            <w:tcW w:w="1279" w:type="dxa"/>
          </w:tcPr>
          <w:p w14:paraId="776DAEAF" w14:textId="77777777" w:rsidR="00CC789D" w:rsidRPr="0055181D" w:rsidRDefault="00CC789D" w:rsidP="0014104A">
            <w:pPr>
              <w:widowControl w:val="0"/>
              <w:spacing w:line="300" w:lineRule="auto"/>
              <w:jc w:val="center"/>
              <w:rPr>
                <w:rFonts w:ascii="Arial" w:hAnsi="Arial" w:cs="Arial"/>
                <w:bCs/>
                <w:iCs/>
                <w:sz w:val="20"/>
                <w:szCs w:val="20"/>
              </w:rPr>
            </w:pPr>
            <w:r w:rsidRPr="0055181D">
              <w:rPr>
                <w:rFonts w:ascii="Arial" w:hAnsi="Arial" w:cs="Arial"/>
                <w:bCs/>
                <w:iCs/>
                <w:sz w:val="20"/>
                <w:szCs w:val="20"/>
              </w:rPr>
              <w:t>Lone parents</w:t>
            </w:r>
          </w:p>
        </w:tc>
        <w:tc>
          <w:tcPr>
            <w:tcW w:w="1280" w:type="dxa"/>
          </w:tcPr>
          <w:p w14:paraId="45D3636A" w14:textId="77777777" w:rsidR="00CC789D" w:rsidRPr="0055181D" w:rsidRDefault="00CC789D" w:rsidP="0014104A">
            <w:pPr>
              <w:widowControl w:val="0"/>
              <w:spacing w:line="300" w:lineRule="auto"/>
              <w:jc w:val="center"/>
              <w:rPr>
                <w:rFonts w:ascii="Arial" w:hAnsi="Arial" w:cs="Arial"/>
                <w:bCs/>
                <w:iCs/>
                <w:sz w:val="20"/>
                <w:szCs w:val="20"/>
              </w:rPr>
            </w:pPr>
            <w:r w:rsidRPr="0055181D">
              <w:rPr>
                <w:rFonts w:ascii="Arial" w:hAnsi="Arial" w:cs="Arial"/>
                <w:bCs/>
                <w:iCs/>
                <w:sz w:val="20"/>
                <w:szCs w:val="20"/>
              </w:rPr>
              <w:t xml:space="preserve">2+ adults </w:t>
            </w:r>
            <w:r w:rsidRPr="0055181D">
              <w:rPr>
                <w:rFonts w:ascii="Arial" w:hAnsi="Arial" w:cs="Arial"/>
                <w:bCs/>
                <w:iCs/>
                <w:spacing w:val="-2"/>
                <w:sz w:val="20"/>
                <w:szCs w:val="20"/>
              </w:rPr>
              <w:t>&amp; children</w:t>
            </w:r>
          </w:p>
        </w:tc>
        <w:tc>
          <w:tcPr>
            <w:tcW w:w="1280" w:type="dxa"/>
          </w:tcPr>
          <w:p w14:paraId="5999AC74" w14:textId="77777777" w:rsidR="00CC789D" w:rsidRPr="0055181D" w:rsidRDefault="00CC789D" w:rsidP="0014104A">
            <w:pPr>
              <w:widowControl w:val="0"/>
              <w:spacing w:line="300" w:lineRule="auto"/>
              <w:jc w:val="center"/>
              <w:rPr>
                <w:rFonts w:ascii="Arial" w:hAnsi="Arial" w:cs="Arial"/>
                <w:bCs/>
                <w:iCs/>
                <w:sz w:val="20"/>
                <w:szCs w:val="20"/>
              </w:rPr>
            </w:pPr>
            <w:r w:rsidRPr="0055181D">
              <w:rPr>
                <w:rFonts w:ascii="Arial" w:hAnsi="Arial" w:cs="Arial"/>
                <w:bCs/>
                <w:iCs/>
                <w:sz w:val="20"/>
                <w:szCs w:val="20"/>
              </w:rPr>
              <w:t>All younger households</w:t>
            </w:r>
          </w:p>
        </w:tc>
      </w:tr>
      <w:tr w:rsidR="0055181D" w:rsidRPr="00E12B61" w14:paraId="1EFC54E8" w14:textId="77777777" w:rsidTr="0055181D">
        <w:trPr>
          <w:jc w:val="center"/>
        </w:trPr>
        <w:tc>
          <w:tcPr>
            <w:tcW w:w="3241" w:type="dxa"/>
          </w:tcPr>
          <w:p w14:paraId="140404D1" w14:textId="77777777" w:rsidR="0055181D" w:rsidRPr="0055181D" w:rsidRDefault="0055181D" w:rsidP="0014104A">
            <w:pPr>
              <w:widowControl w:val="0"/>
              <w:autoSpaceDE w:val="0"/>
              <w:autoSpaceDN w:val="0"/>
              <w:adjustRightInd w:val="0"/>
              <w:spacing w:line="300" w:lineRule="auto"/>
              <w:rPr>
                <w:rFonts w:ascii="Arial" w:hAnsi="Arial" w:cs="Arial"/>
                <w:bCs/>
                <w:iCs/>
                <w:sz w:val="20"/>
                <w:szCs w:val="20"/>
              </w:rPr>
            </w:pPr>
            <w:r w:rsidRPr="0055181D">
              <w:rPr>
                <w:rFonts w:ascii="Arial" w:hAnsi="Arial" w:cs="Arial"/>
                <w:bCs/>
                <w:iCs/>
                <w:sz w:val="20"/>
                <w:szCs w:val="20"/>
              </w:rPr>
              <w:t>Owner-occupied (no mortgage)</w:t>
            </w:r>
          </w:p>
        </w:tc>
        <w:tc>
          <w:tcPr>
            <w:tcW w:w="1279" w:type="dxa"/>
          </w:tcPr>
          <w:p w14:paraId="793971C1" w14:textId="68EF7953"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0.0%</w:t>
            </w:r>
          </w:p>
        </w:tc>
        <w:tc>
          <w:tcPr>
            <w:tcW w:w="1280" w:type="dxa"/>
          </w:tcPr>
          <w:p w14:paraId="2BCE0348" w14:textId="2EC5052F"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0.0%</w:t>
            </w:r>
          </w:p>
        </w:tc>
        <w:tc>
          <w:tcPr>
            <w:tcW w:w="1279" w:type="dxa"/>
          </w:tcPr>
          <w:p w14:paraId="1960B8E6" w14:textId="4D954453"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0.8%</w:t>
            </w:r>
          </w:p>
        </w:tc>
        <w:tc>
          <w:tcPr>
            <w:tcW w:w="1280" w:type="dxa"/>
          </w:tcPr>
          <w:p w14:paraId="2EA21DEE" w14:textId="10A40829"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0.0%</w:t>
            </w:r>
          </w:p>
        </w:tc>
        <w:tc>
          <w:tcPr>
            <w:tcW w:w="1280" w:type="dxa"/>
          </w:tcPr>
          <w:p w14:paraId="1C630D27" w14:textId="603FC7F9"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0.2%</w:t>
            </w:r>
          </w:p>
        </w:tc>
      </w:tr>
      <w:tr w:rsidR="0055181D" w:rsidRPr="00E12B61" w14:paraId="1D9A4E42" w14:textId="77777777" w:rsidTr="0055181D">
        <w:trPr>
          <w:jc w:val="center"/>
        </w:trPr>
        <w:tc>
          <w:tcPr>
            <w:tcW w:w="3241" w:type="dxa"/>
          </w:tcPr>
          <w:p w14:paraId="5152038C" w14:textId="77777777" w:rsidR="0055181D" w:rsidRPr="0055181D" w:rsidRDefault="0055181D" w:rsidP="0014104A">
            <w:pPr>
              <w:widowControl w:val="0"/>
              <w:autoSpaceDE w:val="0"/>
              <w:autoSpaceDN w:val="0"/>
              <w:adjustRightInd w:val="0"/>
              <w:spacing w:line="300" w:lineRule="auto"/>
              <w:rPr>
                <w:rFonts w:ascii="Arial" w:hAnsi="Arial" w:cs="Arial"/>
                <w:bCs/>
                <w:iCs/>
                <w:sz w:val="20"/>
                <w:szCs w:val="20"/>
              </w:rPr>
            </w:pPr>
            <w:r w:rsidRPr="0055181D">
              <w:rPr>
                <w:rFonts w:ascii="Arial" w:hAnsi="Arial" w:cs="Arial"/>
                <w:bCs/>
                <w:iCs/>
                <w:sz w:val="20"/>
                <w:szCs w:val="20"/>
              </w:rPr>
              <w:t>Owner-occupied (with mortgage)</w:t>
            </w:r>
          </w:p>
        </w:tc>
        <w:tc>
          <w:tcPr>
            <w:tcW w:w="1279" w:type="dxa"/>
          </w:tcPr>
          <w:p w14:paraId="525F05B3" w14:textId="1459FEEF"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35.2%</w:t>
            </w:r>
          </w:p>
        </w:tc>
        <w:tc>
          <w:tcPr>
            <w:tcW w:w="1280" w:type="dxa"/>
          </w:tcPr>
          <w:p w14:paraId="226A76D3" w14:textId="1C8FFCDF"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67.5%</w:t>
            </w:r>
          </w:p>
        </w:tc>
        <w:tc>
          <w:tcPr>
            <w:tcW w:w="1279" w:type="dxa"/>
          </w:tcPr>
          <w:p w14:paraId="695D4B7A" w14:textId="13673853"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13.0%</w:t>
            </w:r>
          </w:p>
        </w:tc>
        <w:tc>
          <w:tcPr>
            <w:tcW w:w="1280" w:type="dxa"/>
          </w:tcPr>
          <w:p w14:paraId="3B256475" w14:textId="67545BBA"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59.2%</w:t>
            </w:r>
          </w:p>
        </w:tc>
        <w:tc>
          <w:tcPr>
            <w:tcW w:w="1280" w:type="dxa"/>
          </w:tcPr>
          <w:p w14:paraId="248BADE1" w14:textId="54859643"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46.8%</w:t>
            </w:r>
          </w:p>
        </w:tc>
      </w:tr>
      <w:tr w:rsidR="0055181D" w:rsidRPr="00E12B61" w14:paraId="059FAC82" w14:textId="77777777" w:rsidTr="0055181D">
        <w:trPr>
          <w:jc w:val="center"/>
        </w:trPr>
        <w:tc>
          <w:tcPr>
            <w:tcW w:w="3241" w:type="dxa"/>
          </w:tcPr>
          <w:p w14:paraId="43B8F253" w14:textId="77777777" w:rsidR="0055181D" w:rsidRPr="0055181D" w:rsidRDefault="0055181D" w:rsidP="0014104A">
            <w:pPr>
              <w:widowControl w:val="0"/>
              <w:autoSpaceDE w:val="0"/>
              <w:autoSpaceDN w:val="0"/>
              <w:adjustRightInd w:val="0"/>
              <w:spacing w:line="300" w:lineRule="auto"/>
              <w:rPr>
                <w:rFonts w:ascii="Arial" w:hAnsi="Arial" w:cs="Arial"/>
                <w:bCs/>
                <w:iCs/>
                <w:sz w:val="20"/>
                <w:szCs w:val="20"/>
              </w:rPr>
            </w:pPr>
            <w:r w:rsidRPr="0055181D">
              <w:rPr>
                <w:rFonts w:ascii="Arial" w:hAnsi="Arial" w:cs="Arial"/>
                <w:bCs/>
                <w:iCs/>
                <w:sz w:val="20"/>
                <w:szCs w:val="20"/>
              </w:rPr>
              <w:t>Social rented</w:t>
            </w:r>
          </w:p>
        </w:tc>
        <w:tc>
          <w:tcPr>
            <w:tcW w:w="1279" w:type="dxa"/>
          </w:tcPr>
          <w:p w14:paraId="29352468" w14:textId="3D959F20"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15.8%</w:t>
            </w:r>
          </w:p>
        </w:tc>
        <w:tc>
          <w:tcPr>
            <w:tcW w:w="1280" w:type="dxa"/>
          </w:tcPr>
          <w:p w14:paraId="76C283D8" w14:textId="023B5F63"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3.9%</w:t>
            </w:r>
          </w:p>
        </w:tc>
        <w:tc>
          <w:tcPr>
            <w:tcW w:w="1279" w:type="dxa"/>
          </w:tcPr>
          <w:p w14:paraId="1F48DC0C" w14:textId="01C4D643"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18.6%</w:t>
            </w:r>
          </w:p>
        </w:tc>
        <w:tc>
          <w:tcPr>
            <w:tcW w:w="1280" w:type="dxa"/>
          </w:tcPr>
          <w:p w14:paraId="492E8576" w14:textId="3345E43F"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8.7%</w:t>
            </w:r>
          </w:p>
        </w:tc>
        <w:tc>
          <w:tcPr>
            <w:tcW w:w="1280" w:type="dxa"/>
          </w:tcPr>
          <w:p w14:paraId="18C2D630" w14:textId="36832D7D"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11.1%</w:t>
            </w:r>
          </w:p>
        </w:tc>
      </w:tr>
      <w:tr w:rsidR="0055181D" w:rsidRPr="00E12B61" w14:paraId="0A2536C3" w14:textId="77777777" w:rsidTr="0055181D">
        <w:trPr>
          <w:jc w:val="center"/>
        </w:trPr>
        <w:tc>
          <w:tcPr>
            <w:tcW w:w="3241" w:type="dxa"/>
          </w:tcPr>
          <w:p w14:paraId="59A9AC20" w14:textId="77777777" w:rsidR="0055181D" w:rsidRPr="0055181D" w:rsidRDefault="0055181D" w:rsidP="0014104A">
            <w:pPr>
              <w:widowControl w:val="0"/>
              <w:autoSpaceDE w:val="0"/>
              <w:autoSpaceDN w:val="0"/>
              <w:adjustRightInd w:val="0"/>
              <w:spacing w:line="300" w:lineRule="auto"/>
              <w:rPr>
                <w:rFonts w:ascii="Arial" w:hAnsi="Arial" w:cs="Arial"/>
                <w:bCs/>
                <w:iCs/>
                <w:sz w:val="20"/>
                <w:szCs w:val="20"/>
              </w:rPr>
            </w:pPr>
            <w:r w:rsidRPr="0055181D">
              <w:rPr>
                <w:rFonts w:ascii="Arial" w:hAnsi="Arial" w:cs="Arial"/>
                <w:bCs/>
                <w:iCs/>
                <w:sz w:val="20"/>
                <w:szCs w:val="20"/>
              </w:rPr>
              <w:t>Private rented</w:t>
            </w:r>
          </w:p>
        </w:tc>
        <w:tc>
          <w:tcPr>
            <w:tcW w:w="1279" w:type="dxa"/>
          </w:tcPr>
          <w:p w14:paraId="5D3D2A9B" w14:textId="5AD1425B"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49.0%</w:t>
            </w:r>
          </w:p>
        </w:tc>
        <w:tc>
          <w:tcPr>
            <w:tcW w:w="1280" w:type="dxa"/>
          </w:tcPr>
          <w:p w14:paraId="0E985421" w14:textId="6EAA0B4A"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28.5%</w:t>
            </w:r>
          </w:p>
        </w:tc>
        <w:tc>
          <w:tcPr>
            <w:tcW w:w="1279" w:type="dxa"/>
          </w:tcPr>
          <w:p w14:paraId="04E024F9" w14:textId="279FE9F7"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67.6%</w:t>
            </w:r>
          </w:p>
        </w:tc>
        <w:tc>
          <w:tcPr>
            <w:tcW w:w="1280" w:type="dxa"/>
          </w:tcPr>
          <w:p w14:paraId="25F713AA" w14:textId="658CCD9D"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32.1%</w:t>
            </w:r>
          </w:p>
        </w:tc>
        <w:tc>
          <w:tcPr>
            <w:tcW w:w="1280" w:type="dxa"/>
          </w:tcPr>
          <w:p w14:paraId="12BA24DF" w14:textId="03CCA709"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42.0%</w:t>
            </w:r>
          </w:p>
        </w:tc>
      </w:tr>
      <w:tr w:rsidR="0055181D" w:rsidRPr="00E12B61" w14:paraId="26DBB57B" w14:textId="77777777" w:rsidTr="0055181D">
        <w:trPr>
          <w:jc w:val="center"/>
        </w:trPr>
        <w:tc>
          <w:tcPr>
            <w:tcW w:w="3241" w:type="dxa"/>
          </w:tcPr>
          <w:p w14:paraId="50B28FB6" w14:textId="77777777" w:rsidR="0055181D" w:rsidRPr="0055181D" w:rsidRDefault="0055181D" w:rsidP="0014104A">
            <w:pPr>
              <w:widowControl w:val="0"/>
              <w:spacing w:line="300" w:lineRule="auto"/>
              <w:rPr>
                <w:rFonts w:ascii="Arial" w:hAnsi="Arial" w:cs="Arial"/>
                <w:bCs/>
                <w:sz w:val="20"/>
                <w:szCs w:val="20"/>
              </w:rPr>
            </w:pPr>
            <w:r w:rsidRPr="0055181D">
              <w:rPr>
                <w:rFonts w:ascii="Arial" w:hAnsi="Arial" w:cs="Arial"/>
                <w:bCs/>
                <w:sz w:val="20"/>
                <w:szCs w:val="20"/>
              </w:rPr>
              <w:t>Total</w:t>
            </w:r>
          </w:p>
        </w:tc>
        <w:tc>
          <w:tcPr>
            <w:tcW w:w="1279" w:type="dxa"/>
          </w:tcPr>
          <w:p w14:paraId="6D400DC9" w14:textId="329B39D3"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100.0%</w:t>
            </w:r>
          </w:p>
        </w:tc>
        <w:tc>
          <w:tcPr>
            <w:tcW w:w="1280" w:type="dxa"/>
          </w:tcPr>
          <w:p w14:paraId="4D5DBB99" w14:textId="6F2336EB"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100.0%</w:t>
            </w:r>
          </w:p>
        </w:tc>
        <w:tc>
          <w:tcPr>
            <w:tcW w:w="1279" w:type="dxa"/>
          </w:tcPr>
          <w:p w14:paraId="1FF2C5DC" w14:textId="2D8B2EA3"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100.0%</w:t>
            </w:r>
          </w:p>
        </w:tc>
        <w:tc>
          <w:tcPr>
            <w:tcW w:w="1280" w:type="dxa"/>
          </w:tcPr>
          <w:p w14:paraId="3F9D4444" w14:textId="55C56F3B"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100.0%</w:t>
            </w:r>
          </w:p>
        </w:tc>
        <w:tc>
          <w:tcPr>
            <w:tcW w:w="1280" w:type="dxa"/>
          </w:tcPr>
          <w:p w14:paraId="0F50B927" w14:textId="178613F9" w:rsidR="0055181D" w:rsidRPr="0055181D" w:rsidRDefault="0055181D" w:rsidP="0014104A">
            <w:pPr>
              <w:spacing w:line="300" w:lineRule="auto"/>
              <w:jc w:val="center"/>
              <w:rPr>
                <w:rFonts w:ascii="Arial" w:hAnsi="Arial" w:cs="Arial"/>
                <w:bCs/>
                <w:sz w:val="20"/>
                <w:szCs w:val="20"/>
              </w:rPr>
            </w:pPr>
            <w:r w:rsidRPr="0055181D">
              <w:rPr>
                <w:rFonts w:ascii="Arial" w:hAnsi="Arial" w:cs="Arial"/>
                <w:bCs/>
                <w:sz w:val="20"/>
                <w:szCs w:val="20"/>
              </w:rPr>
              <w:t>100.0%</w:t>
            </w:r>
          </w:p>
        </w:tc>
      </w:tr>
    </w:tbl>
    <w:p w14:paraId="55CDFEE2" w14:textId="1135ADD5" w:rsidR="00CC789D" w:rsidRPr="00E12B61" w:rsidRDefault="00AB789F" w:rsidP="0014104A">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5B366B75" w14:textId="77777777" w:rsidR="0055181D" w:rsidRDefault="0055181D" w:rsidP="0033047F">
      <w:pPr>
        <w:pStyle w:val="Bulletblueplain"/>
        <w:numPr>
          <w:ilvl w:val="0"/>
          <w:numId w:val="0"/>
        </w:numPr>
        <w:spacing w:before="0" w:after="0" w:line="300" w:lineRule="auto"/>
        <w:rPr>
          <w:szCs w:val="20"/>
        </w:rPr>
      </w:pPr>
    </w:p>
    <w:p w14:paraId="1B00B9DF" w14:textId="3B412487" w:rsidR="00886414" w:rsidRDefault="00CC789D">
      <w:pPr>
        <w:pStyle w:val="11Bodytext"/>
        <w:numPr>
          <w:ilvl w:val="1"/>
          <w:numId w:val="65"/>
        </w:numPr>
        <w:spacing w:before="0" w:after="0" w:line="300" w:lineRule="auto"/>
        <w:ind w:left="720" w:hanging="720"/>
        <w:rPr>
          <w:color w:val="auto"/>
        </w:rPr>
      </w:pPr>
      <w:r w:rsidRPr="00E12B61">
        <w:t>The survey identifies households that have moved into owner-occupied accommodation from a different tenure in the last two years. It is assumed that all of these households are first-time buyers although a few may have owned a home at some stage previously.</w:t>
      </w:r>
      <w:r w:rsidR="00886414">
        <w:rPr>
          <w:color w:val="auto"/>
        </w:rPr>
        <w:t xml:space="preserve"> </w:t>
      </w:r>
      <w:r w:rsidRPr="00E12B61">
        <w:t xml:space="preserve">The survey records that </w:t>
      </w:r>
      <w:r w:rsidRPr="00886414">
        <w:rPr>
          <w:color w:val="auto"/>
        </w:rPr>
        <w:t xml:space="preserve">there are </w:t>
      </w:r>
      <w:r w:rsidR="00886414" w:rsidRPr="00886414">
        <w:rPr>
          <w:color w:val="auto"/>
        </w:rPr>
        <w:t>2,415</w:t>
      </w:r>
      <w:r w:rsidRPr="00886414">
        <w:rPr>
          <w:color w:val="auto"/>
        </w:rPr>
        <w:t xml:space="preserve"> households that have become first-time buyers in </w:t>
      </w:r>
      <w:r w:rsidR="0055181D" w:rsidRPr="00886414">
        <w:rPr>
          <w:color w:val="auto"/>
        </w:rPr>
        <w:t>Fylde</w:t>
      </w:r>
      <w:r w:rsidRPr="00886414">
        <w:rPr>
          <w:color w:val="auto"/>
        </w:rPr>
        <w:t xml:space="preserve"> in the last </w:t>
      </w:r>
      <w:r w:rsidR="0055181D" w:rsidRPr="00886414">
        <w:rPr>
          <w:color w:val="auto"/>
        </w:rPr>
        <w:t>five</w:t>
      </w:r>
      <w:r w:rsidRPr="00886414">
        <w:rPr>
          <w:color w:val="auto"/>
        </w:rPr>
        <w:t xml:space="preserve"> years.</w:t>
      </w:r>
    </w:p>
    <w:p w14:paraId="5DDA7440" w14:textId="74F87DBA" w:rsidR="00886414" w:rsidRDefault="00886414">
      <w:pPr>
        <w:pStyle w:val="11Bodytext"/>
        <w:numPr>
          <w:ilvl w:val="1"/>
          <w:numId w:val="65"/>
        </w:numPr>
        <w:spacing w:before="0" w:after="0" w:line="300" w:lineRule="auto"/>
        <w:ind w:left="720" w:hanging="720"/>
        <w:rPr>
          <w:color w:val="auto"/>
        </w:rPr>
      </w:pPr>
      <w:r>
        <w:rPr>
          <w:color w:val="auto"/>
        </w:rPr>
        <w:t xml:space="preserve">The table below shows the current location of first-time buyer </w:t>
      </w:r>
      <w:r w:rsidR="00432414">
        <w:rPr>
          <w:color w:val="auto"/>
        </w:rPr>
        <w:t>households</w:t>
      </w:r>
      <w:r>
        <w:rPr>
          <w:color w:val="auto"/>
        </w:rPr>
        <w:t xml:space="preserve">. Notably this shows a high </w:t>
      </w:r>
      <w:r w:rsidR="00432414">
        <w:rPr>
          <w:color w:val="auto"/>
        </w:rPr>
        <w:t>proportion</w:t>
      </w:r>
      <w:r>
        <w:rPr>
          <w:color w:val="auto"/>
        </w:rPr>
        <w:t xml:space="preserve"> of first-time buyers in the Fylde-Blackpool Periphery area</w:t>
      </w:r>
      <w:r w:rsidR="00637A0F">
        <w:rPr>
          <w:color w:val="auto"/>
        </w:rPr>
        <w:t xml:space="preserve">, with much lower figures in </w:t>
      </w:r>
      <w:r w:rsidR="22C54B85" w:rsidRPr="31BB893D">
        <w:rPr>
          <w:color w:val="auto"/>
        </w:rPr>
        <w:t xml:space="preserve">Kirkham, </w:t>
      </w:r>
      <w:r w:rsidR="23677691" w:rsidRPr="31BB893D">
        <w:rPr>
          <w:color w:val="auto"/>
        </w:rPr>
        <w:t>St.</w:t>
      </w:r>
      <w:r w:rsidR="00432414">
        <w:rPr>
          <w:color w:val="auto"/>
        </w:rPr>
        <w:t xml:space="preserve"> Annes</w:t>
      </w:r>
      <w:r w:rsidR="00637A0F">
        <w:rPr>
          <w:color w:val="auto"/>
        </w:rPr>
        <w:t xml:space="preserve"> and Lytham. Rural areas typically see levels of first-time buyers close to the Borough average.</w:t>
      </w:r>
    </w:p>
    <w:p w14:paraId="5C3F462E" w14:textId="77777777" w:rsidR="00637A0F" w:rsidRPr="00886414" w:rsidRDefault="00637A0F" w:rsidP="00172F56">
      <w:pPr>
        <w:pStyle w:val="11Bodytext"/>
        <w:numPr>
          <w:ilvl w:val="0"/>
          <w:numId w:val="0"/>
        </w:numPr>
        <w:spacing w:before="0" w:after="0" w:line="300" w:lineRule="auto"/>
        <w:rPr>
          <w:color w:val="auto"/>
        </w:rPr>
      </w:pPr>
    </w:p>
    <w:tbl>
      <w:tblPr>
        <w:tblStyle w:val="TableTheme"/>
        <w:tblW w:w="9639" w:type="dxa"/>
        <w:tblLayout w:type="fixed"/>
        <w:tblLook w:val="0000" w:firstRow="0" w:lastRow="0" w:firstColumn="0" w:lastColumn="0" w:noHBand="0" w:noVBand="0"/>
      </w:tblPr>
      <w:tblGrid>
        <w:gridCol w:w="1441"/>
        <w:gridCol w:w="540"/>
        <w:gridCol w:w="1531"/>
        <w:gridCol w:w="1532"/>
        <w:gridCol w:w="1531"/>
        <w:gridCol w:w="1532"/>
        <w:gridCol w:w="1532"/>
      </w:tblGrid>
      <w:tr w:rsidR="00886414" w:rsidRPr="00637A0F" w14:paraId="0B4EB52D" w14:textId="77777777" w:rsidTr="008469E3">
        <w:tc>
          <w:tcPr>
            <w:tcW w:w="9639" w:type="dxa"/>
            <w:gridSpan w:val="7"/>
          </w:tcPr>
          <w:p w14:paraId="6A02DFC0" w14:textId="350EEF40" w:rsidR="00886414" w:rsidRPr="00637A0F" w:rsidRDefault="00886414" w:rsidP="001851B2">
            <w:pPr>
              <w:keepNext/>
              <w:widowControl w:val="0"/>
              <w:spacing w:before="60" w:after="60" w:line="300" w:lineRule="auto"/>
              <w:jc w:val="center"/>
              <w:rPr>
                <w:rFonts w:ascii="Arial" w:hAnsi="Arial" w:cs="Arial"/>
                <w:b/>
                <w:sz w:val="20"/>
                <w:szCs w:val="20"/>
              </w:rPr>
            </w:pPr>
            <w:r w:rsidRPr="00637A0F">
              <w:rPr>
                <w:rFonts w:ascii="Arial" w:hAnsi="Arial" w:cs="Arial"/>
                <w:b/>
                <w:sz w:val="20"/>
                <w:szCs w:val="20"/>
              </w:rPr>
              <w:t xml:space="preserve">Figure </w:t>
            </w:r>
            <w:r w:rsidR="00AD29A6">
              <w:rPr>
                <w:rFonts w:ascii="Arial" w:hAnsi="Arial" w:cs="Arial"/>
                <w:b/>
                <w:sz w:val="20"/>
                <w:szCs w:val="20"/>
              </w:rPr>
              <w:t>6.24</w:t>
            </w:r>
            <w:r w:rsidRPr="00637A0F">
              <w:rPr>
                <w:rFonts w:ascii="Arial" w:hAnsi="Arial" w:cs="Arial"/>
                <w:b/>
                <w:sz w:val="20"/>
                <w:szCs w:val="20"/>
              </w:rPr>
              <w:t>: Recent First-Time Buyers by sub-area</w:t>
            </w:r>
          </w:p>
        </w:tc>
      </w:tr>
      <w:tr w:rsidR="00886414" w:rsidRPr="00637A0F" w14:paraId="3D3FA1B9" w14:textId="77777777" w:rsidTr="008469E3">
        <w:tc>
          <w:tcPr>
            <w:tcW w:w="1981" w:type="dxa"/>
            <w:gridSpan w:val="2"/>
          </w:tcPr>
          <w:p w14:paraId="65892C74" w14:textId="77777777" w:rsidR="00886414" w:rsidRPr="00637A0F" w:rsidRDefault="00886414" w:rsidP="001851B2">
            <w:pPr>
              <w:keepNext/>
              <w:widowControl w:val="0"/>
              <w:spacing w:line="300" w:lineRule="auto"/>
              <w:rPr>
                <w:rFonts w:ascii="Arial" w:hAnsi="Arial" w:cs="Arial"/>
                <w:sz w:val="20"/>
                <w:szCs w:val="20"/>
              </w:rPr>
            </w:pPr>
            <w:r w:rsidRPr="00637A0F">
              <w:rPr>
                <w:rFonts w:ascii="Arial" w:hAnsi="Arial" w:cs="Arial"/>
                <w:sz w:val="20"/>
                <w:szCs w:val="20"/>
              </w:rPr>
              <w:t>Sub-area</w:t>
            </w:r>
          </w:p>
        </w:tc>
        <w:tc>
          <w:tcPr>
            <w:tcW w:w="1531" w:type="dxa"/>
          </w:tcPr>
          <w:p w14:paraId="5A7B4551" w14:textId="7C3B5152" w:rsidR="00886414" w:rsidRPr="00637A0F" w:rsidRDefault="00886414" w:rsidP="001851B2">
            <w:pPr>
              <w:keepNext/>
              <w:widowControl w:val="0"/>
              <w:spacing w:line="300" w:lineRule="auto"/>
              <w:jc w:val="center"/>
              <w:rPr>
                <w:rFonts w:ascii="Arial" w:hAnsi="Arial" w:cs="Arial"/>
                <w:bCs/>
                <w:sz w:val="20"/>
                <w:szCs w:val="20"/>
              </w:rPr>
            </w:pPr>
            <w:r w:rsidRPr="00637A0F">
              <w:rPr>
                <w:rFonts w:ascii="Arial" w:hAnsi="Arial" w:cs="Arial"/>
                <w:sz w:val="20"/>
                <w:szCs w:val="20"/>
              </w:rPr>
              <w:t>First time buyer</w:t>
            </w:r>
          </w:p>
        </w:tc>
        <w:tc>
          <w:tcPr>
            <w:tcW w:w="1532" w:type="dxa"/>
          </w:tcPr>
          <w:p w14:paraId="461F12D6" w14:textId="7816A5E9" w:rsidR="00886414" w:rsidRPr="00637A0F" w:rsidRDefault="00886414" w:rsidP="001851B2">
            <w:pPr>
              <w:keepNext/>
              <w:widowControl w:val="0"/>
              <w:spacing w:line="300" w:lineRule="auto"/>
              <w:jc w:val="center"/>
              <w:rPr>
                <w:rFonts w:ascii="Arial" w:hAnsi="Arial" w:cs="Arial"/>
                <w:bCs/>
                <w:sz w:val="20"/>
                <w:szCs w:val="20"/>
              </w:rPr>
            </w:pPr>
            <w:r w:rsidRPr="00637A0F">
              <w:rPr>
                <w:rFonts w:ascii="Arial" w:hAnsi="Arial" w:cs="Arial"/>
                <w:sz w:val="20"/>
                <w:szCs w:val="20"/>
              </w:rPr>
              <w:t>Other recent buyer</w:t>
            </w:r>
          </w:p>
        </w:tc>
        <w:tc>
          <w:tcPr>
            <w:tcW w:w="1531" w:type="dxa"/>
          </w:tcPr>
          <w:p w14:paraId="3122707D" w14:textId="35FAF95E" w:rsidR="00886414" w:rsidRPr="00637A0F" w:rsidRDefault="00886414" w:rsidP="001851B2">
            <w:pPr>
              <w:keepNext/>
              <w:widowControl w:val="0"/>
              <w:spacing w:line="300" w:lineRule="auto"/>
              <w:jc w:val="center"/>
              <w:rPr>
                <w:rFonts w:ascii="Arial" w:hAnsi="Arial" w:cs="Arial"/>
                <w:bCs/>
                <w:sz w:val="20"/>
                <w:szCs w:val="20"/>
              </w:rPr>
            </w:pPr>
            <w:r w:rsidRPr="00637A0F">
              <w:rPr>
                <w:rFonts w:ascii="Arial" w:hAnsi="Arial" w:cs="Arial"/>
                <w:sz w:val="20"/>
                <w:szCs w:val="20"/>
              </w:rPr>
              <w:t>Other recently moved households</w:t>
            </w:r>
          </w:p>
        </w:tc>
        <w:tc>
          <w:tcPr>
            <w:tcW w:w="1532" w:type="dxa"/>
            <w:vAlign w:val="center"/>
          </w:tcPr>
          <w:p w14:paraId="11422F99" w14:textId="77777777" w:rsidR="00886414" w:rsidRPr="00637A0F" w:rsidRDefault="00886414" w:rsidP="001851B2">
            <w:pPr>
              <w:keepNext/>
              <w:widowControl w:val="0"/>
              <w:spacing w:line="300" w:lineRule="auto"/>
              <w:jc w:val="center"/>
              <w:rPr>
                <w:rFonts w:ascii="Arial" w:hAnsi="Arial" w:cs="Arial"/>
                <w:bCs/>
                <w:sz w:val="20"/>
                <w:szCs w:val="20"/>
              </w:rPr>
            </w:pPr>
            <w:r w:rsidRPr="00637A0F">
              <w:rPr>
                <w:rFonts w:ascii="Arial" w:hAnsi="Arial" w:cs="Arial"/>
                <w:bCs/>
                <w:sz w:val="20"/>
                <w:szCs w:val="20"/>
              </w:rPr>
              <w:t>All other households</w:t>
            </w:r>
          </w:p>
        </w:tc>
        <w:tc>
          <w:tcPr>
            <w:tcW w:w="1532" w:type="dxa"/>
            <w:vAlign w:val="center"/>
          </w:tcPr>
          <w:p w14:paraId="3328BF4C" w14:textId="77777777" w:rsidR="00886414" w:rsidRPr="00637A0F" w:rsidRDefault="00886414" w:rsidP="001851B2">
            <w:pPr>
              <w:keepNext/>
              <w:widowControl w:val="0"/>
              <w:spacing w:line="300" w:lineRule="auto"/>
              <w:jc w:val="center"/>
              <w:rPr>
                <w:rFonts w:ascii="Arial" w:hAnsi="Arial" w:cs="Arial"/>
                <w:bCs/>
                <w:sz w:val="20"/>
                <w:szCs w:val="20"/>
              </w:rPr>
            </w:pPr>
            <w:r w:rsidRPr="00637A0F">
              <w:rPr>
                <w:rFonts w:ascii="Arial" w:hAnsi="Arial" w:cs="Arial"/>
                <w:bCs/>
                <w:sz w:val="20"/>
                <w:szCs w:val="20"/>
              </w:rPr>
              <w:t>Total</w:t>
            </w:r>
          </w:p>
        </w:tc>
      </w:tr>
      <w:tr w:rsidR="00886414" w:rsidRPr="00637A0F" w14:paraId="7595F74F" w14:textId="77777777" w:rsidTr="008469E3">
        <w:tc>
          <w:tcPr>
            <w:tcW w:w="1441" w:type="dxa"/>
            <w:vMerge w:val="restart"/>
          </w:tcPr>
          <w:p w14:paraId="4D2C0B40" w14:textId="77777777" w:rsidR="00886414" w:rsidRPr="00637A0F" w:rsidRDefault="00886414" w:rsidP="001851B2">
            <w:pPr>
              <w:keepNext/>
              <w:spacing w:line="300" w:lineRule="auto"/>
              <w:rPr>
                <w:rFonts w:ascii="Arial" w:hAnsi="Arial" w:cs="Arial"/>
                <w:color w:val="000000"/>
                <w:sz w:val="20"/>
                <w:szCs w:val="20"/>
              </w:rPr>
            </w:pPr>
            <w:r w:rsidRPr="00637A0F">
              <w:rPr>
                <w:rFonts w:ascii="Arial" w:hAnsi="Arial" w:cs="Arial"/>
                <w:color w:val="000000"/>
                <w:sz w:val="20"/>
                <w:szCs w:val="20"/>
              </w:rPr>
              <w:t>St. Annes</w:t>
            </w:r>
          </w:p>
        </w:tc>
        <w:tc>
          <w:tcPr>
            <w:tcW w:w="540" w:type="dxa"/>
          </w:tcPr>
          <w:p w14:paraId="2DB8764F"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No.</w:t>
            </w:r>
          </w:p>
        </w:tc>
        <w:tc>
          <w:tcPr>
            <w:tcW w:w="1531" w:type="dxa"/>
            <w:vAlign w:val="bottom"/>
          </w:tcPr>
          <w:p w14:paraId="189F894C" w14:textId="5436C761"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632</w:t>
            </w:r>
          </w:p>
        </w:tc>
        <w:tc>
          <w:tcPr>
            <w:tcW w:w="1532" w:type="dxa"/>
            <w:vAlign w:val="bottom"/>
          </w:tcPr>
          <w:p w14:paraId="3B62DEDC" w14:textId="0C2977E2"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2,066</w:t>
            </w:r>
          </w:p>
        </w:tc>
        <w:tc>
          <w:tcPr>
            <w:tcW w:w="1531" w:type="dxa"/>
            <w:vAlign w:val="bottom"/>
          </w:tcPr>
          <w:p w14:paraId="5B0C64E1" w14:textId="5756376D"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2,132</w:t>
            </w:r>
          </w:p>
        </w:tc>
        <w:tc>
          <w:tcPr>
            <w:tcW w:w="1532" w:type="dxa"/>
            <w:vAlign w:val="bottom"/>
          </w:tcPr>
          <w:p w14:paraId="0586E61B" w14:textId="0FC690C8"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8,981</w:t>
            </w:r>
          </w:p>
        </w:tc>
        <w:tc>
          <w:tcPr>
            <w:tcW w:w="1532" w:type="dxa"/>
            <w:vAlign w:val="bottom"/>
          </w:tcPr>
          <w:p w14:paraId="23364F89" w14:textId="3918241F"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13,811</w:t>
            </w:r>
          </w:p>
        </w:tc>
      </w:tr>
      <w:tr w:rsidR="00886414" w:rsidRPr="00637A0F" w14:paraId="6383AE58" w14:textId="77777777" w:rsidTr="008469E3">
        <w:tc>
          <w:tcPr>
            <w:tcW w:w="1441" w:type="dxa"/>
            <w:vMerge/>
          </w:tcPr>
          <w:p w14:paraId="153D88EA" w14:textId="77777777" w:rsidR="00886414" w:rsidRPr="00637A0F" w:rsidRDefault="00886414" w:rsidP="001851B2">
            <w:pPr>
              <w:keepNext/>
              <w:spacing w:line="300" w:lineRule="auto"/>
              <w:rPr>
                <w:rFonts w:ascii="Arial" w:hAnsi="Arial" w:cs="Arial"/>
                <w:sz w:val="20"/>
                <w:szCs w:val="20"/>
              </w:rPr>
            </w:pPr>
          </w:p>
        </w:tc>
        <w:tc>
          <w:tcPr>
            <w:tcW w:w="540" w:type="dxa"/>
          </w:tcPr>
          <w:p w14:paraId="74BA2C2E"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w:t>
            </w:r>
          </w:p>
        </w:tc>
        <w:tc>
          <w:tcPr>
            <w:tcW w:w="1531" w:type="dxa"/>
            <w:vAlign w:val="bottom"/>
          </w:tcPr>
          <w:p w14:paraId="253DE33D" w14:textId="0A10922B"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4.6%</w:t>
            </w:r>
          </w:p>
        </w:tc>
        <w:tc>
          <w:tcPr>
            <w:tcW w:w="1532" w:type="dxa"/>
            <w:vAlign w:val="bottom"/>
          </w:tcPr>
          <w:p w14:paraId="52435ED2" w14:textId="573EBB8C"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15.0%</w:t>
            </w:r>
          </w:p>
        </w:tc>
        <w:tc>
          <w:tcPr>
            <w:tcW w:w="1531" w:type="dxa"/>
            <w:vAlign w:val="bottom"/>
          </w:tcPr>
          <w:p w14:paraId="7D9978F3" w14:textId="558F09C7"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15.4%</w:t>
            </w:r>
          </w:p>
        </w:tc>
        <w:tc>
          <w:tcPr>
            <w:tcW w:w="1532" w:type="dxa"/>
            <w:vAlign w:val="bottom"/>
          </w:tcPr>
          <w:p w14:paraId="03C1FA3E" w14:textId="500FD45D"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65.0%</w:t>
            </w:r>
          </w:p>
        </w:tc>
        <w:tc>
          <w:tcPr>
            <w:tcW w:w="1532" w:type="dxa"/>
            <w:vAlign w:val="bottom"/>
          </w:tcPr>
          <w:p w14:paraId="43A9C8A8" w14:textId="26D23759"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100.0%</w:t>
            </w:r>
          </w:p>
        </w:tc>
      </w:tr>
      <w:tr w:rsidR="00886414" w:rsidRPr="00637A0F" w14:paraId="48057575" w14:textId="77777777" w:rsidTr="008469E3">
        <w:tc>
          <w:tcPr>
            <w:tcW w:w="1441" w:type="dxa"/>
            <w:vMerge w:val="restart"/>
          </w:tcPr>
          <w:p w14:paraId="4DC45397" w14:textId="77777777" w:rsidR="00886414" w:rsidRPr="00637A0F" w:rsidRDefault="00886414" w:rsidP="001851B2">
            <w:pPr>
              <w:keepNext/>
              <w:spacing w:line="300" w:lineRule="auto"/>
              <w:rPr>
                <w:rFonts w:ascii="Arial" w:hAnsi="Arial" w:cs="Arial"/>
                <w:sz w:val="20"/>
                <w:szCs w:val="20"/>
              </w:rPr>
            </w:pPr>
            <w:r w:rsidRPr="00637A0F">
              <w:rPr>
                <w:rFonts w:ascii="Arial" w:hAnsi="Arial" w:cs="Arial"/>
                <w:sz w:val="20"/>
                <w:szCs w:val="20"/>
              </w:rPr>
              <w:t>Lytham</w:t>
            </w:r>
          </w:p>
        </w:tc>
        <w:tc>
          <w:tcPr>
            <w:tcW w:w="540" w:type="dxa"/>
          </w:tcPr>
          <w:p w14:paraId="7FC797BA"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No.</w:t>
            </w:r>
          </w:p>
        </w:tc>
        <w:tc>
          <w:tcPr>
            <w:tcW w:w="1531" w:type="dxa"/>
            <w:vAlign w:val="bottom"/>
          </w:tcPr>
          <w:p w14:paraId="2714AC8A" w14:textId="0C50D4D1"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342</w:t>
            </w:r>
          </w:p>
        </w:tc>
        <w:tc>
          <w:tcPr>
            <w:tcW w:w="1532" w:type="dxa"/>
            <w:vAlign w:val="bottom"/>
          </w:tcPr>
          <w:p w14:paraId="5F2BE83F" w14:textId="07510067"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1,554</w:t>
            </w:r>
          </w:p>
        </w:tc>
        <w:tc>
          <w:tcPr>
            <w:tcW w:w="1531" w:type="dxa"/>
            <w:vAlign w:val="bottom"/>
          </w:tcPr>
          <w:p w14:paraId="3279A8FB" w14:textId="2E8DAB89"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934</w:t>
            </w:r>
          </w:p>
        </w:tc>
        <w:tc>
          <w:tcPr>
            <w:tcW w:w="1532" w:type="dxa"/>
            <w:vAlign w:val="bottom"/>
          </w:tcPr>
          <w:p w14:paraId="005474D6" w14:textId="21CECD3F"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5,669</w:t>
            </w:r>
          </w:p>
        </w:tc>
        <w:tc>
          <w:tcPr>
            <w:tcW w:w="1532" w:type="dxa"/>
            <w:vAlign w:val="bottom"/>
          </w:tcPr>
          <w:p w14:paraId="4312EC71" w14:textId="691E7478"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8,498</w:t>
            </w:r>
          </w:p>
        </w:tc>
      </w:tr>
      <w:tr w:rsidR="00886414" w:rsidRPr="00637A0F" w14:paraId="61E87EB2" w14:textId="77777777" w:rsidTr="008469E3">
        <w:tc>
          <w:tcPr>
            <w:tcW w:w="1441" w:type="dxa"/>
            <w:vMerge/>
          </w:tcPr>
          <w:p w14:paraId="1477D988" w14:textId="77777777" w:rsidR="00886414" w:rsidRPr="00637A0F" w:rsidRDefault="00886414" w:rsidP="001851B2">
            <w:pPr>
              <w:keepNext/>
              <w:spacing w:line="300" w:lineRule="auto"/>
              <w:rPr>
                <w:rFonts w:ascii="Arial" w:hAnsi="Arial" w:cs="Arial"/>
                <w:sz w:val="20"/>
                <w:szCs w:val="20"/>
              </w:rPr>
            </w:pPr>
          </w:p>
        </w:tc>
        <w:tc>
          <w:tcPr>
            <w:tcW w:w="540" w:type="dxa"/>
          </w:tcPr>
          <w:p w14:paraId="54E0E995"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w:t>
            </w:r>
          </w:p>
        </w:tc>
        <w:tc>
          <w:tcPr>
            <w:tcW w:w="1531" w:type="dxa"/>
            <w:vAlign w:val="bottom"/>
          </w:tcPr>
          <w:p w14:paraId="536DD54A" w14:textId="1DA938E4"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4.0%</w:t>
            </w:r>
          </w:p>
        </w:tc>
        <w:tc>
          <w:tcPr>
            <w:tcW w:w="1532" w:type="dxa"/>
            <w:vAlign w:val="bottom"/>
          </w:tcPr>
          <w:p w14:paraId="379C61C2" w14:textId="70705E32"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18.3%</w:t>
            </w:r>
          </w:p>
        </w:tc>
        <w:tc>
          <w:tcPr>
            <w:tcW w:w="1531" w:type="dxa"/>
            <w:vAlign w:val="bottom"/>
          </w:tcPr>
          <w:p w14:paraId="055F1C35" w14:textId="58E99E09"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11.0%</w:t>
            </w:r>
          </w:p>
        </w:tc>
        <w:tc>
          <w:tcPr>
            <w:tcW w:w="1532" w:type="dxa"/>
            <w:vAlign w:val="bottom"/>
          </w:tcPr>
          <w:p w14:paraId="2CC9D0BB" w14:textId="38E995CC"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66.7%</w:t>
            </w:r>
          </w:p>
        </w:tc>
        <w:tc>
          <w:tcPr>
            <w:tcW w:w="1532" w:type="dxa"/>
            <w:vAlign w:val="bottom"/>
          </w:tcPr>
          <w:p w14:paraId="5559679B" w14:textId="388B0019"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100.0%</w:t>
            </w:r>
          </w:p>
        </w:tc>
      </w:tr>
      <w:tr w:rsidR="00886414" w:rsidRPr="00637A0F" w14:paraId="68936889" w14:textId="77777777" w:rsidTr="008469E3">
        <w:tc>
          <w:tcPr>
            <w:tcW w:w="1441" w:type="dxa"/>
            <w:vMerge w:val="restart"/>
          </w:tcPr>
          <w:p w14:paraId="2F516741" w14:textId="77777777" w:rsidR="00886414" w:rsidRPr="00637A0F" w:rsidRDefault="00886414" w:rsidP="001851B2">
            <w:pPr>
              <w:keepNext/>
              <w:spacing w:line="300" w:lineRule="auto"/>
              <w:rPr>
                <w:rFonts w:ascii="Arial" w:hAnsi="Arial" w:cs="Arial"/>
                <w:color w:val="000000"/>
                <w:sz w:val="20"/>
                <w:szCs w:val="20"/>
              </w:rPr>
            </w:pPr>
            <w:r w:rsidRPr="00637A0F">
              <w:rPr>
                <w:rFonts w:ascii="Arial" w:hAnsi="Arial" w:cs="Arial"/>
                <w:color w:val="000000"/>
                <w:sz w:val="20"/>
                <w:szCs w:val="20"/>
              </w:rPr>
              <w:t>Warton</w:t>
            </w:r>
          </w:p>
        </w:tc>
        <w:tc>
          <w:tcPr>
            <w:tcW w:w="540" w:type="dxa"/>
          </w:tcPr>
          <w:p w14:paraId="60F2F45D"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No.</w:t>
            </w:r>
          </w:p>
        </w:tc>
        <w:tc>
          <w:tcPr>
            <w:tcW w:w="1531" w:type="dxa"/>
            <w:vAlign w:val="bottom"/>
          </w:tcPr>
          <w:p w14:paraId="63958620" w14:textId="6985F771"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305</w:t>
            </w:r>
          </w:p>
        </w:tc>
        <w:tc>
          <w:tcPr>
            <w:tcW w:w="1532" w:type="dxa"/>
            <w:vAlign w:val="bottom"/>
          </w:tcPr>
          <w:p w14:paraId="7A475A81" w14:textId="6D00BF10"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413</w:t>
            </w:r>
          </w:p>
        </w:tc>
        <w:tc>
          <w:tcPr>
            <w:tcW w:w="1531" w:type="dxa"/>
            <w:vAlign w:val="bottom"/>
          </w:tcPr>
          <w:p w14:paraId="1E6801C0" w14:textId="5C796F2A"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256</w:t>
            </w:r>
          </w:p>
        </w:tc>
        <w:tc>
          <w:tcPr>
            <w:tcW w:w="1532" w:type="dxa"/>
            <w:vAlign w:val="bottom"/>
          </w:tcPr>
          <w:p w14:paraId="1717D208" w14:textId="5D973431"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1,170</w:t>
            </w:r>
          </w:p>
        </w:tc>
        <w:tc>
          <w:tcPr>
            <w:tcW w:w="1532" w:type="dxa"/>
            <w:vAlign w:val="bottom"/>
          </w:tcPr>
          <w:p w14:paraId="07E147FD" w14:textId="5955EC54"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2,144</w:t>
            </w:r>
          </w:p>
        </w:tc>
      </w:tr>
      <w:tr w:rsidR="00886414" w:rsidRPr="00637A0F" w14:paraId="59FED88E" w14:textId="77777777" w:rsidTr="008469E3">
        <w:tc>
          <w:tcPr>
            <w:tcW w:w="1441" w:type="dxa"/>
            <w:vMerge/>
          </w:tcPr>
          <w:p w14:paraId="7A1E2F60" w14:textId="77777777" w:rsidR="00886414" w:rsidRPr="00637A0F" w:rsidRDefault="00886414" w:rsidP="001851B2">
            <w:pPr>
              <w:keepNext/>
              <w:spacing w:line="300" w:lineRule="auto"/>
              <w:rPr>
                <w:rFonts w:ascii="Arial" w:hAnsi="Arial" w:cs="Arial"/>
                <w:color w:val="000000"/>
                <w:sz w:val="20"/>
                <w:szCs w:val="20"/>
              </w:rPr>
            </w:pPr>
          </w:p>
        </w:tc>
        <w:tc>
          <w:tcPr>
            <w:tcW w:w="540" w:type="dxa"/>
          </w:tcPr>
          <w:p w14:paraId="730C6D62"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w:t>
            </w:r>
          </w:p>
        </w:tc>
        <w:tc>
          <w:tcPr>
            <w:tcW w:w="1531" w:type="dxa"/>
            <w:vAlign w:val="bottom"/>
          </w:tcPr>
          <w:p w14:paraId="3ECD3E04" w14:textId="61E10E46"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14.2%</w:t>
            </w:r>
          </w:p>
        </w:tc>
        <w:tc>
          <w:tcPr>
            <w:tcW w:w="1532" w:type="dxa"/>
            <w:vAlign w:val="bottom"/>
          </w:tcPr>
          <w:p w14:paraId="62D0EB34" w14:textId="5C38253B"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19.3%</w:t>
            </w:r>
          </w:p>
        </w:tc>
        <w:tc>
          <w:tcPr>
            <w:tcW w:w="1531" w:type="dxa"/>
            <w:vAlign w:val="bottom"/>
          </w:tcPr>
          <w:p w14:paraId="03DC1C3C" w14:textId="2000D07A"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12.0%</w:t>
            </w:r>
          </w:p>
        </w:tc>
        <w:tc>
          <w:tcPr>
            <w:tcW w:w="1532" w:type="dxa"/>
            <w:vAlign w:val="bottom"/>
          </w:tcPr>
          <w:p w14:paraId="2E33E451" w14:textId="79889B47"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54.6%</w:t>
            </w:r>
          </w:p>
        </w:tc>
        <w:tc>
          <w:tcPr>
            <w:tcW w:w="1532" w:type="dxa"/>
            <w:vAlign w:val="bottom"/>
          </w:tcPr>
          <w:p w14:paraId="17CACBF3" w14:textId="5F47826B"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100.0%</w:t>
            </w:r>
          </w:p>
        </w:tc>
      </w:tr>
      <w:tr w:rsidR="00886414" w:rsidRPr="00637A0F" w14:paraId="5A91BC8D" w14:textId="77777777" w:rsidTr="008469E3">
        <w:tc>
          <w:tcPr>
            <w:tcW w:w="1441" w:type="dxa"/>
            <w:vMerge w:val="restart"/>
          </w:tcPr>
          <w:p w14:paraId="20C6B108" w14:textId="77777777" w:rsidR="00886414" w:rsidRPr="00637A0F" w:rsidRDefault="00886414" w:rsidP="001851B2">
            <w:pPr>
              <w:keepNext/>
              <w:spacing w:line="300" w:lineRule="auto"/>
              <w:rPr>
                <w:rFonts w:ascii="Arial" w:hAnsi="Arial" w:cs="Arial"/>
                <w:color w:val="000000"/>
                <w:sz w:val="20"/>
                <w:szCs w:val="20"/>
              </w:rPr>
            </w:pPr>
            <w:r w:rsidRPr="00637A0F">
              <w:rPr>
                <w:rFonts w:ascii="Arial" w:hAnsi="Arial" w:cs="Arial"/>
                <w:color w:val="000000"/>
                <w:sz w:val="20"/>
                <w:szCs w:val="20"/>
              </w:rPr>
              <w:t>Fylde/BP Periphery</w:t>
            </w:r>
          </w:p>
        </w:tc>
        <w:tc>
          <w:tcPr>
            <w:tcW w:w="540" w:type="dxa"/>
          </w:tcPr>
          <w:p w14:paraId="01823389"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No.</w:t>
            </w:r>
          </w:p>
        </w:tc>
        <w:tc>
          <w:tcPr>
            <w:tcW w:w="1531" w:type="dxa"/>
            <w:vAlign w:val="bottom"/>
          </w:tcPr>
          <w:p w14:paraId="7AFFC803" w14:textId="5922C354"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259</w:t>
            </w:r>
          </w:p>
        </w:tc>
        <w:tc>
          <w:tcPr>
            <w:tcW w:w="1532" w:type="dxa"/>
            <w:vAlign w:val="bottom"/>
          </w:tcPr>
          <w:p w14:paraId="41A9129A" w14:textId="5D5F9E0C"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204</w:t>
            </w:r>
          </w:p>
        </w:tc>
        <w:tc>
          <w:tcPr>
            <w:tcW w:w="1531" w:type="dxa"/>
            <w:vAlign w:val="bottom"/>
          </w:tcPr>
          <w:p w14:paraId="0E3B7889" w14:textId="692ACB03"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221</w:t>
            </w:r>
          </w:p>
        </w:tc>
        <w:tc>
          <w:tcPr>
            <w:tcW w:w="1532" w:type="dxa"/>
            <w:vAlign w:val="bottom"/>
          </w:tcPr>
          <w:p w14:paraId="1A8BEA67" w14:textId="0A4C3E0A"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446</w:t>
            </w:r>
          </w:p>
        </w:tc>
        <w:tc>
          <w:tcPr>
            <w:tcW w:w="1532" w:type="dxa"/>
            <w:vAlign w:val="bottom"/>
          </w:tcPr>
          <w:p w14:paraId="04AC219A" w14:textId="2B62E4DF"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1,129</w:t>
            </w:r>
          </w:p>
        </w:tc>
      </w:tr>
      <w:tr w:rsidR="00886414" w:rsidRPr="00637A0F" w14:paraId="4787E2D1" w14:textId="77777777" w:rsidTr="008469E3">
        <w:tc>
          <w:tcPr>
            <w:tcW w:w="1441" w:type="dxa"/>
            <w:vMerge/>
          </w:tcPr>
          <w:p w14:paraId="23FB627D" w14:textId="77777777" w:rsidR="00886414" w:rsidRPr="00637A0F" w:rsidRDefault="00886414" w:rsidP="001851B2">
            <w:pPr>
              <w:keepNext/>
              <w:spacing w:line="300" w:lineRule="auto"/>
              <w:rPr>
                <w:rFonts w:ascii="Arial" w:hAnsi="Arial" w:cs="Arial"/>
                <w:color w:val="000000"/>
                <w:sz w:val="20"/>
                <w:szCs w:val="20"/>
              </w:rPr>
            </w:pPr>
          </w:p>
        </w:tc>
        <w:tc>
          <w:tcPr>
            <w:tcW w:w="540" w:type="dxa"/>
          </w:tcPr>
          <w:p w14:paraId="7DFE1326"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w:t>
            </w:r>
          </w:p>
        </w:tc>
        <w:tc>
          <w:tcPr>
            <w:tcW w:w="1531" w:type="dxa"/>
            <w:vAlign w:val="bottom"/>
          </w:tcPr>
          <w:p w14:paraId="17318C6C" w14:textId="07ED964B"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22.9%</w:t>
            </w:r>
          </w:p>
        </w:tc>
        <w:tc>
          <w:tcPr>
            <w:tcW w:w="1532" w:type="dxa"/>
            <w:vAlign w:val="bottom"/>
          </w:tcPr>
          <w:p w14:paraId="62E4C933" w14:textId="0CBD95A2"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18.0%</w:t>
            </w:r>
          </w:p>
        </w:tc>
        <w:tc>
          <w:tcPr>
            <w:tcW w:w="1531" w:type="dxa"/>
            <w:vAlign w:val="bottom"/>
          </w:tcPr>
          <w:p w14:paraId="7E078BAE" w14:textId="15712EDB"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19.5%</w:t>
            </w:r>
          </w:p>
        </w:tc>
        <w:tc>
          <w:tcPr>
            <w:tcW w:w="1532" w:type="dxa"/>
            <w:vAlign w:val="bottom"/>
          </w:tcPr>
          <w:p w14:paraId="02869078" w14:textId="76E00F22"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39.5%</w:t>
            </w:r>
          </w:p>
        </w:tc>
        <w:tc>
          <w:tcPr>
            <w:tcW w:w="1532" w:type="dxa"/>
            <w:vAlign w:val="bottom"/>
          </w:tcPr>
          <w:p w14:paraId="7F61019D" w14:textId="0EFF1DE5"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100.0%</w:t>
            </w:r>
          </w:p>
        </w:tc>
      </w:tr>
      <w:tr w:rsidR="00886414" w:rsidRPr="00637A0F" w14:paraId="4F40C4F2" w14:textId="77777777" w:rsidTr="008469E3">
        <w:tc>
          <w:tcPr>
            <w:tcW w:w="1441" w:type="dxa"/>
            <w:vMerge w:val="restart"/>
          </w:tcPr>
          <w:p w14:paraId="4315435E" w14:textId="77777777" w:rsidR="00886414" w:rsidRPr="00637A0F" w:rsidRDefault="00886414" w:rsidP="001851B2">
            <w:pPr>
              <w:keepNext/>
              <w:spacing w:line="300" w:lineRule="auto"/>
              <w:rPr>
                <w:rFonts w:ascii="Arial" w:hAnsi="Arial" w:cs="Arial"/>
                <w:color w:val="000000"/>
                <w:sz w:val="20"/>
                <w:szCs w:val="20"/>
              </w:rPr>
            </w:pPr>
            <w:r w:rsidRPr="00637A0F">
              <w:rPr>
                <w:rFonts w:ascii="Arial" w:hAnsi="Arial" w:cs="Arial"/>
                <w:color w:val="000000"/>
                <w:sz w:val="20"/>
                <w:szCs w:val="20"/>
              </w:rPr>
              <w:t>Kirkham</w:t>
            </w:r>
          </w:p>
        </w:tc>
        <w:tc>
          <w:tcPr>
            <w:tcW w:w="540" w:type="dxa"/>
          </w:tcPr>
          <w:p w14:paraId="21C64604"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No.</w:t>
            </w:r>
          </w:p>
        </w:tc>
        <w:tc>
          <w:tcPr>
            <w:tcW w:w="1531" w:type="dxa"/>
            <w:vAlign w:val="bottom"/>
          </w:tcPr>
          <w:p w14:paraId="4E78CB43" w14:textId="38F6BA5F"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80</w:t>
            </w:r>
          </w:p>
        </w:tc>
        <w:tc>
          <w:tcPr>
            <w:tcW w:w="1532" w:type="dxa"/>
            <w:vAlign w:val="bottom"/>
          </w:tcPr>
          <w:p w14:paraId="0B1AB1F1" w14:textId="1C7F4191"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477</w:t>
            </w:r>
          </w:p>
        </w:tc>
        <w:tc>
          <w:tcPr>
            <w:tcW w:w="1531" w:type="dxa"/>
            <w:vAlign w:val="bottom"/>
          </w:tcPr>
          <w:p w14:paraId="1A2933E9" w14:textId="640C31A2"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360</w:t>
            </w:r>
          </w:p>
        </w:tc>
        <w:tc>
          <w:tcPr>
            <w:tcW w:w="1532" w:type="dxa"/>
            <w:vAlign w:val="bottom"/>
          </w:tcPr>
          <w:p w14:paraId="39B91E74" w14:textId="18D29D94"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2,368</w:t>
            </w:r>
          </w:p>
        </w:tc>
        <w:tc>
          <w:tcPr>
            <w:tcW w:w="1532" w:type="dxa"/>
            <w:vAlign w:val="bottom"/>
          </w:tcPr>
          <w:p w14:paraId="0DD21372" w14:textId="41B62679"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3,285</w:t>
            </w:r>
          </w:p>
        </w:tc>
      </w:tr>
      <w:tr w:rsidR="00886414" w:rsidRPr="00637A0F" w14:paraId="623F543A" w14:textId="77777777" w:rsidTr="008469E3">
        <w:tc>
          <w:tcPr>
            <w:tcW w:w="1441" w:type="dxa"/>
            <w:vMerge/>
          </w:tcPr>
          <w:p w14:paraId="02D04B2A" w14:textId="77777777" w:rsidR="00886414" w:rsidRPr="00637A0F" w:rsidRDefault="00886414" w:rsidP="001851B2">
            <w:pPr>
              <w:keepNext/>
              <w:spacing w:line="300" w:lineRule="auto"/>
              <w:rPr>
                <w:rFonts w:ascii="Arial" w:hAnsi="Arial" w:cs="Arial"/>
                <w:color w:val="000000"/>
                <w:sz w:val="20"/>
                <w:szCs w:val="20"/>
              </w:rPr>
            </w:pPr>
          </w:p>
        </w:tc>
        <w:tc>
          <w:tcPr>
            <w:tcW w:w="540" w:type="dxa"/>
          </w:tcPr>
          <w:p w14:paraId="0BE0362B"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w:t>
            </w:r>
          </w:p>
        </w:tc>
        <w:tc>
          <w:tcPr>
            <w:tcW w:w="1531" w:type="dxa"/>
            <w:vAlign w:val="bottom"/>
          </w:tcPr>
          <w:p w14:paraId="338AD409" w14:textId="79F731D5"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2.4%</w:t>
            </w:r>
          </w:p>
        </w:tc>
        <w:tc>
          <w:tcPr>
            <w:tcW w:w="1532" w:type="dxa"/>
            <w:vAlign w:val="bottom"/>
          </w:tcPr>
          <w:p w14:paraId="6FF52184" w14:textId="73C49E77"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14.5%</w:t>
            </w:r>
          </w:p>
        </w:tc>
        <w:tc>
          <w:tcPr>
            <w:tcW w:w="1531" w:type="dxa"/>
            <w:vAlign w:val="bottom"/>
          </w:tcPr>
          <w:p w14:paraId="2A13C81E" w14:textId="7496B573"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11.0%</w:t>
            </w:r>
          </w:p>
        </w:tc>
        <w:tc>
          <w:tcPr>
            <w:tcW w:w="1532" w:type="dxa"/>
            <w:vAlign w:val="bottom"/>
          </w:tcPr>
          <w:p w14:paraId="53F0EC35" w14:textId="4BB111D3"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72.1%</w:t>
            </w:r>
          </w:p>
        </w:tc>
        <w:tc>
          <w:tcPr>
            <w:tcW w:w="1532" w:type="dxa"/>
            <w:vAlign w:val="bottom"/>
          </w:tcPr>
          <w:p w14:paraId="5CA287C4" w14:textId="691556AE"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100.0%</w:t>
            </w:r>
          </w:p>
        </w:tc>
      </w:tr>
      <w:tr w:rsidR="00886414" w:rsidRPr="00637A0F" w14:paraId="00FF8F75" w14:textId="77777777" w:rsidTr="008469E3">
        <w:tc>
          <w:tcPr>
            <w:tcW w:w="1441" w:type="dxa"/>
            <w:vMerge w:val="restart"/>
          </w:tcPr>
          <w:p w14:paraId="328F0FBC" w14:textId="77777777" w:rsidR="00886414" w:rsidRPr="00637A0F" w:rsidRDefault="00886414" w:rsidP="001851B2">
            <w:pPr>
              <w:keepNext/>
              <w:spacing w:line="300" w:lineRule="auto"/>
              <w:rPr>
                <w:rFonts w:ascii="Arial" w:hAnsi="Arial" w:cs="Arial"/>
                <w:sz w:val="20"/>
                <w:szCs w:val="20"/>
              </w:rPr>
            </w:pPr>
            <w:r w:rsidRPr="00637A0F">
              <w:rPr>
                <w:rFonts w:ascii="Arial" w:hAnsi="Arial" w:cs="Arial"/>
                <w:sz w:val="20"/>
                <w:szCs w:val="20"/>
              </w:rPr>
              <w:t>Wesham</w:t>
            </w:r>
          </w:p>
        </w:tc>
        <w:tc>
          <w:tcPr>
            <w:tcW w:w="540" w:type="dxa"/>
          </w:tcPr>
          <w:p w14:paraId="355B70E5"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No.</w:t>
            </w:r>
          </w:p>
        </w:tc>
        <w:tc>
          <w:tcPr>
            <w:tcW w:w="1531" w:type="dxa"/>
            <w:vAlign w:val="bottom"/>
          </w:tcPr>
          <w:p w14:paraId="1006D39E" w14:textId="2C65BA79"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189</w:t>
            </w:r>
          </w:p>
        </w:tc>
        <w:tc>
          <w:tcPr>
            <w:tcW w:w="1532" w:type="dxa"/>
            <w:vAlign w:val="bottom"/>
          </w:tcPr>
          <w:p w14:paraId="70F10061" w14:textId="4872B8B7"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216</w:t>
            </w:r>
          </w:p>
        </w:tc>
        <w:tc>
          <w:tcPr>
            <w:tcW w:w="1531" w:type="dxa"/>
            <w:vAlign w:val="bottom"/>
          </w:tcPr>
          <w:p w14:paraId="68A87AFA" w14:textId="5022B4C9"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292</w:t>
            </w:r>
          </w:p>
        </w:tc>
        <w:tc>
          <w:tcPr>
            <w:tcW w:w="1532" w:type="dxa"/>
            <w:vAlign w:val="bottom"/>
          </w:tcPr>
          <w:p w14:paraId="2282BED6" w14:textId="33639713"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1,244</w:t>
            </w:r>
          </w:p>
        </w:tc>
        <w:tc>
          <w:tcPr>
            <w:tcW w:w="1532" w:type="dxa"/>
            <w:vAlign w:val="bottom"/>
          </w:tcPr>
          <w:p w14:paraId="0CDFCE71" w14:textId="4ADEDBC0"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1,942</w:t>
            </w:r>
          </w:p>
        </w:tc>
      </w:tr>
      <w:tr w:rsidR="00886414" w:rsidRPr="00637A0F" w14:paraId="407F2426" w14:textId="77777777" w:rsidTr="008469E3">
        <w:tc>
          <w:tcPr>
            <w:tcW w:w="1441" w:type="dxa"/>
            <w:vMerge/>
          </w:tcPr>
          <w:p w14:paraId="672F3D24" w14:textId="77777777" w:rsidR="00886414" w:rsidRPr="00637A0F" w:rsidRDefault="00886414" w:rsidP="001851B2">
            <w:pPr>
              <w:keepNext/>
              <w:spacing w:line="300" w:lineRule="auto"/>
              <w:rPr>
                <w:rFonts w:ascii="Arial" w:hAnsi="Arial" w:cs="Arial"/>
                <w:sz w:val="20"/>
                <w:szCs w:val="20"/>
              </w:rPr>
            </w:pPr>
          </w:p>
        </w:tc>
        <w:tc>
          <w:tcPr>
            <w:tcW w:w="540" w:type="dxa"/>
          </w:tcPr>
          <w:p w14:paraId="1A496C6B"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w:t>
            </w:r>
          </w:p>
        </w:tc>
        <w:tc>
          <w:tcPr>
            <w:tcW w:w="1531" w:type="dxa"/>
            <w:vAlign w:val="bottom"/>
          </w:tcPr>
          <w:p w14:paraId="0DD0F7C0" w14:textId="5C572A98"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9.8%</w:t>
            </w:r>
          </w:p>
        </w:tc>
        <w:tc>
          <w:tcPr>
            <w:tcW w:w="1532" w:type="dxa"/>
            <w:vAlign w:val="bottom"/>
          </w:tcPr>
          <w:p w14:paraId="24BD410A" w14:textId="7569194D"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11.1%</w:t>
            </w:r>
          </w:p>
        </w:tc>
        <w:tc>
          <w:tcPr>
            <w:tcW w:w="1531" w:type="dxa"/>
            <w:vAlign w:val="bottom"/>
          </w:tcPr>
          <w:p w14:paraId="0B74F0A2" w14:textId="0608CC60"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15.0%</w:t>
            </w:r>
          </w:p>
        </w:tc>
        <w:tc>
          <w:tcPr>
            <w:tcW w:w="1532" w:type="dxa"/>
            <w:vAlign w:val="bottom"/>
          </w:tcPr>
          <w:p w14:paraId="20401BB8" w14:textId="665533E9"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64.1%</w:t>
            </w:r>
          </w:p>
        </w:tc>
        <w:tc>
          <w:tcPr>
            <w:tcW w:w="1532" w:type="dxa"/>
            <w:vAlign w:val="bottom"/>
          </w:tcPr>
          <w:p w14:paraId="56742368" w14:textId="641CCC2B"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100.0%</w:t>
            </w:r>
          </w:p>
        </w:tc>
      </w:tr>
      <w:tr w:rsidR="00886414" w:rsidRPr="00637A0F" w14:paraId="50E59717" w14:textId="77777777" w:rsidTr="008469E3">
        <w:tc>
          <w:tcPr>
            <w:tcW w:w="1441" w:type="dxa"/>
            <w:vMerge w:val="restart"/>
          </w:tcPr>
          <w:p w14:paraId="689A97B3" w14:textId="77777777" w:rsidR="00886414" w:rsidRPr="00637A0F" w:rsidRDefault="00886414" w:rsidP="001851B2">
            <w:pPr>
              <w:keepNext/>
              <w:spacing w:line="300" w:lineRule="auto"/>
              <w:rPr>
                <w:rFonts w:ascii="Arial" w:hAnsi="Arial" w:cs="Arial"/>
                <w:sz w:val="20"/>
                <w:szCs w:val="20"/>
              </w:rPr>
            </w:pPr>
            <w:r w:rsidRPr="00637A0F">
              <w:rPr>
                <w:rFonts w:ascii="Arial" w:hAnsi="Arial" w:cs="Arial"/>
                <w:sz w:val="20"/>
                <w:szCs w:val="20"/>
              </w:rPr>
              <w:t>Freckleton</w:t>
            </w:r>
          </w:p>
        </w:tc>
        <w:tc>
          <w:tcPr>
            <w:tcW w:w="540" w:type="dxa"/>
          </w:tcPr>
          <w:p w14:paraId="0DBA9C53"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No.</w:t>
            </w:r>
          </w:p>
        </w:tc>
        <w:tc>
          <w:tcPr>
            <w:tcW w:w="1531" w:type="dxa"/>
            <w:vAlign w:val="bottom"/>
          </w:tcPr>
          <w:p w14:paraId="4B0BDE04" w14:textId="608EDF1F"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240</w:t>
            </w:r>
          </w:p>
        </w:tc>
        <w:tc>
          <w:tcPr>
            <w:tcW w:w="1532" w:type="dxa"/>
            <w:vAlign w:val="bottom"/>
          </w:tcPr>
          <w:p w14:paraId="21510C55" w14:textId="38F8845F"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399</w:t>
            </w:r>
          </w:p>
        </w:tc>
        <w:tc>
          <w:tcPr>
            <w:tcW w:w="1531" w:type="dxa"/>
            <w:vAlign w:val="bottom"/>
          </w:tcPr>
          <w:p w14:paraId="3D52DA4B" w14:textId="28C07C44"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123</w:t>
            </w:r>
          </w:p>
        </w:tc>
        <w:tc>
          <w:tcPr>
            <w:tcW w:w="1532" w:type="dxa"/>
            <w:vAlign w:val="bottom"/>
          </w:tcPr>
          <w:p w14:paraId="2E8D38AD" w14:textId="7BEBECB3"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1,916</w:t>
            </w:r>
          </w:p>
        </w:tc>
        <w:tc>
          <w:tcPr>
            <w:tcW w:w="1532" w:type="dxa"/>
            <w:vAlign w:val="bottom"/>
          </w:tcPr>
          <w:p w14:paraId="7AC41EFC" w14:textId="6FCA9701"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2,678</w:t>
            </w:r>
          </w:p>
        </w:tc>
      </w:tr>
      <w:tr w:rsidR="00886414" w:rsidRPr="00637A0F" w14:paraId="3D385C5D" w14:textId="77777777" w:rsidTr="008469E3">
        <w:tc>
          <w:tcPr>
            <w:tcW w:w="1441" w:type="dxa"/>
            <w:vMerge/>
          </w:tcPr>
          <w:p w14:paraId="12E23CC7" w14:textId="77777777" w:rsidR="00886414" w:rsidRPr="00637A0F" w:rsidRDefault="00886414" w:rsidP="001851B2">
            <w:pPr>
              <w:keepNext/>
              <w:spacing w:line="300" w:lineRule="auto"/>
              <w:rPr>
                <w:rFonts w:ascii="Arial" w:hAnsi="Arial" w:cs="Arial"/>
                <w:sz w:val="20"/>
                <w:szCs w:val="20"/>
              </w:rPr>
            </w:pPr>
          </w:p>
        </w:tc>
        <w:tc>
          <w:tcPr>
            <w:tcW w:w="540" w:type="dxa"/>
          </w:tcPr>
          <w:p w14:paraId="0C425598"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w:t>
            </w:r>
          </w:p>
        </w:tc>
        <w:tc>
          <w:tcPr>
            <w:tcW w:w="1531" w:type="dxa"/>
            <w:vAlign w:val="bottom"/>
          </w:tcPr>
          <w:p w14:paraId="67DA5DA4" w14:textId="625E11E7"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9.0%</w:t>
            </w:r>
          </w:p>
        </w:tc>
        <w:tc>
          <w:tcPr>
            <w:tcW w:w="1532" w:type="dxa"/>
            <w:vAlign w:val="bottom"/>
          </w:tcPr>
          <w:p w14:paraId="3F4749F9" w14:textId="66660208"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14.9%</w:t>
            </w:r>
          </w:p>
        </w:tc>
        <w:tc>
          <w:tcPr>
            <w:tcW w:w="1531" w:type="dxa"/>
            <w:vAlign w:val="bottom"/>
          </w:tcPr>
          <w:p w14:paraId="2CEDB6CA" w14:textId="3C2C9610"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4.6%</w:t>
            </w:r>
          </w:p>
        </w:tc>
        <w:tc>
          <w:tcPr>
            <w:tcW w:w="1532" w:type="dxa"/>
            <w:vAlign w:val="bottom"/>
          </w:tcPr>
          <w:p w14:paraId="368A3B59" w14:textId="466D857A"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71.5%</w:t>
            </w:r>
          </w:p>
        </w:tc>
        <w:tc>
          <w:tcPr>
            <w:tcW w:w="1532" w:type="dxa"/>
            <w:vAlign w:val="bottom"/>
          </w:tcPr>
          <w:p w14:paraId="7013A89C" w14:textId="790F615F"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100.0%</w:t>
            </w:r>
          </w:p>
        </w:tc>
      </w:tr>
      <w:tr w:rsidR="00886414" w:rsidRPr="00637A0F" w14:paraId="3847D110" w14:textId="77777777" w:rsidTr="008469E3">
        <w:tc>
          <w:tcPr>
            <w:tcW w:w="1441" w:type="dxa"/>
            <w:vMerge w:val="restart"/>
          </w:tcPr>
          <w:p w14:paraId="363C20A5" w14:textId="77777777" w:rsidR="00886414" w:rsidRPr="00637A0F" w:rsidRDefault="00886414" w:rsidP="001851B2">
            <w:pPr>
              <w:keepNext/>
              <w:spacing w:line="300" w:lineRule="auto"/>
              <w:rPr>
                <w:rFonts w:ascii="Arial" w:hAnsi="Arial" w:cs="Arial"/>
                <w:sz w:val="20"/>
                <w:szCs w:val="20"/>
              </w:rPr>
            </w:pPr>
            <w:r w:rsidRPr="00637A0F">
              <w:rPr>
                <w:rFonts w:ascii="Arial" w:hAnsi="Arial" w:cs="Arial"/>
                <w:sz w:val="20"/>
                <w:szCs w:val="20"/>
              </w:rPr>
              <w:t>Rural North</w:t>
            </w:r>
          </w:p>
        </w:tc>
        <w:tc>
          <w:tcPr>
            <w:tcW w:w="540" w:type="dxa"/>
          </w:tcPr>
          <w:p w14:paraId="3BBD3102"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No.</w:t>
            </w:r>
          </w:p>
        </w:tc>
        <w:tc>
          <w:tcPr>
            <w:tcW w:w="1531" w:type="dxa"/>
            <w:vAlign w:val="bottom"/>
          </w:tcPr>
          <w:p w14:paraId="640DF61C" w14:textId="432CCFAE"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169</w:t>
            </w:r>
          </w:p>
        </w:tc>
        <w:tc>
          <w:tcPr>
            <w:tcW w:w="1532" w:type="dxa"/>
            <w:vAlign w:val="bottom"/>
          </w:tcPr>
          <w:p w14:paraId="06A78EF4" w14:textId="02401176"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498</w:t>
            </w:r>
          </w:p>
        </w:tc>
        <w:tc>
          <w:tcPr>
            <w:tcW w:w="1531" w:type="dxa"/>
            <w:vAlign w:val="bottom"/>
          </w:tcPr>
          <w:p w14:paraId="6523E701" w14:textId="369B5F61"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153</w:t>
            </w:r>
          </w:p>
        </w:tc>
        <w:tc>
          <w:tcPr>
            <w:tcW w:w="1532" w:type="dxa"/>
            <w:vAlign w:val="bottom"/>
          </w:tcPr>
          <w:p w14:paraId="2D61EC54" w14:textId="77FB3FC8"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2,021</w:t>
            </w:r>
          </w:p>
        </w:tc>
        <w:tc>
          <w:tcPr>
            <w:tcW w:w="1532" w:type="dxa"/>
            <w:vAlign w:val="bottom"/>
          </w:tcPr>
          <w:p w14:paraId="20B419A0" w14:textId="0EF3D21B"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2,840</w:t>
            </w:r>
          </w:p>
        </w:tc>
      </w:tr>
      <w:tr w:rsidR="00886414" w:rsidRPr="00637A0F" w14:paraId="0E63CE8F" w14:textId="77777777" w:rsidTr="008469E3">
        <w:tc>
          <w:tcPr>
            <w:tcW w:w="1441" w:type="dxa"/>
            <w:vMerge/>
          </w:tcPr>
          <w:p w14:paraId="362C26A8" w14:textId="77777777" w:rsidR="00886414" w:rsidRPr="00637A0F" w:rsidRDefault="00886414" w:rsidP="001851B2">
            <w:pPr>
              <w:keepNext/>
              <w:spacing w:line="300" w:lineRule="auto"/>
              <w:rPr>
                <w:rFonts w:ascii="Arial" w:hAnsi="Arial" w:cs="Arial"/>
                <w:sz w:val="20"/>
                <w:szCs w:val="20"/>
              </w:rPr>
            </w:pPr>
          </w:p>
        </w:tc>
        <w:tc>
          <w:tcPr>
            <w:tcW w:w="540" w:type="dxa"/>
          </w:tcPr>
          <w:p w14:paraId="56D3DEAF"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w:t>
            </w:r>
          </w:p>
        </w:tc>
        <w:tc>
          <w:tcPr>
            <w:tcW w:w="1531" w:type="dxa"/>
            <w:vAlign w:val="bottom"/>
          </w:tcPr>
          <w:p w14:paraId="1912CFBF" w14:textId="5A9C4035"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5.9%</w:t>
            </w:r>
          </w:p>
        </w:tc>
        <w:tc>
          <w:tcPr>
            <w:tcW w:w="1532" w:type="dxa"/>
            <w:vAlign w:val="bottom"/>
          </w:tcPr>
          <w:p w14:paraId="01B882A5" w14:textId="48C25CFA"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17.5%</w:t>
            </w:r>
          </w:p>
        </w:tc>
        <w:tc>
          <w:tcPr>
            <w:tcW w:w="1531" w:type="dxa"/>
            <w:vAlign w:val="bottom"/>
          </w:tcPr>
          <w:p w14:paraId="1E78A685" w14:textId="34F64689"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5.4%</w:t>
            </w:r>
          </w:p>
        </w:tc>
        <w:tc>
          <w:tcPr>
            <w:tcW w:w="1532" w:type="dxa"/>
            <w:vAlign w:val="bottom"/>
          </w:tcPr>
          <w:p w14:paraId="1599071A" w14:textId="0AACF13F"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71.2%</w:t>
            </w:r>
          </w:p>
        </w:tc>
        <w:tc>
          <w:tcPr>
            <w:tcW w:w="1532" w:type="dxa"/>
            <w:vAlign w:val="bottom"/>
          </w:tcPr>
          <w:p w14:paraId="2AB21F34" w14:textId="197656FF"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100.0%</w:t>
            </w:r>
          </w:p>
        </w:tc>
      </w:tr>
      <w:tr w:rsidR="00886414" w:rsidRPr="00637A0F" w14:paraId="017AACF7" w14:textId="77777777" w:rsidTr="008469E3">
        <w:tc>
          <w:tcPr>
            <w:tcW w:w="1441" w:type="dxa"/>
            <w:vMerge w:val="restart"/>
          </w:tcPr>
          <w:p w14:paraId="25F7EE10" w14:textId="77777777" w:rsidR="00886414" w:rsidRPr="00637A0F" w:rsidRDefault="00886414" w:rsidP="001851B2">
            <w:pPr>
              <w:keepNext/>
              <w:spacing w:line="300" w:lineRule="auto"/>
              <w:rPr>
                <w:rFonts w:ascii="Arial" w:hAnsi="Arial" w:cs="Arial"/>
                <w:sz w:val="20"/>
                <w:szCs w:val="20"/>
              </w:rPr>
            </w:pPr>
            <w:r w:rsidRPr="00637A0F">
              <w:rPr>
                <w:rFonts w:ascii="Arial" w:hAnsi="Arial" w:cs="Arial"/>
                <w:sz w:val="20"/>
                <w:szCs w:val="20"/>
              </w:rPr>
              <w:t>Rural West</w:t>
            </w:r>
          </w:p>
        </w:tc>
        <w:tc>
          <w:tcPr>
            <w:tcW w:w="540" w:type="dxa"/>
          </w:tcPr>
          <w:p w14:paraId="33749270"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No.</w:t>
            </w:r>
          </w:p>
        </w:tc>
        <w:tc>
          <w:tcPr>
            <w:tcW w:w="1531" w:type="dxa"/>
            <w:vAlign w:val="bottom"/>
          </w:tcPr>
          <w:p w14:paraId="1A229620" w14:textId="1126AD0A"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84</w:t>
            </w:r>
          </w:p>
        </w:tc>
        <w:tc>
          <w:tcPr>
            <w:tcW w:w="1532" w:type="dxa"/>
            <w:vAlign w:val="bottom"/>
          </w:tcPr>
          <w:p w14:paraId="3BE60F62" w14:textId="2121F405"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263</w:t>
            </w:r>
          </w:p>
        </w:tc>
        <w:tc>
          <w:tcPr>
            <w:tcW w:w="1531" w:type="dxa"/>
            <w:vAlign w:val="bottom"/>
          </w:tcPr>
          <w:p w14:paraId="03E90091" w14:textId="13237885"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82</w:t>
            </w:r>
          </w:p>
        </w:tc>
        <w:tc>
          <w:tcPr>
            <w:tcW w:w="1532" w:type="dxa"/>
            <w:vAlign w:val="bottom"/>
          </w:tcPr>
          <w:p w14:paraId="1CC7659D" w14:textId="0C17F586"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895</w:t>
            </w:r>
          </w:p>
        </w:tc>
        <w:tc>
          <w:tcPr>
            <w:tcW w:w="1532" w:type="dxa"/>
            <w:vAlign w:val="bottom"/>
          </w:tcPr>
          <w:p w14:paraId="2891EE96" w14:textId="509D6FB3"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1,325</w:t>
            </w:r>
          </w:p>
        </w:tc>
      </w:tr>
      <w:tr w:rsidR="00886414" w:rsidRPr="00637A0F" w14:paraId="1066D7E5" w14:textId="77777777" w:rsidTr="008469E3">
        <w:tc>
          <w:tcPr>
            <w:tcW w:w="1441" w:type="dxa"/>
            <w:vMerge/>
          </w:tcPr>
          <w:p w14:paraId="5A4A233F" w14:textId="77777777" w:rsidR="00886414" w:rsidRPr="00637A0F" w:rsidRDefault="00886414" w:rsidP="001851B2">
            <w:pPr>
              <w:keepNext/>
              <w:spacing w:line="300" w:lineRule="auto"/>
              <w:rPr>
                <w:rFonts w:ascii="Arial" w:hAnsi="Arial" w:cs="Arial"/>
                <w:sz w:val="20"/>
                <w:szCs w:val="20"/>
              </w:rPr>
            </w:pPr>
          </w:p>
        </w:tc>
        <w:tc>
          <w:tcPr>
            <w:tcW w:w="540" w:type="dxa"/>
          </w:tcPr>
          <w:p w14:paraId="69370579"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w:t>
            </w:r>
          </w:p>
        </w:tc>
        <w:tc>
          <w:tcPr>
            <w:tcW w:w="1531" w:type="dxa"/>
            <w:vAlign w:val="bottom"/>
          </w:tcPr>
          <w:p w14:paraId="7ED9D33D" w14:textId="32BD442F"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6.4%</w:t>
            </w:r>
          </w:p>
        </w:tc>
        <w:tc>
          <w:tcPr>
            <w:tcW w:w="1532" w:type="dxa"/>
            <w:vAlign w:val="bottom"/>
          </w:tcPr>
          <w:p w14:paraId="0589B4AA" w14:textId="332159E8"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19.9%</w:t>
            </w:r>
          </w:p>
        </w:tc>
        <w:tc>
          <w:tcPr>
            <w:tcW w:w="1531" w:type="dxa"/>
            <w:vAlign w:val="bottom"/>
          </w:tcPr>
          <w:p w14:paraId="0EE487A5" w14:textId="33EFE963"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6.2%</w:t>
            </w:r>
          </w:p>
        </w:tc>
        <w:tc>
          <w:tcPr>
            <w:tcW w:w="1532" w:type="dxa"/>
            <w:vAlign w:val="bottom"/>
          </w:tcPr>
          <w:p w14:paraId="70348D05" w14:textId="4E0FEF13"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67.5%</w:t>
            </w:r>
          </w:p>
        </w:tc>
        <w:tc>
          <w:tcPr>
            <w:tcW w:w="1532" w:type="dxa"/>
            <w:vAlign w:val="bottom"/>
          </w:tcPr>
          <w:p w14:paraId="2B12EEFB" w14:textId="25FBFC24"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100.0%</w:t>
            </w:r>
          </w:p>
        </w:tc>
      </w:tr>
      <w:tr w:rsidR="00886414" w:rsidRPr="00637A0F" w14:paraId="6183D936" w14:textId="77777777" w:rsidTr="008469E3">
        <w:tc>
          <w:tcPr>
            <w:tcW w:w="1441" w:type="dxa"/>
            <w:vMerge w:val="restart"/>
          </w:tcPr>
          <w:p w14:paraId="54753552" w14:textId="77777777" w:rsidR="00886414" w:rsidRPr="00637A0F" w:rsidRDefault="00886414" w:rsidP="001851B2">
            <w:pPr>
              <w:keepNext/>
              <w:spacing w:line="300" w:lineRule="auto"/>
              <w:rPr>
                <w:rFonts w:ascii="Arial" w:hAnsi="Arial" w:cs="Arial"/>
                <w:sz w:val="20"/>
                <w:szCs w:val="20"/>
              </w:rPr>
            </w:pPr>
            <w:r w:rsidRPr="00637A0F">
              <w:rPr>
                <w:rFonts w:ascii="Arial" w:hAnsi="Arial" w:cs="Arial"/>
                <w:sz w:val="20"/>
                <w:szCs w:val="20"/>
              </w:rPr>
              <w:t>Rural East</w:t>
            </w:r>
          </w:p>
        </w:tc>
        <w:tc>
          <w:tcPr>
            <w:tcW w:w="540" w:type="dxa"/>
          </w:tcPr>
          <w:p w14:paraId="2F8B6F6B"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No.</w:t>
            </w:r>
          </w:p>
        </w:tc>
        <w:tc>
          <w:tcPr>
            <w:tcW w:w="1531" w:type="dxa"/>
            <w:vAlign w:val="bottom"/>
          </w:tcPr>
          <w:p w14:paraId="133E338A" w14:textId="04A1B9CA"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114</w:t>
            </w:r>
          </w:p>
        </w:tc>
        <w:tc>
          <w:tcPr>
            <w:tcW w:w="1532" w:type="dxa"/>
            <w:vAlign w:val="bottom"/>
          </w:tcPr>
          <w:p w14:paraId="544BFC8A" w14:textId="6B821313"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203</w:t>
            </w:r>
          </w:p>
        </w:tc>
        <w:tc>
          <w:tcPr>
            <w:tcW w:w="1531" w:type="dxa"/>
            <w:vAlign w:val="bottom"/>
          </w:tcPr>
          <w:p w14:paraId="022417F2" w14:textId="6300994D"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57</w:t>
            </w:r>
          </w:p>
        </w:tc>
        <w:tc>
          <w:tcPr>
            <w:tcW w:w="1532" w:type="dxa"/>
            <w:vAlign w:val="bottom"/>
          </w:tcPr>
          <w:p w14:paraId="3DB76246" w14:textId="69C1A035"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974</w:t>
            </w:r>
          </w:p>
        </w:tc>
        <w:tc>
          <w:tcPr>
            <w:tcW w:w="1532" w:type="dxa"/>
            <w:vAlign w:val="bottom"/>
          </w:tcPr>
          <w:p w14:paraId="3F41FC96" w14:textId="69560ACB"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1,348</w:t>
            </w:r>
          </w:p>
        </w:tc>
      </w:tr>
      <w:tr w:rsidR="00886414" w:rsidRPr="00637A0F" w14:paraId="45564B2A" w14:textId="77777777" w:rsidTr="008469E3">
        <w:tc>
          <w:tcPr>
            <w:tcW w:w="1441" w:type="dxa"/>
            <w:vMerge/>
          </w:tcPr>
          <w:p w14:paraId="1A30DAD7" w14:textId="77777777" w:rsidR="00886414" w:rsidRPr="00637A0F" w:rsidRDefault="00886414" w:rsidP="001851B2">
            <w:pPr>
              <w:keepNext/>
              <w:spacing w:line="300" w:lineRule="auto"/>
              <w:rPr>
                <w:rFonts w:ascii="Arial" w:hAnsi="Arial" w:cs="Arial"/>
                <w:sz w:val="20"/>
                <w:szCs w:val="20"/>
              </w:rPr>
            </w:pPr>
          </w:p>
        </w:tc>
        <w:tc>
          <w:tcPr>
            <w:tcW w:w="540" w:type="dxa"/>
          </w:tcPr>
          <w:p w14:paraId="5F4824FF"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w:t>
            </w:r>
          </w:p>
        </w:tc>
        <w:tc>
          <w:tcPr>
            <w:tcW w:w="1531" w:type="dxa"/>
            <w:vAlign w:val="bottom"/>
          </w:tcPr>
          <w:p w14:paraId="6DC041FF" w14:textId="1BC33536"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8.5%</w:t>
            </w:r>
          </w:p>
        </w:tc>
        <w:tc>
          <w:tcPr>
            <w:tcW w:w="1532" w:type="dxa"/>
            <w:vAlign w:val="bottom"/>
          </w:tcPr>
          <w:p w14:paraId="03B0BB0B" w14:textId="7E50B8F0"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15.1%</w:t>
            </w:r>
          </w:p>
        </w:tc>
        <w:tc>
          <w:tcPr>
            <w:tcW w:w="1531" w:type="dxa"/>
            <w:vAlign w:val="bottom"/>
          </w:tcPr>
          <w:p w14:paraId="2E043B96" w14:textId="4CB9CD3B"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4.2%</w:t>
            </w:r>
          </w:p>
        </w:tc>
        <w:tc>
          <w:tcPr>
            <w:tcW w:w="1532" w:type="dxa"/>
            <w:vAlign w:val="bottom"/>
          </w:tcPr>
          <w:p w14:paraId="736EB1DF" w14:textId="09063F42"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72.2%</w:t>
            </w:r>
          </w:p>
        </w:tc>
        <w:tc>
          <w:tcPr>
            <w:tcW w:w="1532" w:type="dxa"/>
            <w:vAlign w:val="bottom"/>
          </w:tcPr>
          <w:p w14:paraId="78AAA3AE" w14:textId="0118FAF4"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100.0%</w:t>
            </w:r>
          </w:p>
        </w:tc>
      </w:tr>
      <w:tr w:rsidR="00886414" w:rsidRPr="00637A0F" w14:paraId="523C4865" w14:textId="77777777" w:rsidTr="008469E3">
        <w:tc>
          <w:tcPr>
            <w:tcW w:w="1441" w:type="dxa"/>
            <w:vMerge w:val="restart"/>
          </w:tcPr>
          <w:p w14:paraId="1A8E54F7" w14:textId="77777777" w:rsidR="00886414" w:rsidRPr="00637A0F" w:rsidRDefault="00886414" w:rsidP="001851B2">
            <w:pPr>
              <w:keepNext/>
              <w:widowControl w:val="0"/>
              <w:spacing w:line="300" w:lineRule="auto"/>
              <w:rPr>
                <w:rFonts w:ascii="Arial" w:hAnsi="Arial" w:cs="Arial"/>
                <w:sz w:val="20"/>
                <w:szCs w:val="20"/>
              </w:rPr>
            </w:pPr>
            <w:r w:rsidRPr="00637A0F">
              <w:rPr>
                <w:rFonts w:ascii="Arial" w:hAnsi="Arial" w:cs="Arial"/>
                <w:sz w:val="20"/>
                <w:szCs w:val="20"/>
              </w:rPr>
              <w:t>BOROUGH</w:t>
            </w:r>
          </w:p>
        </w:tc>
        <w:tc>
          <w:tcPr>
            <w:tcW w:w="540" w:type="dxa"/>
          </w:tcPr>
          <w:p w14:paraId="615E3EE0"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No.</w:t>
            </w:r>
          </w:p>
        </w:tc>
        <w:tc>
          <w:tcPr>
            <w:tcW w:w="1531" w:type="dxa"/>
            <w:vAlign w:val="bottom"/>
          </w:tcPr>
          <w:p w14:paraId="779F0B96" w14:textId="1F0990E7"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2,415</w:t>
            </w:r>
          </w:p>
        </w:tc>
        <w:tc>
          <w:tcPr>
            <w:tcW w:w="1532" w:type="dxa"/>
            <w:vAlign w:val="bottom"/>
          </w:tcPr>
          <w:p w14:paraId="2B8C6F22" w14:textId="606942BF"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6,292</w:t>
            </w:r>
          </w:p>
        </w:tc>
        <w:tc>
          <w:tcPr>
            <w:tcW w:w="1531" w:type="dxa"/>
            <w:vAlign w:val="bottom"/>
          </w:tcPr>
          <w:p w14:paraId="459025B8" w14:textId="4C5DB17C"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4,611</w:t>
            </w:r>
          </w:p>
        </w:tc>
        <w:tc>
          <w:tcPr>
            <w:tcW w:w="1532" w:type="dxa"/>
            <w:vAlign w:val="bottom"/>
          </w:tcPr>
          <w:p w14:paraId="4603F0CA" w14:textId="51A913F0"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25,683</w:t>
            </w:r>
          </w:p>
        </w:tc>
        <w:tc>
          <w:tcPr>
            <w:tcW w:w="1532" w:type="dxa"/>
            <w:vAlign w:val="bottom"/>
          </w:tcPr>
          <w:p w14:paraId="20395345" w14:textId="56DEEA00"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39,000</w:t>
            </w:r>
          </w:p>
        </w:tc>
      </w:tr>
      <w:tr w:rsidR="00886414" w:rsidRPr="00637A0F" w14:paraId="158082FF" w14:textId="77777777" w:rsidTr="008469E3">
        <w:tc>
          <w:tcPr>
            <w:tcW w:w="1441" w:type="dxa"/>
            <w:vMerge/>
          </w:tcPr>
          <w:p w14:paraId="6DB22BB9" w14:textId="77777777" w:rsidR="00886414" w:rsidRPr="00637A0F" w:rsidRDefault="00886414" w:rsidP="001851B2">
            <w:pPr>
              <w:keepNext/>
              <w:widowControl w:val="0"/>
              <w:spacing w:line="300" w:lineRule="auto"/>
              <w:rPr>
                <w:rFonts w:ascii="Arial" w:hAnsi="Arial" w:cs="Arial"/>
                <w:sz w:val="20"/>
                <w:szCs w:val="20"/>
              </w:rPr>
            </w:pPr>
          </w:p>
        </w:tc>
        <w:tc>
          <w:tcPr>
            <w:tcW w:w="540" w:type="dxa"/>
          </w:tcPr>
          <w:p w14:paraId="67443AA9" w14:textId="77777777" w:rsidR="00886414" w:rsidRPr="00637A0F" w:rsidRDefault="00886414" w:rsidP="00172F56">
            <w:pPr>
              <w:keepNext/>
              <w:spacing w:line="300" w:lineRule="auto"/>
              <w:rPr>
                <w:rFonts w:ascii="Arial" w:hAnsi="Arial" w:cs="Arial"/>
                <w:color w:val="000000"/>
                <w:sz w:val="20"/>
                <w:szCs w:val="20"/>
              </w:rPr>
            </w:pPr>
            <w:r w:rsidRPr="00637A0F">
              <w:rPr>
                <w:rFonts w:ascii="Arial" w:hAnsi="Arial" w:cs="Arial"/>
                <w:color w:val="000000"/>
                <w:sz w:val="20"/>
                <w:szCs w:val="20"/>
              </w:rPr>
              <w:t>%</w:t>
            </w:r>
          </w:p>
        </w:tc>
        <w:tc>
          <w:tcPr>
            <w:tcW w:w="1531" w:type="dxa"/>
            <w:vAlign w:val="bottom"/>
          </w:tcPr>
          <w:p w14:paraId="3F8B594F" w14:textId="37455CB7"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6.2%</w:t>
            </w:r>
          </w:p>
        </w:tc>
        <w:tc>
          <w:tcPr>
            <w:tcW w:w="1532" w:type="dxa"/>
            <w:vAlign w:val="bottom"/>
          </w:tcPr>
          <w:p w14:paraId="5FEE0576" w14:textId="2FA57ACD"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16.1%</w:t>
            </w:r>
          </w:p>
        </w:tc>
        <w:tc>
          <w:tcPr>
            <w:tcW w:w="1531" w:type="dxa"/>
            <w:vAlign w:val="bottom"/>
          </w:tcPr>
          <w:p w14:paraId="495470EF" w14:textId="09F3F59F"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11.8%</w:t>
            </w:r>
          </w:p>
        </w:tc>
        <w:tc>
          <w:tcPr>
            <w:tcW w:w="1532" w:type="dxa"/>
            <w:vAlign w:val="bottom"/>
          </w:tcPr>
          <w:p w14:paraId="477D5E56" w14:textId="18EE7390"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65.9%</w:t>
            </w:r>
          </w:p>
        </w:tc>
        <w:tc>
          <w:tcPr>
            <w:tcW w:w="1532" w:type="dxa"/>
            <w:vAlign w:val="bottom"/>
          </w:tcPr>
          <w:p w14:paraId="2F98D718" w14:textId="7881AA77" w:rsidR="00886414" w:rsidRPr="00637A0F" w:rsidRDefault="00886414" w:rsidP="001851B2">
            <w:pPr>
              <w:keepNext/>
              <w:spacing w:line="300" w:lineRule="auto"/>
              <w:jc w:val="center"/>
              <w:rPr>
                <w:rFonts w:ascii="Arial" w:hAnsi="Arial" w:cs="Arial"/>
                <w:sz w:val="20"/>
                <w:szCs w:val="20"/>
              </w:rPr>
            </w:pPr>
            <w:r w:rsidRPr="00637A0F">
              <w:rPr>
                <w:rFonts w:ascii="Arial" w:hAnsi="Arial" w:cs="Arial"/>
                <w:color w:val="000000"/>
                <w:sz w:val="20"/>
                <w:szCs w:val="20"/>
              </w:rPr>
              <w:t>100.0%</w:t>
            </w:r>
          </w:p>
        </w:tc>
      </w:tr>
    </w:tbl>
    <w:p w14:paraId="7E2E2ADA" w14:textId="51EB5043" w:rsidR="00886414" w:rsidRDefault="00AB789F" w:rsidP="001851B2">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0C3863D9" w14:textId="77777777" w:rsidR="00637A0F" w:rsidRDefault="00637A0F" w:rsidP="00172F56">
      <w:pPr>
        <w:pStyle w:val="Reporttext0"/>
        <w:keepLines w:val="0"/>
        <w:widowControl w:val="0"/>
        <w:numPr>
          <w:ilvl w:val="0"/>
          <w:numId w:val="0"/>
        </w:numPr>
        <w:spacing w:line="300" w:lineRule="auto"/>
        <w:jc w:val="both"/>
        <w:rPr>
          <w:rFonts w:ascii="Arial" w:hAnsi="Arial" w:cs="Arial"/>
          <w:sz w:val="20"/>
        </w:rPr>
      </w:pPr>
    </w:p>
    <w:p w14:paraId="47C19E6D" w14:textId="66558931" w:rsidR="00CC789D" w:rsidRDefault="00CC789D">
      <w:pPr>
        <w:pStyle w:val="11Bodytext"/>
        <w:numPr>
          <w:ilvl w:val="1"/>
          <w:numId w:val="65"/>
        </w:numPr>
        <w:spacing w:before="0" w:after="0" w:line="300" w:lineRule="auto"/>
        <w:ind w:left="720" w:hanging="720"/>
        <w:rPr>
          <w:color w:val="auto"/>
        </w:rPr>
      </w:pPr>
      <w:r w:rsidRPr="0055181D">
        <w:rPr>
          <w:color w:val="auto"/>
        </w:rPr>
        <w:t>T</w:t>
      </w:r>
      <w:r w:rsidR="00637A0F">
        <w:rPr>
          <w:color w:val="auto"/>
        </w:rPr>
        <w:t>he t</w:t>
      </w:r>
      <w:r w:rsidRPr="0055181D">
        <w:rPr>
          <w:color w:val="auto"/>
        </w:rPr>
        <w:t xml:space="preserve">able below shows the size of first-time buyer households compared with other households that have purchased a home in the last two years and all other households who have moved home in the same period. It shows that </w:t>
      </w:r>
      <w:r w:rsidR="00637A0F">
        <w:rPr>
          <w:color w:val="auto"/>
        </w:rPr>
        <w:t>42</w:t>
      </w:r>
      <w:r w:rsidRPr="0055181D">
        <w:rPr>
          <w:color w:val="auto"/>
        </w:rPr>
        <w:t>% of first-time buyer households contain two people and a further 2</w:t>
      </w:r>
      <w:r w:rsidR="00637A0F">
        <w:rPr>
          <w:color w:val="auto"/>
        </w:rPr>
        <w:t>8</w:t>
      </w:r>
      <w:r w:rsidRPr="0055181D">
        <w:rPr>
          <w:color w:val="auto"/>
        </w:rPr>
        <w:t>% are single persons. Overall, first-time buyer households have similar household sizes to other recent buyers.</w:t>
      </w:r>
    </w:p>
    <w:p w14:paraId="215956F7" w14:textId="77777777" w:rsidR="0055181D" w:rsidRPr="0055181D" w:rsidRDefault="0055181D" w:rsidP="00172F56">
      <w:pPr>
        <w:pStyle w:val="11Bodytext"/>
        <w:numPr>
          <w:ilvl w:val="0"/>
          <w:numId w:val="0"/>
        </w:numPr>
        <w:spacing w:before="0" w:after="0" w:line="300" w:lineRule="auto"/>
        <w:rPr>
          <w:color w:val="auto"/>
        </w:rPr>
      </w:pPr>
    </w:p>
    <w:tbl>
      <w:tblPr>
        <w:tblStyle w:val="TableGrid10"/>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1"/>
        <w:gridCol w:w="979"/>
        <w:gridCol w:w="980"/>
        <w:gridCol w:w="980"/>
        <w:gridCol w:w="980"/>
        <w:gridCol w:w="979"/>
        <w:gridCol w:w="980"/>
        <w:gridCol w:w="980"/>
        <w:gridCol w:w="980"/>
      </w:tblGrid>
      <w:tr w:rsidR="00637A0F" w:rsidRPr="00172F56" w14:paraId="1FDC2E0D" w14:textId="77777777" w:rsidTr="00172F56">
        <w:trPr>
          <w:jc w:val="center"/>
        </w:trPr>
        <w:tc>
          <w:tcPr>
            <w:cnfStyle w:val="000100000000" w:firstRow="0" w:lastRow="0" w:firstColumn="0" w:lastColumn="1" w:oddVBand="0" w:evenVBand="0" w:oddHBand="0" w:evenHBand="0" w:firstRowFirstColumn="0" w:firstRowLastColumn="0" w:lastRowFirstColumn="0" w:lastRowLastColumn="0"/>
            <w:tcW w:w="9639" w:type="dxa"/>
            <w:gridSpan w:val="9"/>
          </w:tcPr>
          <w:p w14:paraId="1A67EC2D" w14:textId="1D7C15F6" w:rsidR="00637A0F" w:rsidRPr="00843751" w:rsidRDefault="00637A0F" w:rsidP="001851B2">
            <w:pPr>
              <w:keepNext/>
              <w:widowControl w:val="0"/>
              <w:spacing w:before="60" w:after="60"/>
              <w:jc w:val="center"/>
              <w:rPr>
                <w:rFonts w:ascii="Arial" w:hAnsi="Arial" w:cs="Arial"/>
                <w:b/>
                <w:bCs/>
                <w:i w:val="0"/>
                <w:iCs w:val="0"/>
                <w:sz w:val="20"/>
                <w:szCs w:val="20"/>
              </w:rPr>
            </w:pPr>
            <w:r w:rsidRPr="00843751">
              <w:rPr>
                <w:rFonts w:ascii="Arial" w:hAnsi="Arial" w:cs="Arial"/>
                <w:b/>
                <w:bCs/>
                <w:i w:val="0"/>
                <w:iCs w:val="0"/>
                <w:sz w:val="20"/>
                <w:szCs w:val="20"/>
              </w:rPr>
              <w:t>Figure 6.</w:t>
            </w:r>
            <w:r w:rsidR="00AD29A6" w:rsidRPr="00843751">
              <w:rPr>
                <w:rFonts w:ascii="Arial" w:hAnsi="Arial" w:cs="Arial"/>
                <w:b/>
                <w:bCs/>
                <w:i w:val="0"/>
                <w:iCs w:val="0"/>
                <w:sz w:val="20"/>
                <w:szCs w:val="20"/>
              </w:rPr>
              <w:t>25</w:t>
            </w:r>
            <w:r w:rsidRPr="00843751">
              <w:rPr>
                <w:rFonts w:ascii="Arial" w:hAnsi="Arial" w:cs="Arial"/>
                <w:b/>
                <w:bCs/>
                <w:i w:val="0"/>
                <w:iCs w:val="0"/>
                <w:sz w:val="20"/>
                <w:szCs w:val="20"/>
              </w:rPr>
              <w:t xml:space="preserve">: </w:t>
            </w:r>
            <w:bookmarkStart w:id="78" w:name="_Toc372039112"/>
            <w:r w:rsidRPr="00843751">
              <w:rPr>
                <w:rFonts w:ascii="Arial" w:hAnsi="Arial" w:cs="Arial"/>
                <w:b/>
                <w:bCs/>
                <w:i w:val="0"/>
                <w:iCs w:val="0"/>
                <w:sz w:val="20"/>
                <w:szCs w:val="20"/>
              </w:rPr>
              <w:t>Household Size of recent First-Time Buyers</w:t>
            </w:r>
            <w:bookmarkEnd w:id="78"/>
          </w:p>
        </w:tc>
      </w:tr>
      <w:tr w:rsidR="00CC789D" w:rsidRPr="00E12B61" w14:paraId="57450209" w14:textId="77777777" w:rsidTr="00172F56">
        <w:trPr>
          <w:jc w:val="center"/>
        </w:trPr>
        <w:tc>
          <w:tcPr>
            <w:tcW w:w="1801" w:type="dxa"/>
          </w:tcPr>
          <w:p w14:paraId="69CA4065" w14:textId="77777777" w:rsidR="00CC789D" w:rsidRPr="00843751" w:rsidRDefault="00CC789D" w:rsidP="001851B2">
            <w:pPr>
              <w:keepNext/>
              <w:widowControl w:val="0"/>
              <w:rPr>
                <w:rFonts w:ascii="Arial" w:hAnsi="Arial" w:cs="Arial"/>
                <w:sz w:val="20"/>
                <w:szCs w:val="20"/>
              </w:rPr>
            </w:pPr>
            <w:r w:rsidRPr="00843751">
              <w:rPr>
                <w:rFonts w:ascii="Arial" w:hAnsi="Arial" w:cs="Arial"/>
                <w:sz w:val="20"/>
                <w:szCs w:val="20"/>
              </w:rPr>
              <w:t>Household size</w:t>
            </w:r>
          </w:p>
        </w:tc>
        <w:tc>
          <w:tcPr>
            <w:tcW w:w="1959" w:type="dxa"/>
            <w:gridSpan w:val="2"/>
          </w:tcPr>
          <w:p w14:paraId="0F156465" w14:textId="77777777" w:rsidR="00CC789D" w:rsidRPr="00843751" w:rsidRDefault="00CC789D" w:rsidP="001851B2">
            <w:pPr>
              <w:keepNext/>
              <w:widowControl w:val="0"/>
              <w:jc w:val="center"/>
              <w:rPr>
                <w:rFonts w:ascii="Arial" w:hAnsi="Arial" w:cs="Arial"/>
                <w:sz w:val="20"/>
                <w:szCs w:val="20"/>
              </w:rPr>
            </w:pPr>
            <w:r w:rsidRPr="00843751">
              <w:rPr>
                <w:rFonts w:ascii="Arial" w:hAnsi="Arial" w:cs="Arial"/>
                <w:sz w:val="20"/>
                <w:szCs w:val="20"/>
              </w:rPr>
              <w:t>First time buyer</w:t>
            </w:r>
          </w:p>
        </w:tc>
        <w:tc>
          <w:tcPr>
            <w:tcW w:w="1960" w:type="dxa"/>
            <w:gridSpan w:val="2"/>
          </w:tcPr>
          <w:p w14:paraId="42B93A47" w14:textId="77777777" w:rsidR="00CC789D" w:rsidRPr="00843751" w:rsidRDefault="00CC789D" w:rsidP="001851B2">
            <w:pPr>
              <w:keepNext/>
              <w:widowControl w:val="0"/>
              <w:jc w:val="center"/>
              <w:rPr>
                <w:rFonts w:ascii="Arial" w:hAnsi="Arial" w:cs="Arial"/>
                <w:sz w:val="20"/>
                <w:szCs w:val="20"/>
              </w:rPr>
            </w:pPr>
            <w:r w:rsidRPr="00843751">
              <w:rPr>
                <w:rFonts w:ascii="Arial" w:hAnsi="Arial" w:cs="Arial"/>
                <w:sz w:val="20"/>
                <w:szCs w:val="20"/>
              </w:rPr>
              <w:t>Other recent buyer</w:t>
            </w:r>
          </w:p>
        </w:tc>
        <w:tc>
          <w:tcPr>
            <w:tcW w:w="1959" w:type="dxa"/>
            <w:gridSpan w:val="2"/>
          </w:tcPr>
          <w:p w14:paraId="56FD897D" w14:textId="77777777" w:rsidR="00CC789D" w:rsidRPr="00843751" w:rsidRDefault="00CC789D" w:rsidP="001851B2">
            <w:pPr>
              <w:keepNext/>
              <w:widowControl w:val="0"/>
              <w:jc w:val="center"/>
              <w:rPr>
                <w:rFonts w:ascii="Arial" w:hAnsi="Arial" w:cs="Arial"/>
                <w:sz w:val="20"/>
                <w:szCs w:val="20"/>
              </w:rPr>
            </w:pPr>
            <w:r w:rsidRPr="00843751">
              <w:rPr>
                <w:rFonts w:ascii="Arial" w:hAnsi="Arial" w:cs="Arial"/>
                <w:sz w:val="20"/>
                <w:szCs w:val="20"/>
              </w:rPr>
              <w:t>Other recently moved households</w:t>
            </w:r>
          </w:p>
        </w:tc>
        <w:tc>
          <w:tcPr>
            <w:cnfStyle w:val="000100000000" w:firstRow="0" w:lastRow="0" w:firstColumn="0" w:lastColumn="1" w:oddVBand="0" w:evenVBand="0" w:oddHBand="0" w:evenHBand="0" w:firstRowFirstColumn="0" w:firstRowLastColumn="0" w:lastRowFirstColumn="0" w:lastRowLastColumn="0"/>
            <w:tcW w:w="1960" w:type="dxa"/>
            <w:gridSpan w:val="2"/>
          </w:tcPr>
          <w:p w14:paraId="57905621" w14:textId="77777777" w:rsidR="00CC789D" w:rsidRPr="00172F56" w:rsidRDefault="00CC789D" w:rsidP="001851B2">
            <w:pPr>
              <w:keepNext/>
              <w:widowControl w:val="0"/>
              <w:jc w:val="center"/>
              <w:rPr>
                <w:rFonts w:ascii="Arial" w:hAnsi="Arial" w:cs="Arial"/>
                <w:i w:val="0"/>
                <w:iCs w:val="0"/>
                <w:sz w:val="20"/>
                <w:szCs w:val="20"/>
              </w:rPr>
            </w:pPr>
            <w:r w:rsidRPr="00172F56">
              <w:rPr>
                <w:rFonts w:ascii="Arial" w:hAnsi="Arial" w:cs="Arial"/>
                <w:i w:val="0"/>
                <w:iCs w:val="0"/>
                <w:sz w:val="20"/>
                <w:szCs w:val="20"/>
              </w:rPr>
              <w:t>Total (all movers)</w:t>
            </w:r>
          </w:p>
        </w:tc>
      </w:tr>
      <w:tr w:rsidR="00637A0F" w:rsidRPr="00E12B61" w14:paraId="35DA6518" w14:textId="77777777" w:rsidTr="00172F56">
        <w:trPr>
          <w:jc w:val="center"/>
        </w:trPr>
        <w:tc>
          <w:tcPr>
            <w:tcW w:w="1801" w:type="dxa"/>
          </w:tcPr>
          <w:p w14:paraId="0D6BE924" w14:textId="77777777" w:rsidR="00637A0F" w:rsidRPr="00172F56" w:rsidRDefault="00637A0F" w:rsidP="001851B2">
            <w:pPr>
              <w:pStyle w:val="Normal1"/>
              <w:keepNext/>
              <w:widowControl w:val="0"/>
              <w:rPr>
                <w:rFonts w:ascii="Arial" w:hAnsi="Arial" w:cs="Arial"/>
                <w:sz w:val="20"/>
              </w:rPr>
            </w:pPr>
            <w:r w:rsidRPr="00843751">
              <w:rPr>
                <w:rFonts w:ascii="Arial" w:hAnsi="Arial" w:cs="Arial"/>
                <w:sz w:val="20"/>
              </w:rPr>
              <w:t>1 person</w:t>
            </w:r>
          </w:p>
        </w:tc>
        <w:tc>
          <w:tcPr>
            <w:tcW w:w="979" w:type="dxa"/>
          </w:tcPr>
          <w:p w14:paraId="7FDBC3B2" w14:textId="5E30F4F1"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666</w:t>
            </w:r>
          </w:p>
        </w:tc>
        <w:tc>
          <w:tcPr>
            <w:tcW w:w="980" w:type="dxa"/>
          </w:tcPr>
          <w:p w14:paraId="2CEF77A8" w14:textId="68285A36"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27.6%</w:t>
            </w:r>
          </w:p>
        </w:tc>
        <w:tc>
          <w:tcPr>
            <w:tcW w:w="980" w:type="dxa"/>
          </w:tcPr>
          <w:p w14:paraId="79CE2266" w14:textId="4627AB19"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1,357</w:t>
            </w:r>
          </w:p>
        </w:tc>
        <w:tc>
          <w:tcPr>
            <w:tcW w:w="980" w:type="dxa"/>
          </w:tcPr>
          <w:p w14:paraId="740A8FFF" w14:textId="59D56E49"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21.6%</w:t>
            </w:r>
          </w:p>
        </w:tc>
        <w:tc>
          <w:tcPr>
            <w:tcW w:w="979" w:type="dxa"/>
          </w:tcPr>
          <w:p w14:paraId="54432E09" w14:textId="28BACD21"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1,589</w:t>
            </w:r>
          </w:p>
        </w:tc>
        <w:tc>
          <w:tcPr>
            <w:tcW w:w="980" w:type="dxa"/>
          </w:tcPr>
          <w:p w14:paraId="3049E79C" w14:textId="68487309"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34.5%</w:t>
            </w:r>
          </w:p>
        </w:tc>
        <w:tc>
          <w:tcPr>
            <w:tcW w:w="980" w:type="dxa"/>
          </w:tcPr>
          <w:p w14:paraId="1E472B6F" w14:textId="387A747A"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3,612</w:t>
            </w:r>
          </w:p>
        </w:tc>
        <w:tc>
          <w:tcPr>
            <w:cnfStyle w:val="000100000000" w:firstRow="0" w:lastRow="0" w:firstColumn="0" w:lastColumn="1" w:oddVBand="0" w:evenVBand="0" w:oddHBand="0" w:evenHBand="0" w:firstRowFirstColumn="0" w:firstRowLastColumn="0" w:lastRowFirstColumn="0" w:lastRowLastColumn="0"/>
            <w:tcW w:w="980" w:type="dxa"/>
          </w:tcPr>
          <w:p w14:paraId="2B59FA0C" w14:textId="61C9D276" w:rsidR="00637A0F" w:rsidRPr="00172F56" w:rsidRDefault="00637A0F" w:rsidP="001851B2">
            <w:pPr>
              <w:keepNext/>
              <w:jc w:val="center"/>
              <w:rPr>
                <w:rFonts w:ascii="Arial" w:hAnsi="Arial" w:cs="Arial"/>
                <w:i w:val="0"/>
                <w:iCs w:val="0"/>
                <w:sz w:val="20"/>
                <w:szCs w:val="20"/>
              </w:rPr>
            </w:pPr>
            <w:r w:rsidRPr="00172F56">
              <w:rPr>
                <w:rFonts w:ascii="Arial" w:hAnsi="Arial" w:cs="Arial"/>
                <w:i w:val="0"/>
                <w:iCs w:val="0"/>
                <w:color w:val="000000"/>
                <w:sz w:val="20"/>
                <w:szCs w:val="20"/>
              </w:rPr>
              <w:t>27.1%</w:t>
            </w:r>
          </w:p>
        </w:tc>
      </w:tr>
      <w:tr w:rsidR="00637A0F" w:rsidRPr="00E12B61" w14:paraId="08BFC215" w14:textId="77777777" w:rsidTr="00172F56">
        <w:trPr>
          <w:jc w:val="center"/>
        </w:trPr>
        <w:tc>
          <w:tcPr>
            <w:tcW w:w="1801" w:type="dxa"/>
          </w:tcPr>
          <w:p w14:paraId="16650F2E" w14:textId="77777777" w:rsidR="00637A0F" w:rsidRPr="00172F56" w:rsidRDefault="00637A0F" w:rsidP="001851B2">
            <w:pPr>
              <w:pStyle w:val="Normal1"/>
              <w:keepNext/>
              <w:widowControl w:val="0"/>
              <w:rPr>
                <w:rFonts w:ascii="Arial" w:hAnsi="Arial" w:cs="Arial"/>
                <w:sz w:val="20"/>
              </w:rPr>
            </w:pPr>
            <w:r w:rsidRPr="00843751">
              <w:rPr>
                <w:rFonts w:ascii="Arial" w:hAnsi="Arial" w:cs="Arial"/>
                <w:sz w:val="20"/>
              </w:rPr>
              <w:t>2 people</w:t>
            </w:r>
          </w:p>
        </w:tc>
        <w:tc>
          <w:tcPr>
            <w:tcW w:w="979" w:type="dxa"/>
          </w:tcPr>
          <w:p w14:paraId="3E0419CC" w14:textId="72A47EC9"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1,022</w:t>
            </w:r>
          </w:p>
        </w:tc>
        <w:tc>
          <w:tcPr>
            <w:tcW w:w="980" w:type="dxa"/>
          </w:tcPr>
          <w:p w14:paraId="3E5E88E4" w14:textId="55449BF0"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42.3%</w:t>
            </w:r>
          </w:p>
        </w:tc>
        <w:tc>
          <w:tcPr>
            <w:tcW w:w="980" w:type="dxa"/>
          </w:tcPr>
          <w:p w14:paraId="4BB66E3E" w14:textId="7A4490E4"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3,040</w:t>
            </w:r>
          </w:p>
        </w:tc>
        <w:tc>
          <w:tcPr>
            <w:tcW w:w="980" w:type="dxa"/>
          </w:tcPr>
          <w:p w14:paraId="30B00B14" w14:textId="094798A0"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48.3%</w:t>
            </w:r>
          </w:p>
        </w:tc>
        <w:tc>
          <w:tcPr>
            <w:tcW w:w="979" w:type="dxa"/>
          </w:tcPr>
          <w:p w14:paraId="6CA5CDD6" w14:textId="7698AAD8"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1,213</w:t>
            </w:r>
          </w:p>
        </w:tc>
        <w:tc>
          <w:tcPr>
            <w:tcW w:w="980" w:type="dxa"/>
          </w:tcPr>
          <w:p w14:paraId="2FD68733" w14:textId="612E8A0F"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26.3%</w:t>
            </w:r>
          </w:p>
        </w:tc>
        <w:tc>
          <w:tcPr>
            <w:tcW w:w="980" w:type="dxa"/>
          </w:tcPr>
          <w:p w14:paraId="540D7E20" w14:textId="4E51650F"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5,274</w:t>
            </w:r>
          </w:p>
        </w:tc>
        <w:tc>
          <w:tcPr>
            <w:cnfStyle w:val="000100000000" w:firstRow="0" w:lastRow="0" w:firstColumn="0" w:lastColumn="1" w:oddVBand="0" w:evenVBand="0" w:oddHBand="0" w:evenHBand="0" w:firstRowFirstColumn="0" w:firstRowLastColumn="0" w:lastRowFirstColumn="0" w:lastRowLastColumn="0"/>
            <w:tcW w:w="980" w:type="dxa"/>
          </w:tcPr>
          <w:p w14:paraId="24AC8039" w14:textId="215E010B" w:rsidR="00637A0F" w:rsidRPr="00172F56" w:rsidRDefault="00637A0F" w:rsidP="001851B2">
            <w:pPr>
              <w:keepNext/>
              <w:jc w:val="center"/>
              <w:rPr>
                <w:rFonts w:ascii="Arial" w:hAnsi="Arial" w:cs="Arial"/>
                <w:i w:val="0"/>
                <w:iCs w:val="0"/>
                <w:sz w:val="20"/>
                <w:szCs w:val="20"/>
              </w:rPr>
            </w:pPr>
            <w:r w:rsidRPr="00172F56">
              <w:rPr>
                <w:rFonts w:ascii="Arial" w:hAnsi="Arial" w:cs="Arial"/>
                <w:i w:val="0"/>
                <w:iCs w:val="0"/>
                <w:color w:val="000000"/>
                <w:sz w:val="20"/>
                <w:szCs w:val="20"/>
              </w:rPr>
              <w:t>39.6%</w:t>
            </w:r>
          </w:p>
        </w:tc>
      </w:tr>
      <w:tr w:rsidR="00637A0F" w:rsidRPr="00E12B61" w14:paraId="388B406A" w14:textId="77777777" w:rsidTr="00172F56">
        <w:trPr>
          <w:jc w:val="center"/>
        </w:trPr>
        <w:tc>
          <w:tcPr>
            <w:tcW w:w="1801" w:type="dxa"/>
          </w:tcPr>
          <w:p w14:paraId="3F855C05" w14:textId="77777777" w:rsidR="00637A0F" w:rsidRPr="00172F56" w:rsidRDefault="00637A0F" w:rsidP="001851B2">
            <w:pPr>
              <w:keepNext/>
              <w:widowControl w:val="0"/>
              <w:rPr>
                <w:rFonts w:ascii="Arial" w:hAnsi="Arial" w:cs="Arial"/>
                <w:sz w:val="20"/>
                <w:szCs w:val="20"/>
              </w:rPr>
            </w:pPr>
            <w:r w:rsidRPr="00843751">
              <w:rPr>
                <w:rFonts w:ascii="Arial" w:hAnsi="Arial" w:cs="Arial"/>
                <w:sz w:val="20"/>
                <w:szCs w:val="20"/>
              </w:rPr>
              <w:t>3 people</w:t>
            </w:r>
          </w:p>
        </w:tc>
        <w:tc>
          <w:tcPr>
            <w:tcW w:w="979" w:type="dxa"/>
          </w:tcPr>
          <w:p w14:paraId="7A281516" w14:textId="6BFF9022"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374</w:t>
            </w:r>
          </w:p>
        </w:tc>
        <w:tc>
          <w:tcPr>
            <w:tcW w:w="980" w:type="dxa"/>
          </w:tcPr>
          <w:p w14:paraId="6EBDF50F" w14:textId="0471787C"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15.5%</w:t>
            </w:r>
          </w:p>
        </w:tc>
        <w:tc>
          <w:tcPr>
            <w:tcW w:w="980" w:type="dxa"/>
          </w:tcPr>
          <w:p w14:paraId="086F3B43" w14:textId="640B6FCA"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955</w:t>
            </w:r>
          </w:p>
        </w:tc>
        <w:tc>
          <w:tcPr>
            <w:tcW w:w="980" w:type="dxa"/>
          </w:tcPr>
          <w:p w14:paraId="2E4121BA" w14:textId="340C6F6B"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15.2%</w:t>
            </w:r>
          </w:p>
        </w:tc>
        <w:tc>
          <w:tcPr>
            <w:tcW w:w="979" w:type="dxa"/>
          </w:tcPr>
          <w:p w14:paraId="13B7B2BE" w14:textId="171424E4"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1,075</w:t>
            </w:r>
          </w:p>
        </w:tc>
        <w:tc>
          <w:tcPr>
            <w:tcW w:w="980" w:type="dxa"/>
          </w:tcPr>
          <w:p w14:paraId="0950D228" w14:textId="4D06A303"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23.3%</w:t>
            </w:r>
          </w:p>
        </w:tc>
        <w:tc>
          <w:tcPr>
            <w:tcW w:w="980" w:type="dxa"/>
          </w:tcPr>
          <w:p w14:paraId="7C9B05AB" w14:textId="657E1745"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2,404</w:t>
            </w:r>
          </w:p>
        </w:tc>
        <w:tc>
          <w:tcPr>
            <w:cnfStyle w:val="000100000000" w:firstRow="0" w:lastRow="0" w:firstColumn="0" w:lastColumn="1" w:oddVBand="0" w:evenVBand="0" w:oddHBand="0" w:evenHBand="0" w:firstRowFirstColumn="0" w:firstRowLastColumn="0" w:lastRowFirstColumn="0" w:lastRowLastColumn="0"/>
            <w:tcW w:w="980" w:type="dxa"/>
          </w:tcPr>
          <w:p w14:paraId="623579B7" w14:textId="5629B8C2" w:rsidR="00637A0F" w:rsidRPr="00172F56" w:rsidRDefault="00637A0F" w:rsidP="001851B2">
            <w:pPr>
              <w:keepNext/>
              <w:jc w:val="center"/>
              <w:rPr>
                <w:rFonts w:ascii="Arial" w:hAnsi="Arial" w:cs="Arial"/>
                <w:i w:val="0"/>
                <w:iCs w:val="0"/>
                <w:sz w:val="20"/>
                <w:szCs w:val="20"/>
              </w:rPr>
            </w:pPr>
            <w:r w:rsidRPr="00172F56">
              <w:rPr>
                <w:rFonts w:ascii="Arial" w:hAnsi="Arial" w:cs="Arial"/>
                <w:i w:val="0"/>
                <w:iCs w:val="0"/>
                <w:color w:val="000000"/>
                <w:sz w:val="20"/>
                <w:szCs w:val="20"/>
              </w:rPr>
              <w:t>18.1%</w:t>
            </w:r>
          </w:p>
        </w:tc>
      </w:tr>
      <w:tr w:rsidR="00637A0F" w:rsidRPr="00E12B61" w14:paraId="77611A09" w14:textId="77777777" w:rsidTr="00172F56">
        <w:trPr>
          <w:jc w:val="center"/>
        </w:trPr>
        <w:tc>
          <w:tcPr>
            <w:tcW w:w="1801" w:type="dxa"/>
          </w:tcPr>
          <w:p w14:paraId="513301AB" w14:textId="492B5E44" w:rsidR="00637A0F" w:rsidRPr="00172F56" w:rsidRDefault="00637A0F" w:rsidP="001851B2">
            <w:pPr>
              <w:keepNext/>
              <w:widowControl w:val="0"/>
              <w:rPr>
                <w:rFonts w:ascii="Arial" w:hAnsi="Arial" w:cs="Arial"/>
                <w:sz w:val="20"/>
                <w:szCs w:val="20"/>
              </w:rPr>
            </w:pPr>
            <w:r w:rsidRPr="00843751">
              <w:rPr>
                <w:rFonts w:ascii="Arial" w:hAnsi="Arial" w:cs="Arial"/>
                <w:sz w:val="20"/>
                <w:szCs w:val="20"/>
              </w:rPr>
              <w:t>4+ people</w:t>
            </w:r>
          </w:p>
        </w:tc>
        <w:tc>
          <w:tcPr>
            <w:tcW w:w="979" w:type="dxa"/>
          </w:tcPr>
          <w:p w14:paraId="2CD3CAD3" w14:textId="713C8355"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353</w:t>
            </w:r>
          </w:p>
        </w:tc>
        <w:tc>
          <w:tcPr>
            <w:tcW w:w="980" w:type="dxa"/>
          </w:tcPr>
          <w:p w14:paraId="5418C1FD" w14:textId="1583D478"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14.6%</w:t>
            </w:r>
          </w:p>
        </w:tc>
        <w:tc>
          <w:tcPr>
            <w:tcW w:w="980" w:type="dxa"/>
          </w:tcPr>
          <w:p w14:paraId="54D6EFBC" w14:textId="6742EA90"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940</w:t>
            </w:r>
          </w:p>
        </w:tc>
        <w:tc>
          <w:tcPr>
            <w:tcW w:w="980" w:type="dxa"/>
          </w:tcPr>
          <w:p w14:paraId="54B7DD8E" w14:textId="25CF3BD7"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14.9%</w:t>
            </w:r>
          </w:p>
        </w:tc>
        <w:tc>
          <w:tcPr>
            <w:tcW w:w="979" w:type="dxa"/>
          </w:tcPr>
          <w:p w14:paraId="2CBB7DC2" w14:textId="58FC9367"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733</w:t>
            </w:r>
          </w:p>
        </w:tc>
        <w:tc>
          <w:tcPr>
            <w:tcW w:w="980" w:type="dxa"/>
          </w:tcPr>
          <w:p w14:paraId="2FD447E8" w14:textId="2CF80F68"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15.9%</w:t>
            </w:r>
          </w:p>
        </w:tc>
        <w:tc>
          <w:tcPr>
            <w:tcW w:w="980" w:type="dxa"/>
          </w:tcPr>
          <w:p w14:paraId="7DD74D3E" w14:textId="4D00DF82" w:rsidR="00637A0F" w:rsidRPr="00843751" w:rsidRDefault="00637A0F" w:rsidP="001851B2">
            <w:pPr>
              <w:keepNext/>
              <w:jc w:val="center"/>
              <w:rPr>
                <w:rFonts w:ascii="Arial" w:hAnsi="Arial" w:cs="Arial"/>
                <w:sz w:val="20"/>
                <w:szCs w:val="20"/>
              </w:rPr>
            </w:pPr>
            <w:r w:rsidRPr="00843751">
              <w:rPr>
                <w:rFonts w:ascii="Arial" w:hAnsi="Arial" w:cs="Arial"/>
                <w:color w:val="000000"/>
                <w:sz w:val="20"/>
                <w:szCs w:val="20"/>
              </w:rPr>
              <w:t>2,026</w:t>
            </w:r>
          </w:p>
        </w:tc>
        <w:tc>
          <w:tcPr>
            <w:cnfStyle w:val="000100000000" w:firstRow="0" w:lastRow="0" w:firstColumn="0" w:lastColumn="1" w:oddVBand="0" w:evenVBand="0" w:oddHBand="0" w:evenHBand="0" w:firstRowFirstColumn="0" w:firstRowLastColumn="0" w:lastRowFirstColumn="0" w:lastRowLastColumn="0"/>
            <w:tcW w:w="980" w:type="dxa"/>
          </w:tcPr>
          <w:p w14:paraId="47BB4C0B" w14:textId="3B9C2E6C" w:rsidR="00637A0F" w:rsidRPr="00172F56" w:rsidRDefault="00637A0F" w:rsidP="001851B2">
            <w:pPr>
              <w:keepNext/>
              <w:jc w:val="center"/>
              <w:rPr>
                <w:rFonts w:ascii="Arial" w:hAnsi="Arial" w:cs="Arial"/>
                <w:i w:val="0"/>
                <w:iCs w:val="0"/>
                <w:sz w:val="20"/>
                <w:szCs w:val="20"/>
              </w:rPr>
            </w:pPr>
            <w:r w:rsidRPr="00172F56">
              <w:rPr>
                <w:rFonts w:ascii="Arial" w:hAnsi="Arial" w:cs="Arial"/>
                <w:i w:val="0"/>
                <w:iCs w:val="0"/>
                <w:color w:val="000000"/>
                <w:sz w:val="20"/>
                <w:szCs w:val="20"/>
              </w:rPr>
              <w:t>15.2%</w:t>
            </w:r>
          </w:p>
        </w:tc>
      </w:tr>
      <w:tr w:rsidR="00637A0F" w:rsidRPr="00637A0F" w14:paraId="05DD4B10" w14:textId="77777777" w:rsidTr="00172F56">
        <w:trPr>
          <w:cnfStyle w:val="010000000000" w:firstRow="0" w:lastRow="1" w:firstColumn="0" w:lastColumn="0" w:oddVBand="0" w:evenVBand="0" w:oddHBand="0" w:evenHBand="0" w:firstRowFirstColumn="0" w:firstRowLastColumn="0" w:lastRowFirstColumn="0" w:lastRowLastColumn="0"/>
          <w:jc w:val="center"/>
        </w:trPr>
        <w:tc>
          <w:tcPr>
            <w:tcW w:w="1801" w:type="dxa"/>
          </w:tcPr>
          <w:p w14:paraId="6330B584" w14:textId="37ECFEC7" w:rsidR="00637A0F" w:rsidRPr="00172F56" w:rsidRDefault="00637A0F" w:rsidP="001851B2">
            <w:pPr>
              <w:keepNext/>
              <w:widowControl w:val="0"/>
              <w:rPr>
                <w:rFonts w:ascii="Arial" w:hAnsi="Arial" w:cs="Arial"/>
                <w:i w:val="0"/>
                <w:iCs w:val="0"/>
                <w:sz w:val="20"/>
                <w:szCs w:val="20"/>
              </w:rPr>
            </w:pPr>
            <w:r w:rsidRPr="00843751">
              <w:rPr>
                <w:rFonts w:ascii="Arial" w:hAnsi="Arial" w:cs="Arial"/>
                <w:i w:val="0"/>
                <w:iCs w:val="0"/>
                <w:sz w:val="20"/>
                <w:szCs w:val="20"/>
              </w:rPr>
              <w:t>Total</w:t>
            </w:r>
          </w:p>
        </w:tc>
        <w:tc>
          <w:tcPr>
            <w:tcW w:w="979" w:type="dxa"/>
          </w:tcPr>
          <w:p w14:paraId="5EB078AB" w14:textId="2E12B568" w:rsidR="00637A0F" w:rsidRPr="00843751" w:rsidRDefault="00637A0F" w:rsidP="001851B2">
            <w:pPr>
              <w:keepNext/>
              <w:jc w:val="center"/>
              <w:rPr>
                <w:rFonts w:ascii="Arial" w:hAnsi="Arial" w:cs="Arial"/>
                <w:i w:val="0"/>
                <w:iCs w:val="0"/>
                <w:sz w:val="20"/>
                <w:szCs w:val="20"/>
              </w:rPr>
            </w:pPr>
            <w:r w:rsidRPr="00843751">
              <w:rPr>
                <w:rFonts w:ascii="Arial" w:hAnsi="Arial" w:cs="Arial"/>
                <w:i w:val="0"/>
                <w:iCs w:val="0"/>
                <w:color w:val="000000"/>
                <w:sz w:val="20"/>
                <w:szCs w:val="20"/>
              </w:rPr>
              <w:t>2,415</w:t>
            </w:r>
          </w:p>
        </w:tc>
        <w:tc>
          <w:tcPr>
            <w:tcW w:w="980" w:type="dxa"/>
          </w:tcPr>
          <w:p w14:paraId="331231A8" w14:textId="34B71043" w:rsidR="00637A0F" w:rsidRPr="00843751" w:rsidRDefault="00637A0F" w:rsidP="001851B2">
            <w:pPr>
              <w:keepNext/>
              <w:jc w:val="center"/>
              <w:rPr>
                <w:rFonts w:ascii="Arial" w:hAnsi="Arial" w:cs="Arial"/>
                <w:i w:val="0"/>
                <w:iCs w:val="0"/>
                <w:sz w:val="20"/>
                <w:szCs w:val="20"/>
              </w:rPr>
            </w:pPr>
            <w:r w:rsidRPr="00843751">
              <w:rPr>
                <w:rFonts w:ascii="Arial" w:hAnsi="Arial" w:cs="Arial"/>
                <w:i w:val="0"/>
                <w:iCs w:val="0"/>
                <w:color w:val="000000"/>
                <w:sz w:val="20"/>
                <w:szCs w:val="20"/>
              </w:rPr>
              <w:t>100.0%</w:t>
            </w:r>
          </w:p>
        </w:tc>
        <w:tc>
          <w:tcPr>
            <w:tcW w:w="980" w:type="dxa"/>
          </w:tcPr>
          <w:p w14:paraId="5C07C555" w14:textId="5101EED1" w:rsidR="00637A0F" w:rsidRPr="00843751" w:rsidRDefault="00637A0F" w:rsidP="001851B2">
            <w:pPr>
              <w:keepNext/>
              <w:jc w:val="center"/>
              <w:rPr>
                <w:rFonts w:ascii="Arial" w:hAnsi="Arial" w:cs="Arial"/>
                <w:i w:val="0"/>
                <w:iCs w:val="0"/>
                <w:sz w:val="20"/>
                <w:szCs w:val="20"/>
              </w:rPr>
            </w:pPr>
            <w:r w:rsidRPr="00843751">
              <w:rPr>
                <w:rFonts w:ascii="Arial" w:hAnsi="Arial" w:cs="Arial"/>
                <w:i w:val="0"/>
                <w:iCs w:val="0"/>
                <w:color w:val="000000"/>
                <w:sz w:val="20"/>
                <w:szCs w:val="20"/>
              </w:rPr>
              <w:t>6,292</w:t>
            </w:r>
          </w:p>
        </w:tc>
        <w:tc>
          <w:tcPr>
            <w:tcW w:w="980" w:type="dxa"/>
          </w:tcPr>
          <w:p w14:paraId="312A3CC6" w14:textId="21983077" w:rsidR="00637A0F" w:rsidRPr="00843751" w:rsidRDefault="00637A0F" w:rsidP="001851B2">
            <w:pPr>
              <w:keepNext/>
              <w:jc w:val="center"/>
              <w:rPr>
                <w:rFonts w:ascii="Arial" w:hAnsi="Arial" w:cs="Arial"/>
                <w:i w:val="0"/>
                <w:iCs w:val="0"/>
                <w:sz w:val="20"/>
                <w:szCs w:val="20"/>
              </w:rPr>
            </w:pPr>
            <w:r w:rsidRPr="00843751">
              <w:rPr>
                <w:rFonts w:ascii="Arial" w:hAnsi="Arial" w:cs="Arial"/>
                <w:i w:val="0"/>
                <w:iCs w:val="0"/>
                <w:color w:val="000000"/>
                <w:sz w:val="20"/>
                <w:szCs w:val="20"/>
              </w:rPr>
              <w:t>100.0%</w:t>
            </w:r>
          </w:p>
        </w:tc>
        <w:tc>
          <w:tcPr>
            <w:tcW w:w="979" w:type="dxa"/>
          </w:tcPr>
          <w:p w14:paraId="3C6A4B2D" w14:textId="0A264060" w:rsidR="00637A0F" w:rsidRPr="00843751" w:rsidRDefault="00637A0F" w:rsidP="001851B2">
            <w:pPr>
              <w:keepNext/>
              <w:jc w:val="center"/>
              <w:rPr>
                <w:rFonts w:ascii="Arial" w:hAnsi="Arial" w:cs="Arial"/>
                <w:i w:val="0"/>
                <w:iCs w:val="0"/>
                <w:sz w:val="20"/>
                <w:szCs w:val="20"/>
              </w:rPr>
            </w:pPr>
            <w:r w:rsidRPr="00843751">
              <w:rPr>
                <w:rFonts w:ascii="Arial" w:hAnsi="Arial" w:cs="Arial"/>
                <w:i w:val="0"/>
                <w:iCs w:val="0"/>
                <w:color w:val="000000"/>
                <w:sz w:val="20"/>
                <w:szCs w:val="20"/>
              </w:rPr>
              <w:t>4,611</w:t>
            </w:r>
          </w:p>
        </w:tc>
        <w:tc>
          <w:tcPr>
            <w:tcW w:w="980" w:type="dxa"/>
          </w:tcPr>
          <w:p w14:paraId="54D2CF9E" w14:textId="712F6D54" w:rsidR="00637A0F" w:rsidRPr="00843751" w:rsidRDefault="00637A0F" w:rsidP="001851B2">
            <w:pPr>
              <w:keepNext/>
              <w:jc w:val="center"/>
              <w:rPr>
                <w:rFonts w:ascii="Arial" w:hAnsi="Arial" w:cs="Arial"/>
                <w:i w:val="0"/>
                <w:iCs w:val="0"/>
                <w:sz w:val="20"/>
                <w:szCs w:val="20"/>
              </w:rPr>
            </w:pPr>
            <w:r w:rsidRPr="00843751">
              <w:rPr>
                <w:rFonts w:ascii="Arial" w:hAnsi="Arial" w:cs="Arial"/>
                <w:i w:val="0"/>
                <w:iCs w:val="0"/>
                <w:color w:val="000000"/>
                <w:sz w:val="20"/>
                <w:szCs w:val="20"/>
              </w:rPr>
              <w:t>100.0%</w:t>
            </w:r>
          </w:p>
        </w:tc>
        <w:tc>
          <w:tcPr>
            <w:tcW w:w="980" w:type="dxa"/>
          </w:tcPr>
          <w:p w14:paraId="3673CB2C" w14:textId="6FE42BD6" w:rsidR="00637A0F" w:rsidRPr="00843751" w:rsidRDefault="00637A0F" w:rsidP="001851B2">
            <w:pPr>
              <w:keepNext/>
              <w:jc w:val="center"/>
              <w:rPr>
                <w:rFonts w:ascii="Arial" w:hAnsi="Arial" w:cs="Arial"/>
                <w:i w:val="0"/>
                <w:iCs w:val="0"/>
                <w:sz w:val="20"/>
                <w:szCs w:val="20"/>
              </w:rPr>
            </w:pPr>
            <w:r w:rsidRPr="00843751">
              <w:rPr>
                <w:rFonts w:ascii="Arial" w:hAnsi="Arial" w:cs="Arial"/>
                <w:i w:val="0"/>
                <w:iCs w:val="0"/>
                <w:color w:val="000000"/>
                <w:sz w:val="20"/>
                <w:szCs w:val="20"/>
              </w:rPr>
              <w:t>13,317</w:t>
            </w:r>
          </w:p>
        </w:tc>
        <w:tc>
          <w:tcPr>
            <w:cnfStyle w:val="000100000000" w:firstRow="0" w:lastRow="0" w:firstColumn="0" w:lastColumn="1" w:oddVBand="0" w:evenVBand="0" w:oddHBand="0" w:evenHBand="0" w:firstRowFirstColumn="0" w:firstRowLastColumn="0" w:lastRowFirstColumn="0" w:lastRowLastColumn="0"/>
            <w:tcW w:w="980" w:type="dxa"/>
          </w:tcPr>
          <w:p w14:paraId="13462A9B" w14:textId="0B7FC252" w:rsidR="00637A0F" w:rsidRPr="00172F56" w:rsidRDefault="00637A0F" w:rsidP="001851B2">
            <w:pPr>
              <w:keepNext/>
              <w:jc w:val="center"/>
              <w:rPr>
                <w:rFonts w:ascii="Arial" w:hAnsi="Arial" w:cs="Arial"/>
                <w:i w:val="0"/>
                <w:iCs w:val="0"/>
                <w:sz w:val="20"/>
                <w:szCs w:val="20"/>
              </w:rPr>
            </w:pPr>
            <w:r w:rsidRPr="00843751">
              <w:rPr>
                <w:rFonts w:ascii="Arial" w:hAnsi="Arial" w:cs="Arial"/>
                <w:i w:val="0"/>
                <w:iCs w:val="0"/>
                <w:color w:val="000000"/>
                <w:sz w:val="20"/>
                <w:szCs w:val="20"/>
              </w:rPr>
              <w:t>100.0%</w:t>
            </w:r>
          </w:p>
        </w:tc>
      </w:tr>
    </w:tbl>
    <w:p w14:paraId="4ACEB5E3" w14:textId="164780C7" w:rsidR="00CC789D" w:rsidRDefault="00AB789F" w:rsidP="001851B2">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1D66A698" w14:textId="77777777" w:rsidR="00637A0F" w:rsidRDefault="00637A0F" w:rsidP="00172F56">
      <w:pPr>
        <w:pStyle w:val="Reporttext0"/>
        <w:keepLines w:val="0"/>
        <w:widowControl w:val="0"/>
        <w:numPr>
          <w:ilvl w:val="0"/>
          <w:numId w:val="0"/>
        </w:numPr>
        <w:spacing w:line="300" w:lineRule="auto"/>
        <w:jc w:val="both"/>
        <w:rPr>
          <w:rFonts w:ascii="Arial" w:hAnsi="Arial" w:cs="Arial"/>
          <w:sz w:val="20"/>
        </w:rPr>
      </w:pPr>
    </w:p>
    <w:p w14:paraId="7724AEFE" w14:textId="60A56259" w:rsidR="00CC789D" w:rsidRPr="00637A0F" w:rsidRDefault="00637A0F">
      <w:pPr>
        <w:pStyle w:val="11Bodytext"/>
        <w:numPr>
          <w:ilvl w:val="1"/>
          <w:numId w:val="65"/>
        </w:numPr>
        <w:spacing w:before="0" w:after="0" w:line="300" w:lineRule="auto"/>
        <w:ind w:left="720" w:hanging="720"/>
        <w:rPr>
          <w:color w:val="auto"/>
        </w:rPr>
      </w:pPr>
      <w:r>
        <w:t>T</w:t>
      </w:r>
      <w:r w:rsidR="00CC789D" w:rsidRPr="00E12B61">
        <w:t xml:space="preserve">he table below shows the age of the HRP in first-time buyer households. It shows that </w:t>
      </w:r>
      <w:r w:rsidR="002B0F08">
        <w:t>29</w:t>
      </w:r>
      <w:r w:rsidR="00CC789D" w:rsidRPr="00E12B61">
        <w:t xml:space="preserve">% of respondents are aged under 30, whilst </w:t>
      </w:r>
      <w:r w:rsidR="002B0F08">
        <w:t>25</w:t>
      </w:r>
      <w:r w:rsidR="00CC789D" w:rsidRPr="00E12B61">
        <w:t xml:space="preserve">% are between 30 and 39. First-time buyers generally have a younger age profile to other buyers. The median age of first-time buyers in the Borough over the past </w:t>
      </w:r>
      <w:r w:rsidR="002B0F08">
        <w:t>five</w:t>
      </w:r>
      <w:r w:rsidR="00CC789D" w:rsidRPr="00E12B61">
        <w:t xml:space="preserve"> years is </w:t>
      </w:r>
      <w:r w:rsidR="002B0F08">
        <w:t>37</w:t>
      </w:r>
      <w:r w:rsidR="00CC789D" w:rsidRPr="00E12B61">
        <w:t>.</w:t>
      </w:r>
    </w:p>
    <w:p w14:paraId="33BB1F59" w14:textId="77777777" w:rsidR="00637A0F" w:rsidRPr="00637A0F" w:rsidRDefault="00637A0F" w:rsidP="00172F56">
      <w:pPr>
        <w:pStyle w:val="11Bodytext"/>
        <w:numPr>
          <w:ilvl w:val="0"/>
          <w:numId w:val="0"/>
        </w:numPr>
        <w:spacing w:before="0" w:after="0" w:line="300" w:lineRule="auto"/>
        <w:rPr>
          <w:color w:val="auto"/>
        </w:rPr>
      </w:pPr>
    </w:p>
    <w:tbl>
      <w:tblPr>
        <w:tblStyle w:val="TableTheme"/>
        <w:tblW w:w="9639" w:type="dxa"/>
        <w:jc w:val="center"/>
        <w:tblLayout w:type="fixed"/>
        <w:tblLook w:val="01E0" w:firstRow="1" w:lastRow="1" w:firstColumn="1" w:lastColumn="1" w:noHBand="0" w:noVBand="0"/>
      </w:tblPr>
      <w:tblGrid>
        <w:gridCol w:w="1441"/>
        <w:gridCol w:w="1024"/>
        <w:gridCol w:w="1025"/>
        <w:gridCol w:w="1025"/>
        <w:gridCol w:w="1025"/>
        <w:gridCol w:w="1024"/>
        <w:gridCol w:w="1025"/>
        <w:gridCol w:w="1025"/>
        <w:gridCol w:w="1025"/>
      </w:tblGrid>
      <w:tr w:rsidR="002B0F08" w:rsidRPr="002B0F08" w14:paraId="52966E42" w14:textId="77777777" w:rsidTr="008469E3">
        <w:trPr>
          <w:jc w:val="center"/>
        </w:trPr>
        <w:tc>
          <w:tcPr>
            <w:tcW w:w="9639" w:type="dxa"/>
            <w:gridSpan w:val="9"/>
          </w:tcPr>
          <w:p w14:paraId="3B94B2A6" w14:textId="3FDEF548" w:rsidR="002B0F08" w:rsidRPr="002B0F08" w:rsidRDefault="002B0F08" w:rsidP="001851B2">
            <w:pPr>
              <w:keepNext/>
              <w:widowControl w:val="0"/>
              <w:spacing w:before="60" w:after="60" w:line="300" w:lineRule="auto"/>
              <w:jc w:val="center"/>
              <w:rPr>
                <w:rFonts w:ascii="Arial" w:hAnsi="Arial" w:cs="Arial"/>
                <w:b/>
                <w:bCs/>
                <w:sz w:val="20"/>
                <w:szCs w:val="20"/>
              </w:rPr>
            </w:pPr>
            <w:r w:rsidRPr="002B0F08">
              <w:rPr>
                <w:rFonts w:ascii="Arial" w:hAnsi="Arial" w:cs="Arial"/>
                <w:b/>
                <w:bCs/>
                <w:sz w:val="20"/>
                <w:szCs w:val="20"/>
              </w:rPr>
              <w:t>Figure 6.</w:t>
            </w:r>
            <w:bookmarkStart w:id="79" w:name="_Toc372039113"/>
            <w:r w:rsidR="00AD29A6">
              <w:rPr>
                <w:rFonts w:ascii="Arial" w:hAnsi="Arial" w:cs="Arial"/>
                <w:b/>
                <w:bCs/>
                <w:sz w:val="20"/>
                <w:szCs w:val="20"/>
              </w:rPr>
              <w:t>26</w:t>
            </w:r>
            <w:r w:rsidRPr="002B0F08">
              <w:rPr>
                <w:rFonts w:ascii="Arial" w:hAnsi="Arial" w:cs="Arial"/>
                <w:b/>
                <w:bCs/>
                <w:sz w:val="20"/>
                <w:szCs w:val="20"/>
              </w:rPr>
              <w:t>: Age of Recent First-Time Buyers</w:t>
            </w:r>
            <w:bookmarkEnd w:id="79"/>
          </w:p>
        </w:tc>
      </w:tr>
      <w:tr w:rsidR="00CC789D" w:rsidRPr="00E12B61" w14:paraId="4933D570" w14:textId="77777777" w:rsidTr="002B0F08">
        <w:trPr>
          <w:jc w:val="center"/>
        </w:trPr>
        <w:tc>
          <w:tcPr>
            <w:tcW w:w="1441" w:type="dxa"/>
          </w:tcPr>
          <w:p w14:paraId="04205E8E" w14:textId="77777777" w:rsidR="00CC789D" w:rsidRPr="002B0F08" w:rsidRDefault="00CC789D" w:rsidP="001851B2">
            <w:pPr>
              <w:keepNext/>
              <w:widowControl w:val="0"/>
              <w:spacing w:line="300" w:lineRule="auto"/>
              <w:rPr>
                <w:rFonts w:ascii="Arial" w:hAnsi="Arial" w:cs="Arial"/>
                <w:iCs/>
                <w:sz w:val="20"/>
                <w:szCs w:val="20"/>
              </w:rPr>
            </w:pPr>
            <w:r w:rsidRPr="002B0F08">
              <w:rPr>
                <w:rFonts w:ascii="Arial" w:hAnsi="Arial" w:cs="Arial"/>
                <w:iCs/>
                <w:sz w:val="20"/>
                <w:szCs w:val="20"/>
              </w:rPr>
              <w:t>HRP age</w:t>
            </w:r>
          </w:p>
        </w:tc>
        <w:tc>
          <w:tcPr>
            <w:tcW w:w="2049" w:type="dxa"/>
            <w:gridSpan w:val="2"/>
          </w:tcPr>
          <w:p w14:paraId="68D826AE" w14:textId="77777777" w:rsidR="00CC789D" w:rsidRPr="002B0F08" w:rsidRDefault="00CC789D" w:rsidP="001851B2">
            <w:pPr>
              <w:keepNext/>
              <w:widowControl w:val="0"/>
              <w:spacing w:line="300" w:lineRule="auto"/>
              <w:jc w:val="center"/>
              <w:rPr>
                <w:rFonts w:ascii="Arial" w:hAnsi="Arial" w:cs="Arial"/>
                <w:sz w:val="20"/>
                <w:szCs w:val="20"/>
              </w:rPr>
            </w:pPr>
            <w:r w:rsidRPr="002B0F08">
              <w:rPr>
                <w:rFonts w:ascii="Arial" w:hAnsi="Arial" w:cs="Arial"/>
                <w:sz w:val="20"/>
                <w:szCs w:val="20"/>
              </w:rPr>
              <w:t>First time buyer</w:t>
            </w:r>
          </w:p>
        </w:tc>
        <w:tc>
          <w:tcPr>
            <w:tcW w:w="2050" w:type="dxa"/>
            <w:gridSpan w:val="2"/>
          </w:tcPr>
          <w:p w14:paraId="4750CAC9" w14:textId="77777777" w:rsidR="00CC789D" w:rsidRPr="002B0F08" w:rsidRDefault="00CC789D" w:rsidP="001851B2">
            <w:pPr>
              <w:keepNext/>
              <w:widowControl w:val="0"/>
              <w:spacing w:line="300" w:lineRule="auto"/>
              <w:jc w:val="center"/>
              <w:rPr>
                <w:rFonts w:ascii="Arial" w:hAnsi="Arial" w:cs="Arial"/>
                <w:sz w:val="20"/>
                <w:szCs w:val="20"/>
              </w:rPr>
            </w:pPr>
            <w:r w:rsidRPr="002B0F08">
              <w:rPr>
                <w:rFonts w:ascii="Arial" w:hAnsi="Arial" w:cs="Arial"/>
                <w:sz w:val="20"/>
                <w:szCs w:val="20"/>
              </w:rPr>
              <w:t>Other recent buyer</w:t>
            </w:r>
          </w:p>
        </w:tc>
        <w:tc>
          <w:tcPr>
            <w:tcW w:w="2049" w:type="dxa"/>
            <w:gridSpan w:val="2"/>
          </w:tcPr>
          <w:p w14:paraId="0180583D" w14:textId="77777777" w:rsidR="00CC789D" w:rsidRPr="002B0F08" w:rsidRDefault="00CC789D" w:rsidP="001851B2">
            <w:pPr>
              <w:keepNext/>
              <w:widowControl w:val="0"/>
              <w:spacing w:line="300" w:lineRule="auto"/>
              <w:jc w:val="center"/>
              <w:rPr>
                <w:rFonts w:ascii="Arial" w:hAnsi="Arial" w:cs="Arial"/>
                <w:sz w:val="20"/>
                <w:szCs w:val="20"/>
              </w:rPr>
            </w:pPr>
            <w:r w:rsidRPr="002B0F08">
              <w:rPr>
                <w:rFonts w:ascii="Arial" w:hAnsi="Arial" w:cs="Arial"/>
                <w:sz w:val="20"/>
                <w:szCs w:val="20"/>
              </w:rPr>
              <w:t>Other recently moved households</w:t>
            </w:r>
          </w:p>
        </w:tc>
        <w:tc>
          <w:tcPr>
            <w:tcW w:w="2050" w:type="dxa"/>
            <w:gridSpan w:val="2"/>
          </w:tcPr>
          <w:p w14:paraId="33C5E01F" w14:textId="77777777" w:rsidR="00CC789D" w:rsidRPr="002B0F08" w:rsidRDefault="00CC789D" w:rsidP="001851B2">
            <w:pPr>
              <w:keepNext/>
              <w:widowControl w:val="0"/>
              <w:spacing w:line="300" w:lineRule="auto"/>
              <w:jc w:val="center"/>
              <w:rPr>
                <w:rFonts w:ascii="Arial" w:hAnsi="Arial" w:cs="Arial"/>
                <w:sz w:val="20"/>
                <w:szCs w:val="20"/>
              </w:rPr>
            </w:pPr>
            <w:r w:rsidRPr="002B0F08">
              <w:rPr>
                <w:rFonts w:ascii="Arial" w:hAnsi="Arial" w:cs="Arial"/>
                <w:sz w:val="20"/>
                <w:szCs w:val="20"/>
              </w:rPr>
              <w:t>Total (all movers)</w:t>
            </w:r>
          </w:p>
        </w:tc>
      </w:tr>
      <w:tr w:rsidR="002B0F08" w:rsidRPr="00E12B61" w14:paraId="0ECDE329" w14:textId="77777777" w:rsidTr="002B0F08">
        <w:trPr>
          <w:jc w:val="center"/>
        </w:trPr>
        <w:tc>
          <w:tcPr>
            <w:tcW w:w="1441" w:type="dxa"/>
          </w:tcPr>
          <w:p w14:paraId="648FF64D" w14:textId="77777777" w:rsidR="002B0F08" w:rsidRPr="00700148" w:rsidRDefault="002B0F08" w:rsidP="001851B2">
            <w:pPr>
              <w:keepNext/>
              <w:widowControl w:val="0"/>
              <w:spacing w:line="300" w:lineRule="auto"/>
              <w:rPr>
                <w:rFonts w:ascii="Arial" w:hAnsi="Arial" w:cs="Arial"/>
                <w:sz w:val="20"/>
                <w:szCs w:val="20"/>
              </w:rPr>
            </w:pPr>
            <w:r w:rsidRPr="00700148">
              <w:rPr>
                <w:rFonts w:ascii="Arial" w:hAnsi="Arial" w:cs="Arial"/>
                <w:sz w:val="20"/>
                <w:szCs w:val="20"/>
              </w:rPr>
              <w:t>Under 30</w:t>
            </w:r>
          </w:p>
        </w:tc>
        <w:tc>
          <w:tcPr>
            <w:tcW w:w="1024" w:type="dxa"/>
          </w:tcPr>
          <w:p w14:paraId="01E8CA95" w14:textId="1B361645"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688</w:t>
            </w:r>
          </w:p>
        </w:tc>
        <w:tc>
          <w:tcPr>
            <w:tcW w:w="1025" w:type="dxa"/>
          </w:tcPr>
          <w:p w14:paraId="5AB06B1A" w14:textId="1369B167"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28.5%</w:t>
            </w:r>
          </w:p>
        </w:tc>
        <w:tc>
          <w:tcPr>
            <w:tcW w:w="1025" w:type="dxa"/>
          </w:tcPr>
          <w:p w14:paraId="3D09AE66" w14:textId="79FC293E"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211</w:t>
            </w:r>
          </w:p>
        </w:tc>
        <w:tc>
          <w:tcPr>
            <w:tcW w:w="1025" w:type="dxa"/>
          </w:tcPr>
          <w:p w14:paraId="37744364" w14:textId="4914692D"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3.3%</w:t>
            </w:r>
          </w:p>
        </w:tc>
        <w:tc>
          <w:tcPr>
            <w:tcW w:w="1024" w:type="dxa"/>
          </w:tcPr>
          <w:p w14:paraId="024A1FFC" w14:textId="252DB684"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845</w:t>
            </w:r>
          </w:p>
        </w:tc>
        <w:tc>
          <w:tcPr>
            <w:tcW w:w="1025" w:type="dxa"/>
          </w:tcPr>
          <w:p w14:paraId="70B9B30D" w14:textId="02B5BF67"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18.3%</w:t>
            </w:r>
          </w:p>
        </w:tc>
        <w:tc>
          <w:tcPr>
            <w:tcW w:w="1025" w:type="dxa"/>
          </w:tcPr>
          <w:p w14:paraId="1F16F5E2" w14:textId="72E6FFD1"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1,744</w:t>
            </w:r>
          </w:p>
        </w:tc>
        <w:tc>
          <w:tcPr>
            <w:tcW w:w="1025" w:type="dxa"/>
          </w:tcPr>
          <w:p w14:paraId="4EE3A8C1" w14:textId="109CC8E0"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13.1%</w:t>
            </w:r>
          </w:p>
        </w:tc>
      </w:tr>
      <w:tr w:rsidR="002B0F08" w:rsidRPr="00E12B61" w14:paraId="5ACF9C05" w14:textId="77777777" w:rsidTr="002B0F08">
        <w:trPr>
          <w:jc w:val="center"/>
        </w:trPr>
        <w:tc>
          <w:tcPr>
            <w:tcW w:w="1441" w:type="dxa"/>
          </w:tcPr>
          <w:p w14:paraId="0B9056B7" w14:textId="77777777" w:rsidR="002B0F08" w:rsidRPr="00700148" w:rsidRDefault="002B0F08" w:rsidP="001851B2">
            <w:pPr>
              <w:keepNext/>
              <w:widowControl w:val="0"/>
              <w:spacing w:line="300" w:lineRule="auto"/>
              <w:rPr>
                <w:rFonts w:ascii="Arial" w:hAnsi="Arial" w:cs="Arial"/>
                <w:sz w:val="20"/>
                <w:szCs w:val="20"/>
              </w:rPr>
            </w:pPr>
            <w:r w:rsidRPr="00700148">
              <w:rPr>
                <w:rFonts w:ascii="Arial" w:hAnsi="Arial" w:cs="Arial"/>
                <w:sz w:val="20"/>
                <w:szCs w:val="20"/>
              </w:rPr>
              <w:t>30-39</w:t>
            </w:r>
          </w:p>
        </w:tc>
        <w:tc>
          <w:tcPr>
            <w:tcW w:w="1024" w:type="dxa"/>
          </w:tcPr>
          <w:p w14:paraId="3B5B7483" w14:textId="5F5330A5"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594</w:t>
            </w:r>
          </w:p>
        </w:tc>
        <w:tc>
          <w:tcPr>
            <w:tcW w:w="1025" w:type="dxa"/>
          </w:tcPr>
          <w:p w14:paraId="3E918AC0" w14:textId="21B99AEC"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24.6%</w:t>
            </w:r>
          </w:p>
        </w:tc>
        <w:tc>
          <w:tcPr>
            <w:tcW w:w="1025" w:type="dxa"/>
          </w:tcPr>
          <w:p w14:paraId="7084B453" w14:textId="05F89ABB"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493</w:t>
            </w:r>
          </w:p>
        </w:tc>
        <w:tc>
          <w:tcPr>
            <w:tcW w:w="1025" w:type="dxa"/>
          </w:tcPr>
          <w:p w14:paraId="2E06C66B" w14:textId="265FF460"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7.8%</w:t>
            </w:r>
          </w:p>
        </w:tc>
        <w:tc>
          <w:tcPr>
            <w:tcW w:w="1024" w:type="dxa"/>
          </w:tcPr>
          <w:p w14:paraId="54F6D0DC" w14:textId="01A0D2FA"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1,389</w:t>
            </w:r>
          </w:p>
        </w:tc>
        <w:tc>
          <w:tcPr>
            <w:tcW w:w="1025" w:type="dxa"/>
          </w:tcPr>
          <w:p w14:paraId="1BB76788" w14:textId="207D2688"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30.1%</w:t>
            </w:r>
          </w:p>
        </w:tc>
        <w:tc>
          <w:tcPr>
            <w:tcW w:w="1025" w:type="dxa"/>
          </w:tcPr>
          <w:p w14:paraId="660B9D8D" w14:textId="24938AA3"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2,476</w:t>
            </w:r>
          </w:p>
        </w:tc>
        <w:tc>
          <w:tcPr>
            <w:tcW w:w="1025" w:type="dxa"/>
          </w:tcPr>
          <w:p w14:paraId="66A81F8F" w14:textId="170BBBBB"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18.6%</w:t>
            </w:r>
          </w:p>
        </w:tc>
      </w:tr>
      <w:tr w:rsidR="002B0F08" w:rsidRPr="00E12B61" w14:paraId="18BC6D6A" w14:textId="77777777" w:rsidTr="002B0F08">
        <w:trPr>
          <w:jc w:val="center"/>
        </w:trPr>
        <w:tc>
          <w:tcPr>
            <w:tcW w:w="1441" w:type="dxa"/>
          </w:tcPr>
          <w:p w14:paraId="69A15B4F" w14:textId="77777777" w:rsidR="002B0F08" w:rsidRPr="00700148" w:rsidRDefault="002B0F08" w:rsidP="001851B2">
            <w:pPr>
              <w:keepNext/>
              <w:widowControl w:val="0"/>
              <w:spacing w:line="300" w:lineRule="auto"/>
              <w:rPr>
                <w:rFonts w:ascii="Arial" w:hAnsi="Arial" w:cs="Arial"/>
                <w:sz w:val="20"/>
                <w:szCs w:val="20"/>
              </w:rPr>
            </w:pPr>
            <w:r w:rsidRPr="00700148">
              <w:rPr>
                <w:rFonts w:ascii="Arial" w:hAnsi="Arial" w:cs="Arial"/>
                <w:sz w:val="20"/>
                <w:szCs w:val="20"/>
              </w:rPr>
              <w:t>40-49</w:t>
            </w:r>
          </w:p>
        </w:tc>
        <w:tc>
          <w:tcPr>
            <w:tcW w:w="1024" w:type="dxa"/>
          </w:tcPr>
          <w:p w14:paraId="6E38CA53" w14:textId="4D93B3EF"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340</w:t>
            </w:r>
          </w:p>
        </w:tc>
        <w:tc>
          <w:tcPr>
            <w:tcW w:w="1025" w:type="dxa"/>
          </w:tcPr>
          <w:p w14:paraId="13B6D02F" w14:textId="3548A2C7"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14.1%</w:t>
            </w:r>
          </w:p>
        </w:tc>
        <w:tc>
          <w:tcPr>
            <w:tcW w:w="1025" w:type="dxa"/>
          </w:tcPr>
          <w:p w14:paraId="675D62A1" w14:textId="205473B4"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917</w:t>
            </w:r>
          </w:p>
        </w:tc>
        <w:tc>
          <w:tcPr>
            <w:tcW w:w="1025" w:type="dxa"/>
          </w:tcPr>
          <w:p w14:paraId="049DA63D" w14:textId="64325EDF"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14.6%</w:t>
            </w:r>
          </w:p>
        </w:tc>
        <w:tc>
          <w:tcPr>
            <w:tcW w:w="1024" w:type="dxa"/>
          </w:tcPr>
          <w:p w14:paraId="2EFF2D48" w14:textId="579E2C80"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610</w:t>
            </w:r>
          </w:p>
        </w:tc>
        <w:tc>
          <w:tcPr>
            <w:tcW w:w="1025" w:type="dxa"/>
          </w:tcPr>
          <w:p w14:paraId="0E78E2B3" w14:textId="20D21EA7"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13.2%</w:t>
            </w:r>
          </w:p>
        </w:tc>
        <w:tc>
          <w:tcPr>
            <w:tcW w:w="1025" w:type="dxa"/>
          </w:tcPr>
          <w:p w14:paraId="4E9DA1B4" w14:textId="5BF2158A"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1,868</w:t>
            </w:r>
          </w:p>
        </w:tc>
        <w:tc>
          <w:tcPr>
            <w:tcW w:w="1025" w:type="dxa"/>
          </w:tcPr>
          <w:p w14:paraId="10514478" w14:textId="06AA2260"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14.0%</w:t>
            </w:r>
          </w:p>
        </w:tc>
      </w:tr>
      <w:tr w:rsidR="002B0F08" w:rsidRPr="00E12B61" w14:paraId="264FFE12" w14:textId="77777777" w:rsidTr="002B0F08">
        <w:trPr>
          <w:jc w:val="center"/>
        </w:trPr>
        <w:tc>
          <w:tcPr>
            <w:tcW w:w="1441" w:type="dxa"/>
          </w:tcPr>
          <w:p w14:paraId="0FBE295E" w14:textId="77777777" w:rsidR="002B0F08" w:rsidRPr="00700148" w:rsidRDefault="002B0F08" w:rsidP="001851B2">
            <w:pPr>
              <w:keepNext/>
              <w:widowControl w:val="0"/>
              <w:spacing w:line="300" w:lineRule="auto"/>
              <w:rPr>
                <w:rFonts w:ascii="Arial" w:hAnsi="Arial" w:cs="Arial"/>
                <w:sz w:val="20"/>
                <w:szCs w:val="20"/>
              </w:rPr>
            </w:pPr>
            <w:r w:rsidRPr="00700148">
              <w:rPr>
                <w:rFonts w:ascii="Arial" w:hAnsi="Arial" w:cs="Arial"/>
                <w:sz w:val="20"/>
                <w:szCs w:val="20"/>
              </w:rPr>
              <w:t>50 and over</w:t>
            </w:r>
          </w:p>
        </w:tc>
        <w:tc>
          <w:tcPr>
            <w:tcW w:w="1024" w:type="dxa"/>
          </w:tcPr>
          <w:p w14:paraId="0D45B4EC" w14:textId="2B491C5F"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792</w:t>
            </w:r>
          </w:p>
        </w:tc>
        <w:tc>
          <w:tcPr>
            <w:tcW w:w="1025" w:type="dxa"/>
          </w:tcPr>
          <w:p w14:paraId="463A76EF" w14:textId="52C40E51"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32.8%</w:t>
            </w:r>
          </w:p>
        </w:tc>
        <w:tc>
          <w:tcPr>
            <w:tcW w:w="1025" w:type="dxa"/>
          </w:tcPr>
          <w:p w14:paraId="4BF18750" w14:textId="54966E08"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4,671</w:t>
            </w:r>
          </w:p>
        </w:tc>
        <w:tc>
          <w:tcPr>
            <w:tcW w:w="1025" w:type="dxa"/>
          </w:tcPr>
          <w:p w14:paraId="0BE0F5C3" w14:textId="0F8974A2"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74.2%</w:t>
            </w:r>
          </w:p>
        </w:tc>
        <w:tc>
          <w:tcPr>
            <w:tcW w:w="1024" w:type="dxa"/>
          </w:tcPr>
          <w:p w14:paraId="5040EA51" w14:textId="2DD85254"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1,766</w:t>
            </w:r>
          </w:p>
        </w:tc>
        <w:tc>
          <w:tcPr>
            <w:tcW w:w="1025" w:type="dxa"/>
          </w:tcPr>
          <w:p w14:paraId="656A1345" w14:textId="180D6CC1"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38.3%</w:t>
            </w:r>
          </w:p>
        </w:tc>
        <w:tc>
          <w:tcPr>
            <w:tcW w:w="1025" w:type="dxa"/>
          </w:tcPr>
          <w:p w14:paraId="317222D9" w14:textId="09695BC5"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7,229</w:t>
            </w:r>
          </w:p>
        </w:tc>
        <w:tc>
          <w:tcPr>
            <w:tcW w:w="1025" w:type="dxa"/>
          </w:tcPr>
          <w:p w14:paraId="02AF9E13" w14:textId="4C94F8C2"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54.3%</w:t>
            </w:r>
          </w:p>
        </w:tc>
      </w:tr>
      <w:tr w:rsidR="002B0F08" w:rsidRPr="00E12B61" w14:paraId="5BB6C015" w14:textId="77777777" w:rsidTr="002B0F08">
        <w:trPr>
          <w:jc w:val="center"/>
        </w:trPr>
        <w:tc>
          <w:tcPr>
            <w:tcW w:w="1441" w:type="dxa"/>
          </w:tcPr>
          <w:p w14:paraId="65D2B0BC" w14:textId="77777777" w:rsidR="002B0F08" w:rsidRPr="00700148" w:rsidRDefault="002B0F08" w:rsidP="001851B2">
            <w:pPr>
              <w:keepNext/>
              <w:widowControl w:val="0"/>
              <w:spacing w:line="300" w:lineRule="auto"/>
              <w:rPr>
                <w:rFonts w:ascii="Arial" w:hAnsi="Arial" w:cs="Arial"/>
                <w:sz w:val="20"/>
                <w:szCs w:val="20"/>
              </w:rPr>
            </w:pPr>
            <w:r w:rsidRPr="00700148">
              <w:rPr>
                <w:rFonts w:ascii="Arial" w:hAnsi="Arial" w:cs="Arial"/>
                <w:sz w:val="20"/>
                <w:szCs w:val="20"/>
              </w:rPr>
              <w:t>Total</w:t>
            </w:r>
          </w:p>
        </w:tc>
        <w:tc>
          <w:tcPr>
            <w:tcW w:w="1024" w:type="dxa"/>
          </w:tcPr>
          <w:p w14:paraId="5ED315FB" w14:textId="556D747A"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2,415</w:t>
            </w:r>
          </w:p>
        </w:tc>
        <w:tc>
          <w:tcPr>
            <w:tcW w:w="1025" w:type="dxa"/>
          </w:tcPr>
          <w:p w14:paraId="62FF176C" w14:textId="048C0758"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100.0%</w:t>
            </w:r>
          </w:p>
        </w:tc>
        <w:tc>
          <w:tcPr>
            <w:tcW w:w="1025" w:type="dxa"/>
          </w:tcPr>
          <w:p w14:paraId="6F3270E2" w14:textId="75AA7039"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6,292</w:t>
            </w:r>
          </w:p>
        </w:tc>
        <w:tc>
          <w:tcPr>
            <w:tcW w:w="1025" w:type="dxa"/>
          </w:tcPr>
          <w:p w14:paraId="7D218875" w14:textId="6B5A15E4"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100.0%</w:t>
            </w:r>
          </w:p>
        </w:tc>
        <w:tc>
          <w:tcPr>
            <w:tcW w:w="1024" w:type="dxa"/>
          </w:tcPr>
          <w:p w14:paraId="0A7CE22C" w14:textId="6E5BA847"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4,611</w:t>
            </w:r>
          </w:p>
        </w:tc>
        <w:tc>
          <w:tcPr>
            <w:tcW w:w="1025" w:type="dxa"/>
          </w:tcPr>
          <w:p w14:paraId="73FD7A96" w14:textId="1DCC2975"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100.0%</w:t>
            </w:r>
          </w:p>
        </w:tc>
        <w:tc>
          <w:tcPr>
            <w:tcW w:w="1025" w:type="dxa"/>
          </w:tcPr>
          <w:p w14:paraId="5E54CD11" w14:textId="27DD363B"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13,317</w:t>
            </w:r>
          </w:p>
        </w:tc>
        <w:tc>
          <w:tcPr>
            <w:tcW w:w="1025" w:type="dxa"/>
          </w:tcPr>
          <w:p w14:paraId="764BF9B0" w14:textId="0CB01CF3" w:rsidR="002B0F08" w:rsidRPr="00700148" w:rsidRDefault="002B0F08" w:rsidP="001851B2">
            <w:pPr>
              <w:keepNext/>
              <w:spacing w:line="300" w:lineRule="auto"/>
              <w:jc w:val="center"/>
              <w:rPr>
                <w:rFonts w:ascii="Arial" w:hAnsi="Arial" w:cs="Arial"/>
                <w:sz w:val="20"/>
                <w:szCs w:val="20"/>
              </w:rPr>
            </w:pPr>
            <w:r w:rsidRPr="00700148">
              <w:rPr>
                <w:rFonts w:ascii="Arial" w:hAnsi="Arial" w:cs="Arial"/>
                <w:color w:val="000000"/>
                <w:sz w:val="20"/>
                <w:szCs w:val="20"/>
              </w:rPr>
              <w:t>100.0%</w:t>
            </w:r>
          </w:p>
        </w:tc>
      </w:tr>
    </w:tbl>
    <w:p w14:paraId="0CF3DC3E" w14:textId="151FF8A6" w:rsidR="00CC789D" w:rsidRDefault="00AB789F" w:rsidP="001851B2">
      <w:pPr>
        <w:pStyle w:val="Reporttext0"/>
        <w:keepLines w:val="0"/>
        <w:widowControl w:val="0"/>
        <w:numPr>
          <w:ilvl w:val="0"/>
          <w:numId w:val="0"/>
        </w:numPr>
        <w:spacing w:line="300" w:lineRule="auto"/>
        <w:jc w:val="center"/>
        <w:rPr>
          <w:rFonts w:ascii="Arial" w:hAnsi="Arial" w:cs="Arial"/>
          <w:sz w:val="20"/>
        </w:rPr>
      </w:pPr>
      <w:r>
        <w:rPr>
          <w:rFonts w:ascii="Arial" w:hAnsi="Arial" w:cs="Arial"/>
          <w:sz w:val="20"/>
        </w:rPr>
        <w:t>Source: Household survey</w:t>
      </w:r>
    </w:p>
    <w:p w14:paraId="4FDA19E4" w14:textId="30C52D44" w:rsidR="00330A02" w:rsidRDefault="00330A02" w:rsidP="0033047F">
      <w:pPr>
        <w:pStyle w:val="11Bodytext"/>
        <w:numPr>
          <w:ilvl w:val="0"/>
          <w:numId w:val="0"/>
        </w:numPr>
        <w:spacing w:before="0" w:after="0" w:line="300" w:lineRule="auto"/>
        <w:ind w:left="794" w:hanging="794"/>
        <w:rPr>
          <w:color w:val="auto"/>
        </w:rPr>
      </w:pPr>
    </w:p>
    <w:p w14:paraId="28D7BA77" w14:textId="0CF19912" w:rsidR="00700148" w:rsidRPr="007236BD" w:rsidRDefault="00700148" w:rsidP="00172F56">
      <w:pPr>
        <w:spacing w:line="300" w:lineRule="auto"/>
        <w:jc w:val="both"/>
        <w:rPr>
          <w:rFonts w:ascii="Arial" w:hAnsi="Arial" w:cs="Arial"/>
          <w:b/>
          <w:lang w:eastAsia="ja-JP"/>
        </w:rPr>
      </w:pPr>
      <w:r>
        <w:rPr>
          <w:rFonts w:ascii="Arial" w:hAnsi="Arial" w:cs="Arial"/>
          <w:b/>
          <w:lang w:eastAsia="ja-JP"/>
        </w:rPr>
        <w:t>Summary</w:t>
      </w:r>
    </w:p>
    <w:p w14:paraId="771920B3" w14:textId="77777777" w:rsidR="00700148" w:rsidRPr="00E12B61" w:rsidRDefault="00700148" w:rsidP="00172F56">
      <w:pPr>
        <w:spacing w:line="300" w:lineRule="auto"/>
        <w:jc w:val="both"/>
        <w:rPr>
          <w:rFonts w:ascii="Arial" w:hAnsi="Arial" w:cs="Arial"/>
          <w:sz w:val="20"/>
          <w:szCs w:val="20"/>
          <w:lang w:eastAsia="ja-JP"/>
        </w:rPr>
      </w:pPr>
    </w:p>
    <w:p w14:paraId="1EF256E0" w14:textId="0635D742" w:rsidR="00700148" w:rsidRPr="00700148" w:rsidRDefault="00700148">
      <w:pPr>
        <w:pStyle w:val="11Bodytext"/>
        <w:numPr>
          <w:ilvl w:val="1"/>
          <w:numId w:val="65"/>
        </w:numPr>
        <w:spacing w:before="0" w:after="0" w:line="300" w:lineRule="auto"/>
        <w:ind w:left="720" w:hanging="720"/>
        <w:rPr>
          <w:color w:val="auto"/>
        </w:rPr>
      </w:pPr>
      <w:r w:rsidRPr="00251085">
        <w:t>The final section of the report considers survey data about a range of different household groups within Fylde. In particular the information focuses on the key characteristics of each group and contrasts data with other households in the Borough. For the purposes of the study we have studied the following groups:</w:t>
      </w:r>
    </w:p>
    <w:p w14:paraId="51FB95CF" w14:textId="77777777" w:rsidR="00700148" w:rsidRPr="00251085" w:rsidRDefault="00700148" w:rsidP="00172F56">
      <w:pPr>
        <w:pStyle w:val="11Bodytext"/>
        <w:numPr>
          <w:ilvl w:val="0"/>
          <w:numId w:val="0"/>
        </w:numPr>
        <w:spacing w:before="0" w:after="0" w:line="300" w:lineRule="auto"/>
        <w:ind w:left="794" w:hanging="794"/>
        <w:rPr>
          <w:color w:val="auto"/>
        </w:rPr>
      </w:pPr>
    </w:p>
    <w:p w14:paraId="3BAEF626" w14:textId="7EB657B7" w:rsidR="00700148" w:rsidRDefault="00700148">
      <w:pPr>
        <w:pStyle w:val="Bulletblueplain"/>
        <w:numPr>
          <w:ilvl w:val="0"/>
          <w:numId w:val="83"/>
        </w:numPr>
        <w:spacing w:before="0" w:after="0" w:line="300" w:lineRule="auto"/>
        <w:rPr>
          <w:szCs w:val="20"/>
        </w:rPr>
      </w:pPr>
      <w:r w:rsidRPr="00251085">
        <w:rPr>
          <w:szCs w:val="20"/>
        </w:rPr>
        <w:t>Households with support needs</w:t>
      </w:r>
      <w:r w:rsidR="00590AAB">
        <w:rPr>
          <w:szCs w:val="20"/>
        </w:rPr>
        <w:t>;</w:t>
      </w:r>
    </w:p>
    <w:p w14:paraId="4225E260" w14:textId="6353503F" w:rsidR="00700148" w:rsidRPr="00251085" w:rsidRDefault="00700148">
      <w:pPr>
        <w:pStyle w:val="Bulletblueplain"/>
        <w:numPr>
          <w:ilvl w:val="0"/>
          <w:numId w:val="83"/>
        </w:numPr>
        <w:spacing w:before="0" w:after="0" w:line="300" w:lineRule="auto"/>
        <w:rPr>
          <w:szCs w:val="20"/>
        </w:rPr>
      </w:pPr>
      <w:r w:rsidRPr="00251085">
        <w:rPr>
          <w:szCs w:val="20"/>
        </w:rPr>
        <w:t>Older person households</w:t>
      </w:r>
      <w:r w:rsidR="00590AAB">
        <w:rPr>
          <w:szCs w:val="20"/>
        </w:rPr>
        <w:t>;</w:t>
      </w:r>
    </w:p>
    <w:p w14:paraId="426A5D28" w14:textId="0103118F" w:rsidR="00700148" w:rsidRPr="00251085" w:rsidRDefault="00700148">
      <w:pPr>
        <w:pStyle w:val="Bulletblueplain"/>
        <w:numPr>
          <w:ilvl w:val="0"/>
          <w:numId w:val="83"/>
        </w:numPr>
        <w:spacing w:before="0" w:after="0" w:line="300" w:lineRule="auto"/>
        <w:rPr>
          <w:szCs w:val="20"/>
        </w:rPr>
      </w:pPr>
      <w:r w:rsidRPr="00251085">
        <w:rPr>
          <w:szCs w:val="20"/>
        </w:rPr>
        <w:t>Families (households with children)</w:t>
      </w:r>
      <w:r w:rsidR="00590AAB">
        <w:rPr>
          <w:szCs w:val="20"/>
        </w:rPr>
        <w:t>; and</w:t>
      </w:r>
    </w:p>
    <w:p w14:paraId="0584B109" w14:textId="24DC0E30" w:rsidR="00700148" w:rsidRPr="00251085" w:rsidRDefault="00700148">
      <w:pPr>
        <w:pStyle w:val="Bulletblueplain"/>
        <w:numPr>
          <w:ilvl w:val="0"/>
          <w:numId w:val="83"/>
        </w:numPr>
        <w:spacing w:before="0" w:after="0" w:line="300" w:lineRule="auto"/>
        <w:rPr>
          <w:szCs w:val="20"/>
        </w:rPr>
      </w:pPr>
      <w:r w:rsidRPr="00251085">
        <w:rPr>
          <w:szCs w:val="20"/>
        </w:rPr>
        <w:t>Young people (and first-time buyers)</w:t>
      </w:r>
      <w:r w:rsidR="00590AAB">
        <w:rPr>
          <w:szCs w:val="20"/>
        </w:rPr>
        <w:t>.</w:t>
      </w:r>
    </w:p>
    <w:p w14:paraId="73F0D76C" w14:textId="77777777" w:rsidR="00700148" w:rsidRPr="00700148" w:rsidRDefault="00700148" w:rsidP="00172F56">
      <w:pPr>
        <w:pStyle w:val="11Bodytext"/>
        <w:numPr>
          <w:ilvl w:val="0"/>
          <w:numId w:val="0"/>
        </w:numPr>
        <w:spacing w:before="0" w:after="0" w:line="300" w:lineRule="auto"/>
        <w:rPr>
          <w:color w:val="auto"/>
        </w:rPr>
      </w:pPr>
    </w:p>
    <w:p w14:paraId="5E77D69C" w14:textId="714DF278" w:rsidR="00700148" w:rsidRPr="00700148" w:rsidRDefault="00700148">
      <w:pPr>
        <w:pStyle w:val="11Bodytext"/>
        <w:numPr>
          <w:ilvl w:val="1"/>
          <w:numId w:val="65"/>
        </w:numPr>
        <w:spacing w:before="0" w:after="0" w:line="300" w:lineRule="auto"/>
        <w:ind w:left="720" w:hanging="720"/>
        <w:rPr>
          <w:color w:val="auto"/>
        </w:rPr>
      </w:pPr>
      <w:r w:rsidRPr="00700148">
        <w:t>The survey identifies around a quarter of households as containing someone with a support need – in particular those with some form of physical disability. Support needs households see a high concentration in the social rented sector, are more likely to be living in household that can be considered as unsuitable and typically have low income levels (and low savings) – the average income of a household with a support need is around £19,800, compared with a Borough average of 30,400. These households particularly highlighted a need for help maintaining their home as the main improvement to their services.</w:t>
      </w:r>
    </w:p>
    <w:p w14:paraId="565BE9FE" w14:textId="77777777" w:rsidR="00700148" w:rsidRPr="00700148" w:rsidRDefault="00700148" w:rsidP="00172F56">
      <w:pPr>
        <w:pStyle w:val="11Bodytext"/>
        <w:numPr>
          <w:ilvl w:val="0"/>
          <w:numId w:val="0"/>
        </w:numPr>
        <w:spacing w:before="0" w:after="0" w:line="300" w:lineRule="auto"/>
        <w:rPr>
          <w:color w:val="auto"/>
        </w:rPr>
      </w:pPr>
    </w:p>
    <w:p w14:paraId="2B391A61" w14:textId="449795A5" w:rsidR="00700148" w:rsidRPr="00700148" w:rsidRDefault="00700148">
      <w:pPr>
        <w:pStyle w:val="11Bodytext"/>
        <w:numPr>
          <w:ilvl w:val="1"/>
          <w:numId w:val="65"/>
        </w:numPr>
        <w:spacing w:before="0" w:after="0" w:line="300" w:lineRule="auto"/>
        <w:ind w:left="720" w:hanging="720"/>
        <w:rPr>
          <w:color w:val="auto"/>
        </w:rPr>
      </w:pPr>
      <w:r w:rsidRPr="00700148">
        <w:t>Around a third of households are made up entirely of people aged 65 and over (with a further 9% containing people aged 65+ and under 65). Older person households tend to be smaller and are highly likely to be an outright owner. There is also a considerable degree of under-occupation amongst these households, which could present an opportunity to release larger homes if suitable smaller homes (possibly bungalows) were available.</w:t>
      </w:r>
    </w:p>
    <w:p w14:paraId="0654A5A6" w14:textId="77777777" w:rsidR="00700148" w:rsidRPr="00700148" w:rsidRDefault="00700148" w:rsidP="00172F56">
      <w:pPr>
        <w:pStyle w:val="11Bodytext"/>
        <w:numPr>
          <w:ilvl w:val="0"/>
          <w:numId w:val="0"/>
        </w:numPr>
        <w:spacing w:before="0" w:after="0" w:line="300" w:lineRule="auto"/>
        <w:rPr>
          <w:color w:val="auto"/>
        </w:rPr>
      </w:pPr>
    </w:p>
    <w:p w14:paraId="7F2FDACD" w14:textId="6CC7B3CF" w:rsidR="00700148" w:rsidRPr="00700148" w:rsidRDefault="00700148">
      <w:pPr>
        <w:pStyle w:val="11Bodytext"/>
        <w:numPr>
          <w:ilvl w:val="1"/>
          <w:numId w:val="65"/>
        </w:numPr>
        <w:spacing w:before="0" w:after="0" w:line="300" w:lineRule="auto"/>
        <w:ind w:left="720" w:hanging="720"/>
        <w:rPr>
          <w:color w:val="auto"/>
        </w:rPr>
      </w:pPr>
      <w:r w:rsidRPr="00700148">
        <w:t>Around 21% of households contain children (aged under 16) with over a quarter of these being lone parent households. Overall</w:t>
      </w:r>
      <w:r w:rsidR="0087707F">
        <w:t>,</w:t>
      </w:r>
      <w:r w:rsidRPr="00700148">
        <w:t xml:space="preserve"> the lone parent households in the survey do show characteristics of being more disadvantaged than other households with children (and households generally) with a high dependency on private rented housing, high levels of housing considered as unsuitable (including high overcrowding) and low incomes.</w:t>
      </w:r>
    </w:p>
    <w:p w14:paraId="11BD2255" w14:textId="77777777" w:rsidR="00700148" w:rsidRPr="00700148" w:rsidRDefault="00700148" w:rsidP="00172F56">
      <w:pPr>
        <w:pStyle w:val="11Bodytext"/>
        <w:numPr>
          <w:ilvl w:val="0"/>
          <w:numId w:val="0"/>
        </w:numPr>
        <w:spacing w:before="0" w:after="0" w:line="300" w:lineRule="auto"/>
        <w:rPr>
          <w:color w:val="auto"/>
        </w:rPr>
      </w:pPr>
    </w:p>
    <w:p w14:paraId="4D7B04FE" w14:textId="176D99E8" w:rsidR="00700148" w:rsidRPr="00700148" w:rsidRDefault="00700148">
      <w:pPr>
        <w:pStyle w:val="11Bodytext"/>
        <w:numPr>
          <w:ilvl w:val="1"/>
          <w:numId w:val="65"/>
        </w:numPr>
        <w:spacing w:before="0" w:after="0" w:line="300" w:lineRule="auto"/>
        <w:ind w:left="720" w:hanging="720"/>
        <w:rPr>
          <w:color w:val="auto"/>
        </w:rPr>
      </w:pPr>
      <w:r w:rsidRPr="00700148">
        <w:t>Around 12.5% of households in the survey are headed by someone aged Under 35, over half of these households contain children, along with a high proportion of lone parents. As with the analysis of families, the younger lone parent households look to be particularly disadvantaged. The survey also identifies that around 2,400 households have been first-time buyers over the past 5-years, these households have an average age of 37 and are mainly 2 and 1</w:t>
      </w:r>
      <w:r w:rsidR="004879C1">
        <w:t>-</w:t>
      </w:r>
      <w:r w:rsidRPr="00700148">
        <w:t>person households.</w:t>
      </w:r>
    </w:p>
    <w:p w14:paraId="753AC8FC" w14:textId="6B3D6D78" w:rsidR="00BB6BBC" w:rsidRDefault="00BB6BBC" w:rsidP="0033047F">
      <w:pPr>
        <w:pStyle w:val="11Bodytext"/>
        <w:numPr>
          <w:ilvl w:val="0"/>
          <w:numId w:val="0"/>
        </w:numPr>
        <w:spacing w:before="0" w:after="0" w:line="300" w:lineRule="auto"/>
        <w:ind w:left="794" w:hanging="794"/>
        <w:rPr>
          <w:color w:val="auto"/>
        </w:rPr>
      </w:pPr>
    </w:p>
    <w:p w14:paraId="2E9D9399" w14:textId="28DB17FC" w:rsidR="00BB6BBC" w:rsidRDefault="00BB6BBC">
      <w:pPr>
        <w:rPr>
          <w:rFonts w:ascii="Arial" w:eastAsia="MS PGothic" w:hAnsi="Arial" w:cs="Arial"/>
          <w:bCs/>
          <w:sz w:val="20"/>
          <w:szCs w:val="20"/>
          <w:lang w:eastAsia="ja-JP"/>
        </w:rPr>
      </w:pPr>
      <w:r>
        <w:br w:type="page"/>
      </w:r>
    </w:p>
    <w:p w14:paraId="720B01AA" w14:textId="4C9C89C9" w:rsidR="00BB6BBC" w:rsidRPr="007236BD" w:rsidRDefault="00BB6BBC" w:rsidP="00BB6BBC">
      <w:pPr>
        <w:pStyle w:val="ReportHeading1"/>
        <w:pageBreakBefore w:val="0"/>
        <w:widowControl w:val="0"/>
        <w:spacing w:before="0" w:after="0"/>
        <w:jc w:val="both"/>
        <w:rPr>
          <w:rFonts w:ascii="Arial Bold" w:hAnsi="Arial Bold" w:cs="Arial"/>
          <w:color w:val="0093D5"/>
          <w:sz w:val="32"/>
          <w:szCs w:val="32"/>
        </w:rPr>
      </w:pPr>
      <w:bookmarkStart w:id="80" w:name="_Toc112937736"/>
      <w:r>
        <w:rPr>
          <w:rFonts w:ascii="Arial Bold" w:hAnsi="Arial Bold" w:cs="Arial"/>
          <w:color w:val="0093D5"/>
          <w:sz w:val="32"/>
          <w:szCs w:val="32"/>
        </w:rPr>
        <w:t>7</w:t>
      </w:r>
      <w:r w:rsidRPr="007236BD">
        <w:rPr>
          <w:rFonts w:ascii="Arial Bold" w:hAnsi="Arial Bold" w:cs="Arial"/>
          <w:color w:val="0093D5"/>
          <w:sz w:val="32"/>
          <w:szCs w:val="32"/>
        </w:rPr>
        <w:t>.</w:t>
      </w:r>
      <w:r w:rsidRPr="007236BD">
        <w:rPr>
          <w:rFonts w:ascii="Arial Bold" w:hAnsi="Arial Bold" w:cs="Arial"/>
          <w:color w:val="0093D5"/>
          <w:sz w:val="32"/>
          <w:szCs w:val="32"/>
        </w:rPr>
        <w:tab/>
      </w:r>
      <w:r>
        <w:rPr>
          <w:rFonts w:ascii="Arial Bold" w:hAnsi="Arial Bold" w:cs="Arial"/>
          <w:color w:val="0093D5"/>
          <w:sz w:val="32"/>
          <w:szCs w:val="32"/>
        </w:rPr>
        <w:t>Stakeholder Input</w:t>
      </w:r>
      <w:bookmarkEnd w:id="80"/>
    </w:p>
    <w:tbl>
      <w:tblPr>
        <w:tblW w:w="9639" w:type="dxa"/>
        <w:jc w:val="center"/>
        <w:tblBorders>
          <w:bottom w:val="single" w:sz="12" w:space="0" w:color="0093D5"/>
        </w:tblBorders>
        <w:tblLook w:val="01E0" w:firstRow="1" w:lastRow="1" w:firstColumn="1" w:lastColumn="1" w:noHBand="0" w:noVBand="0"/>
      </w:tblPr>
      <w:tblGrid>
        <w:gridCol w:w="9639"/>
      </w:tblGrid>
      <w:tr w:rsidR="00BB6BBC" w:rsidRPr="007236BD" w14:paraId="186B505A" w14:textId="77777777" w:rsidTr="00B17E76">
        <w:trPr>
          <w:jc w:val="center"/>
        </w:trPr>
        <w:tc>
          <w:tcPr>
            <w:tcW w:w="9639" w:type="dxa"/>
            <w:shd w:val="clear" w:color="auto" w:fill="auto"/>
            <w:vAlign w:val="center"/>
          </w:tcPr>
          <w:p w14:paraId="2B4BDD08" w14:textId="77777777" w:rsidR="00BB6BBC" w:rsidRPr="007236BD" w:rsidRDefault="00BB6BBC" w:rsidP="00B17E76">
            <w:pPr>
              <w:keepNext/>
              <w:keepLines/>
              <w:jc w:val="both"/>
              <w:rPr>
                <w:rFonts w:ascii="Arial" w:hAnsi="Arial"/>
                <w:sz w:val="2"/>
                <w:szCs w:val="2"/>
              </w:rPr>
            </w:pPr>
          </w:p>
        </w:tc>
      </w:tr>
    </w:tbl>
    <w:p w14:paraId="67F65B5E" w14:textId="77777777" w:rsidR="00BB6BBC" w:rsidRPr="001851B2" w:rsidRDefault="00BB6BBC" w:rsidP="001851B2">
      <w:pPr>
        <w:widowControl w:val="0"/>
        <w:spacing w:line="300" w:lineRule="auto"/>
        <w:jc w:val="both"/>
        <w:rPr>
          <w:rFonts w:ascii="Arial" w:hAnsi="Arial" w:cs="Arial"/>
          <w:sz w:val="20"/>
          <w:szCs w:val="20"/>
        </w:rPr>
      </w:pPr>
    </w:p>
    <w:p w14:paraId="7833D59E" w14:textId="12287726" w:rsidR="00BB6BBC" w:rsidRPr="00172F56" w:rsidRDefault="00BB6BBC" w:rsidP="00172F56">
      <w:pPr>
        <w:spacing w:line="300" w:lineRule="auto"/>
        <w:jc w:val="both"/>
        <w:rPr>
          <w:rFonts w:ascii="Arial" w:hAnsi="Arial" w:cs="Arial"/>
          <w:b/>
        </w:rPr>
      </w:pPr>
      <w:r w:rsidRPr="00172F56">
        <w:rPr>
          <w:rFonts w:ascii="Arial" w:hAnsi="Arial" w:cs="Arial"/>
          <w:b/>
          <w:lang w:eastAsia="ja-JP"/>
        </w:rPr>
        <w:t>Introduction</w:t>
      </w:r>
    </w:p>
    <w:p w14:paraId="54DA8A3C" w14:textId="77777777" w:rsidR="001851B2" w:rsidRDefault="001851B2" w:rsidP="00172F56">
      <w:pPr>
        <w:pStyle w:val="11Bodytext"/>
        <w:numPr>
          <w:ilvl w:val="0"/>
          <w:numId w:val="0"/>
        </w:numPr>
        <w:spacing w:before="0" w:after="0" w:line="300" w:lineRule="auto"/>
        <w:ind w:left="794" w:hanging="794"/>
      </w:pPr>
    </w:p>
    <w:p w14:paraId="73A6C069" w14:textId="600C59B6" w:rsidR="00BB6BBC" w:rsidRPr="001851B2" w:rsidRDefault="00D8007F" w:rsidP="00172F56">
      <w:pPr>
        <w:pStyle w:val="11Bodytext"/>
        <w:spacing w:before="0" w:after="0" w:line="300" w:lineRule="auto"/>
        <w:ind w:left="720" w:hanging="720"/>
      </w:pPr>
      <w:r w:rsidRPr="001851B2">
        <w:t xml:space="preserve">The project methodology involved seeking qualitative information from selected </w:t>
      </w:r>
      <w:r w:rsidR="00DA469E" w:rsidRPr="001851B2">
        <w:t xml:space="preserve">groups of </w:t>
      </w:r>
      <w:r w:rsidRPr="001851B2">
        <w:t>stakeholder</w:t>
      </w:r>
      <w:r w:rsidR="00DA469E" w:rsidRPr="001851B2">
        <w:t>s</w:t>
      </w:r>
      <w:r w:rsidRPr="001851B2">
        <w:t xml:space="preserve">. A </w:t>
      </w:r>
      <w:r w:rsidR="001E760A" w:rsidRPr="001851B2">
        <w:t>‘</w:t>
      </w:r>
      <w:r w:rsidRPr="001851B2">
        <w:t>drive through</w:t>
      </w:r>
      <w:r w:rsidR="001E760A" w:rsidRPr="001851B2">
        <w:t>’</w:t>
      </w:r>
      <w:r w:rsidRPr="001851B2">
        <w:t xml:space="preserve"> of the borough also took place</w:t>
      </w:r>
      <w:r w:rsidR="001F23E0" w:rsidRPr="001851B2">
        <w:t xml:space="preserve"> noting major development sites</w:t>
      </w:r>
      <w:r w:rsidRPr="001851B2">
        <w:t xml:space="preserve">. The aim was to enable us to provide context to the HNS as well as nuance areas of the report. </w:t>
      </w:r>
    </w:p>
    <w:p w14:paraId="17BD6069" w14:textId="77777777" w:rsidR="001851B2" w:rsidRDefault="001851B2" w:rsidP="00172F56">
      <w:pPr>
        <w:pStyle w:val="11Bodytext"/>
        <w:numPr>
          <w:ilvl w:val="0"/>
          <w:numId w:val="0"/>
        </w:numPr>
        <w:spacing w:before="0" w:after="0" w:line="300" w:lineRule="auto"/>
      </w:pPr>
    </w:p>
    <w:p w14:paraId="18045F3E" w14:textId="13DB89EB" w:rsidR="00D8007F" w:rsidRDefault="00D8007F" w:rsidP="00172F56">
      <w:pPr>
        <w:pStyle w:val="11Bodytext"/>
        <w:spacing w:before="0" w:after="0" w:line="300" w:lineRule="auto"/>
        <w:ind w:left="720" w:hanging="720"/>
      </w:pPr>
      <w:r w:rsidRPr="001851B2">
        <w:t>Stakeholder groups that were invited to participate were:</w:t>
      </w:r>
    </w:p>
    <w:p w14:paraId="6846B6BD" w14:textId="77777777" w:rsidR="001851B2" w:rsidRPr="001851B2" w:rsidRDefault="001851B2" w:rsidP="00172F56">
      <w:pPr>
        <w:pStyle w:val="11Bodytext"/>
        <w:numPr>
          <w:ilvl w:val="0"/>
          <w:numId w:val="0"/>
        </w:numPr>
        <w:spacing w:before="0" w:after="0" w:line="300" w:lineRule="auto"/>
      </w:pPr>
    </w:p>
    <w:p w14:paraId="68E689B5" w14:textId="4A0D15BB" w:rsidR="00D8007F" w:rsidRPr="001851B2" w:rsidRDefault="00D8007F">
      <w:pPr>
        <w:pStyle w:val="Bulletblueplain"/>
        <w:numPr>
          <w:ilvl w:val="0"/>
          <w:numId w:val="81"/>
        </w:numPr>
        <w:spacing w:before="0" w:after="0" w:line="300" w:lineRule="auto"/>
        <w:rPr>
          <w:szCs w:val="20"/>
        </w:rPr>
      </w:pPr>
      <w:r w:rsidRPr="001851B2">
        <w:rPr>
          <w:szCs w:val="20"/>
        </w:rPr>
        <w:t>Estate and letting agents;</w:t>
      </w:r>
    </w:p>
    <w:p w14:paraId="73077921" w14:textId="2A4C1C45" w:rsidR="00D8007F" w:rsidRPr="001851B2" w:rsidRDefault="00D8007F">
      <w:pPr>
        <w:pStyle w:val="Bulletblueplain"/>
        <w:numPr>
          <w:ilvl w:val="0"/>
          <w:numId w:val="81"/>
        </w:numPr>
        <w:spacing w:before="0" w:after="0" w:line="300" w:lineRule="auto"/>
        <w:rPr>
          <w:szCs w:val="20"/>
        </w:rPr>
      </w:pPr>
      <w:r w:rsidRPr="001851B2">
        <w:rPr>
          <w:szCs w:val="20"/>
        </w:rPr>
        <w:t>Registered providers;</w:t>
      </w:r>
    </w:p>
    <w:p w14:paraId="44E54275" w14:textId="0ECDDA45" w:rsidR="00D8007F" w:rsidRPr="001851B2" w:rsidRDefault="00D8007F">
      <w:pPr>
        <w:pStyle w:val="Bulletblueplain"/>
        <w:numPr>
          <w:ilvl w:val="0"/>
          <w:numId w:val="81"/>
        </w:numPr>
        <w:spacing w:before="0" w:after="0" w:line="300" w:lineRule="auto"/>
        <w:rPr>
          <w:szCs w:val="20"/>
        </w:rPr>
      </w:pPr>
      <w:r w:rsidRPr="001851B2">
        <w:rPr>
          <w:szCs w:val="20"/>
        </w:rPr>
        <w:t>Large employers including the NHS.</w:t>
      </w:r>
    </w:p>
    <w:p w14:paraId="5B42871E" w14:textId="77777777" w:rsidR="001851B2" w:rsidRDefault="001851B2" w:rsidP="00172F56">
      <w:pPr>
        <w:pStyle w:val="11Bodytext"/>
        <w:numPr>
          <w:ilvl w:val="0"/>
          <w:numId w:val="0"/>
        </w:numPr>
        <w:spacing w:before="0" w:after="0" w:line="300" w:lineRule="auto"/>
        <w:ind w:left="794" w:hanging="794"/>
      </w:pPr>
    </w:p>
    <w:p w14:paraId="0A3B4563" w14:textId="52F5A349" w:rsidR="00D8007F" w:rsidRDefault="00D8007F" w:rsidP="001851B2">
      <w:pPr>
        <w:pStyle w:val="11Bodytext"/>
        <w:spacing w:before="0" w:after="0" w:line="300" w:lineRule="auto"/>
        <w:ind w:left="720" w:hanging="720"/>
      </w:pPr>
      <w:r w:rsidRPr="001851B2">
        <w:t>This section reports the information provided by these stakeholders. Where appropriate key findings have been added to the narrative in the main body of the HNS report.</w:t>
      </w:r>
    </w:p>
    <w:p w14:paraId="348612E5" w14:textId="77777777" w:rsidR="001851B2" w:rsidRPr="001851B2" w:rsidRDefault="001851B2" w:rsidP="00172F56">
      <w:pPr>
        <w:pStyle w:val="11Bodytext"/>
        <w:numPr>
          <w:ilvl w:val="0"/>
          <w:numId w:val="0"/>
        </w:numPr>
        <w:spacing w:before="0" w:after="0" w:line="300" w:lineRule="auto"/>
      </w:pPr>
    </w:p>
    <w:p w14:paraId="7D41DF40" w14:textId="372D1CF9" w:rsidR="00D8007F" w:rsidRPr="00172F56" w:rsidRDefault="00D8007F" w:rsidP="00172F56">
      <w:pPr>
        <w:spacing w:line="300" w:lineRule="auto"/>
        <w:jc w:val="both"/>
        <w:rPr>
          <w:rFonts w:ascii="Arial" w:hAnsi="Arial" w:cs="Arial"/>
        </w:rPr>
      </w:pPr>
      <w:r w:rsidRPr="00172F56">
        <w:rPr>
          <w:rFonts w:ascii="Arial" w:hAnsi="Arial" w:cs="Arial"/>
          <w:b/>
          <w:lang w:eastAsia="ja-JP"/>
        </w:rPr>
        <w:t>Estate and letting agents</w:t>
      </w:r>
    </w:p>
    <w:p w14:paraId="27BAC0FF" w14:textId="77777777" w:rsidR="001851B2" w:rsidRDefault="001851B2" w:rsidP="00172F56">
      <w:pPr>
        <w:pStyle w:val="11Bodytext"/>
        <w:numPr>
          <w:ilvl w:val="0"/>
          <w:numId w:val="0"/>
        </w:numPr>
        <w:spacing w:before="0" w:after="0" w:line="300" w:lineRule="auto"/>
        <w:ind w:left="794" w:hanging="794"/>
      </w:pPr>
    </w:p>
    <w:p w14:paraId="1CE87987" w14:textId="5C70677F" w:rsidR="00D8007F" w:rsidRDefault="00D8007F" w:rsidP="001851B2">
      <w:pPr>
        <w:pStyle w:val="11Bodytext"/>
        <w:spacing w:before="0" w:after="0" w:line="300" w:lineRule="auto"/>
        <w:ind w:left="720" w:hanging="720"/>
      </w:pPr>
      <w:r w:rsidRPr="001851B2">
        <w:t>Agents were interviewed by telephone and were randomly selected from listings. Care was taken to obtain both urban and rural perspectives.</w:t>
      </w:r>
      <w:r w:rsidR="001F23E0" w:rsidRPr="001851B2">
        <w:t xml:space="preserve"> Interviews were structured around </w:t>
      </w:r>
      <w:r w:rsidR="00DA469E" w:rsidRPr="001851B2">
        <w:t xml:space="preserve">the following </w:t>
      </w:r>
      <w:r w:rsidR="001F23E0" w:rsidRPr="001851B2">
        <w:t>questions.</w:t>
      </w:r>
    </w:p>
    <w:p w14:paraId="5F3F499A" w14:textId="77777777" w:rsidR="001851B2" w:rsidRPr="001851B2" w:rsidRDefault="001851B2" w:rsidP="00172F56">
      <w:pPr>
        <w:pStyle w:val="11Bodytext"/>
        <w:numPr>
          <w:ilvl w:val="0"/>
          <w:numId w:val="0"/>
        </w:numPr>
        <w:spacing w:before="0" w:after="0" w:line="300" w:lineRule="auto"/>
      </w:pPr>
    </w:p>
    <w:p w14:paraId="6C975F7B" w14:textId="44C22652" w:rsidR="003D06DC" w:rsidRPr="00172F56" w:rsidRDefault="003D06DC" w:rsidP="00172F56">
      <w:pPr>
        <w:pStyle w:val="11Bodytext"/>
        <w:numPr>
          <w:ilvl w:val="0"/>
          <w:numId w:val="0"/>
        </w:numPr>
        <w:spacing w:before="0" w:after="0" w:line="300" w:lineRule="auto"/>
        <w:ind w:left="720"/>
        <w:rPr>
          <w:i/>
          <w:iCs/>
        </w:rPr>
      </w:pPr>
      <w:r w:rsidRPr="00172F56">
        <w:rPr>
          <w:i/>
          <w:iCs/>
        </w:rPr>
        <w:t>Do agents consider that there is a high level of in</w:t>
      </w:r>
      <w:r w:rsidR="00A14FB7" w:rsidRPr="001851B2">
        <w:rPr>
          <w:i/>
          <w:iCs/>
        </w:rPr>
        <w:t>-</w:t>
      </w:r>
      <w:r w:rsidRPr="00172F56">
        <w:rPr>
          <w:i/>
          <w:iCs/>
        </w:rPr>
        <w:t>mig</w:t>
      </w:r>
      <w:r w:rsidRPr="001851B2">
        <w:rPr>
          <w:i/>
          <w:iCs/>
        </w:rPr>
        <w:t>rat</w:t>
      </w:r>
      <w:r w:rsidRPr="00172F56">
        <w:rPr>
          <w:i/>
          <w:iCs/>
        </w:rPr>
        <w:t>ion to Fylde and what is driving it?</w:t>
      </w:r>
    </w:p>
    <w:p w14:paraId="0DBD1E49" w14:textId="77777777" w:rsidR="001851B2" w:rsidRDefault="001851B2" w:rsidP="00172F56">
      <w:pPr>
        <w:pStyle w:val="11Bodytext"/>
        <w:numPr>
          <w:ilvl w:val="0"/>
          <w:numId w:val="0"/>
        </w:numPr>
        <w:spacing w:before="0" w:after="0" w:line="300" w:lineRule="auto"/>
        <w:ind w:left="794" w:hanging="794"/>
      </w:pPr>
    </w:p>
    <w:p w14:paraId="58E99073" w14:textId="053690C6" w:rsidR="00D8007F" w:rsidRPr="001851B2" w:rsidRDefault="00DA469E" w:rsidP="00172F56">
      <w:pPr>
        <w:pStyle w:val="11Bodytext"/>
        <w:spacing w:before="0" w:after="0" w:line="300" w:lineRule="auto"/>
        <w:ind w:left="720" w:hanging="720"/>
      </w:pPr>
      <w:r w:rsidRPr="001851B2">
        <w:t xml:space="preserve">Agents told us that in-migration occurred from many parts of the country and was not disproportionately from Blackpool. </w:t>
      </w:r>
      <w:r w:rsidR="00EA3DAB" w:rsidRPr="001851B2">
        <w:t>Neither di</w:t>
      </w:r>
      <w:r w:rsidR="001E760A" w:rsidRPr="001851B2">
        <w:t>d</w:t>
      </w:r>
      <w:r w:rsidR="00EA3DAB" w:rsidRPr="001851B2">
        <w:t xml:space="preserve"> they consider that the level of in-migration was </w:t>
      </w:r>
      <w:r w:rsidR="00FA78B1" w:rsidRPr="001851B2">
        <w:t>disproportionately</w:t>
      </w:r>
      <w:r w:rsidR="00EA3DAB" w:rsidRPr="001851B2">
        <w:t xml:space="preserve"> high, citing high levels of churn from </w:t>
      </w:r>
      <w:r w:rsidR="003A56C5" w:rsidRPr="001851B2">
        <w:t>Fylde residents especially in the private rented sector.</w:t>
      </w:r>
      <w:r w:rsidRPr="001851B2">
        <w:t xml:space="preserve"> One agent considered that in-migration from Greater Manchester was the most prevalent source of incomers in their experience.</w:t>
      </w:r>
    </w:p>
    <w:p w14:paraId="45DBFE48" w14:textId="77777777" w:rsidR="001851B2" w:rsidRDefault="001851B2" w:rsidP="00172F56">
      <w:pPr>
        <w:pStyle w:val="11Bodytext"/>
        <w:numPr>
          <w:ilvl w:val="0"/>
          <w:numId w:val="0"/>
        </w:numPr>
        <w:spacing w:before="0" w:after="0" w:line="300" w:lineRule="auto"/>
      </w:pPr>
    </w:p>
    <w:p w14:paraId="66F40F93" w14:textId="142975CD" w:rsidR="00F73D9A" w:rsidRDefault="00DA469E" w:rsidP="001851B2">
      <w:pPr>
        <w:pStyle w:val="11Bodytext"/>
        <w:spacing w:before="0" w:after="0" w:line="300" w:lineRule="auto"/>
        <w:ind w:left="720" w:hanging="720"/>
      </w:pPr>
      <w:r w:rsidRPr="001851B2">
        <w:t>They considered that there were two main drivers.</w:t>
      </w:r>
      <w:r w:rsidR="0014104A" w:rsidRPr="001851B2">
        <w:t xml:space="preserve"> </w:t>
      </w:r>
      <w:r w:rsidRPr="001851B2">
        <w:t xml:space="preserve">For the rural areas these were mostly retirees who were attracted by the rural location, close to the coast with easy access to the </w:t>
      </w:r>
      <w:r w:rsidR="00F73D9A" w:rsidRPr="001851B2">
        <w:t xml:space="preserve">national parks. </w:t>
      </w:r>
      <w:r w:rsidR="00EA3DAB" w:rsidRPr="001851B2">
        <w:t xml:space="preserve">Lytham was highlighted as attracting a high proportion of incomers. </w:t>
      </w:r>
      <w:r w:rsidR="00F73D9A" w:rsidRPr="001851B2">
        <w:t>In-migration to the urban areas was driven by work relocation notably the BA</w:t>
      </w:r>
      <w:r w:rsidR="00FA78B1" w:rsidRPr="001851B2">
        <w:t>E</w:t>
      </w:r>
      <w:r w:rsidR="00F73D9A" w:rsidRPr="001851B2">
        <w:t xml:space="preserve"> plant at Warton, the food and hospitality industries</w:t>
      </w:r>
      <w:r w:rsidR="00EA3DAB" w:rsidRPr="001851B2">
        <w:t xml:space="preserve"> and the NHS</w:t>
      </w:r>
      <w:r w:rsidR="00F73D9A" w:rsidRPr="001851B2">
        <w:t>.</w:t>
      </w:r>
    </w:p>
    <w:p w14:paraId="59DA52A0" w14:textId="77777777" w:rsidR="001851B2" w:rsidRPr="001851B2" w:rsidRDefault="001851B2" w:rsidP="001851B2">
      <w:pPr>
        <w:pStyle w:val="11Bodytext"/>
        <w:numPr>
          <w:ilvl w:val="0"/>
          <w:numId w:val="0"/>
        </w:numPr>
        <w:spacing w:before="0" w:after="0" w:line="300" w:lineRule="auto"/>
      </w:pPr>
    </w:p>
    <w:p w14:paraId="51EF5E34" w14:textId="292009B6" w:rsidR="00A14FB7" w:rsidRPr="001851B2" w:rsidRDefault="003D06DC" w:rsidP="00172F56">
      <w:pPr>
        <w:pStyle w:val="11Bodytext"/>
        <w:numPr>
          <w:ilvl w:val="0"/>
          <w:numId w:val="0"/>
        </w:numPr>
        <w:spacing w:before="0" w:after="0" w:line="300" w:lineRule="auto"/>
        <w:ind w:left="720" w:hanging="720"/>
        <w:rPr>
          <w:i/>
          <w:iCs/>
          <w:color w:val="auto"/>
        </w:rPr>
      </w:pPr>
      <w:r w:rsidRPr="00172F56">
        <w:rPr>
          <w:i/>
          <w:iCs/>
          <w:color w:val="auto"/>
        </w:rPr>
        <w:t>What gaps exist in supply?</w:t>
      </w:r>
    </w:p>
    <w:p w14:paraId="350D2236" w14:textId="77777777" w:rsidR="001851B2" w:rsidRDefault="001851B2" w:rsidP="00172F56">
      <w:pPr>
        <w:pStyle w:val="11Bodytext"/>
        <w:numPr>
          <w:ilvl w:val="0"/>
          <w:numId w:val="0"/>
        </w:numPr>
        <w:spacing w:before="0" w:after="0" w:line="300" w:lineRule="auto"/>
        <w:ind w:left="794" w:hanging="794"/>
      </w:pPr>
    </w:p>
    <w:p w14:paraId="6D4F9DAD" w14:textId="380C20EB" w:rsidR="00A14FB7" w:rsidRPr="001851B2" w:rsidRDefault="003A56C5" w:rsidP="00172F56">
      <w:pPr>
        <w:pStyle w:val="11Bodytext"/>
        <w:spacing w:before="0" w:after="0" w:line="300" w:lineRule="auto"/>
        <w:ind w:left="720" w:hanging="720"/>
      </w:pPr>
      <w:r w:rsidRPr="001851B2">
        <w:t>Agents were unanimous in their view that the most significant gap was for bungalows.</w:t>
      </w:r>
      <w:r w:rsidR="0014104A" w:rsidRPr="001851B2">
        <w:t xml:space="preserve"> </w:t>
      </w:r>
      <w:r w:rsidRPr="001851B2">
        <w:t>They explained that vacancies sold and let quickly and many agents held waiting lists.</w:t>
      </w:r>
      <w:r w:rsidR="0014104A" w:rsidRPr="001851B2">
        <w:t xml:space="preserve"> </w:t>
      </w:r>
      <w:r w:rsidRPr="001851B2">
        <w:t xml:space="preserve">Bungalows were not </w:t>
      </w:r>
      <w:r w:rsidR="00C7009D" w:rsidRPr="001851B2">
        <w:t>exclusively</w:t>
      </w:r>
      <w:r w:rsidRPr="001851B2">
        <w:t xml:space="preserve"> sought after or sold to older people.</w:t>
      </w:r>
      <w:r w:rsidR="0014104A" w:rsidRPr="001851B2">
        <w:t xml:space="preserve"> </w:t>
      </w:r>
      <w:r w:rsidRPr="001851B2">
        <w:t xml:space="preserve">Younger households valued them </w:t>
      </w:r>
      <w:r w:rsidR="00C7009D" w:rsidRPr="001851B2">
        <w:t>as they were easier to manage and maintain</w:t>
      </w:r>
      <w:r w:rsidR="001E760A" w:rsidRPr="001851B2">
        <w:t xml:space="preserve"> than houses</w:t>
      </w:r>
      <w:r w:rsidR="00C7009D" w:rsidRPr="001851B2">
        <w:t>.</w:t>
      </w:r>
      <w:r w:rsidR="0014104A" w:rsidRPr="001851B2">
        <w:t xml:space="preserve"> </w:t>
      </w:r>
    </w:p>
    <w:p w14:paraId="43C826D8" w14:textId="77777777" w:rsidR="001851B2" w:rsidRDefault="001851B2" w:rsidP="00172F56">
      <w:pPr>
        <w:pStyle w:val="11Bodytext"/>
        <w:numPr>
          <w:ilvl w:val="0"/>
          <w:numId w:val="0"/>
        </w:numPr>
        <w:spacing w:before="0" w:after="0" w:line="300" w:lineRule="auto"/>
      </w:pPr>
    </w:p>
    <w:p w14:paraId="0907B9DB" w14:textId="7C78CCB5" w:rsidR="00C7009D" w:rsidRDefault="00C7009D" w:rsidP="001851B2">
      <w:pPr>
        <w:pStyle w:val="11Bodytext"/>
        <w:spacing w:before="0" w:after="0" w:line="300" w:lineRule="auto"/>
        <w:ind w:left="720" w:hanging="720"/>
      </w:pPr>
      <w:r w:rsidRPr="001851B2">
        <w:t>One agent thought that there was a shortage of high specification age restricted leasehold flats and apartments.</w:t>
      </w:r>
      <w:r w:rsidR="004875A9" w:rsidRPr="001851B2">
        <w:t xml:space="preserve"> Lytham was identified as a ‘bubble’ in that there was a concentration of more affluent older people that were aging</w:t>
      </w:r>
      <w:r w:rsidR="001E760A" w:rsidRPr="001851B2">
        <w:t xml:space="preserve"> and may consider this type of housing should it be provided.</w:t>
      </w:r>
    </w:p>
    <w:p w14:paraId="41523C55" w14:textId="77777777" w:rsidR="001851B2" w:rsidRPr="001851B2" w:rsidRDefault="001851B2" w:rsidP="00172F56">
      <w:pPr>
        <w:pStyle w:val="11Bodytext"/>
        <w:numPr>
          <w:ilvl w:val="0"/>
          <w:numId w:val="0"/>
        </w:numPr>
        <w:spacing w:before="0" w:after="0" w:line="300" w:lineRule="auto"/>
      </w:pPr>
    </w:p>
    <w:p w14:paraId="0C7222BE" w14:textId="2C2A2967" w:rsidR="00C7009D" w:rsidRPr="001851B2" w:rsidRDefault="00C7009D">
      <w:pPr>
        <w:pStyle w:val="11Bodytext"/>
        <w:spacing w:before="0" w:after="0" w:line="300" w:lineRule="auto"/>
        <w:ind w:left="720" w:hanging="720"/>
      </w:pPr>
      <w:r w:rsidRPr="001851B2">
        <w:t xml:space="preserve">Agents generally thought that there was a shortage of affordable housing in the borough. This placed significant pressure on the private rented sector and failed or failing tenancies was a concern from a management point of view. </w:t>
      </w:r>
    </w:p>
    <w:p w14:paraId="4138FD66" w14:textId="77777777" w:rsidR="00A14FB7" w:rsidRPr="001851B2" w:rsidRDefault="00A14FB7" w:rsidP="00172F56">
      <w:pPr>
        <w:pStyle w:val="11Bodytext"/>
        <w:numPr>
          <w:ilvl w:val="0"/>
          <w:numId w:val="0"/>
        </w:numPr>
        <w:spacing w:before="0" w:after="0" w:line="300" w:lineRule="auto"/>
        <w:ind w:left="794" w:hanging="794"/>
        <w:rPr>
          <w:i/>
          <w:iCs/>
          <w:color w:val="auto"/>
        </w:rPr>
      </w:pPr>
    </w:p>
    <w:p w14:paraId="78CCE0B6" w14:textId="0035C73C" w:rsidR="00A14FB7" w:rsidRPr="001851B2" w:rsidRDefault="00A14FB7" w:rsidP="001851B2">
      <w:pPr>
        <w:pStyle w:val="11Bodytext"/>
        <w:numPr>
          <w:ilvl w:val="0"/>
          <w:numId w:val="0"/>
        </w:numPr>
        <w:spacing w:before="0" w:after="0" w:line="300" w:lineRule="auto"/>
        <w:ind w:left="1514" w:hanging="794"/>
        <w:rPr>
          <w:i/>
          <w:iCs/>
          <w:color w:val="auto"/>
        </w:rPr>
      </w:pPr>
      <w:r w:rsidRPr="001851B2">
        <w:rPr>
          <w:i/>
          <w:iCs/>
          <w:color w:val="auto"/>
        </w:rPr>
        <w:t>What is the role of the private rented sector and are investors keeping up with demand</w:t>
      </w:r>
      <w:r w:rsidR="00D053AD" w:rsidRPr="001851B2">
        <w:rPr>
          <w:i/>
          <w:iCs/>
          <w:color w:val="auto"/>
        </w:rPr>
        <w:t>?</w:t>
      </w:r>
    </w:p>
    <w:p w14:paraId="7864FBA2" w14:textId="77777777" w:rsidR="001851B2" w:rsidRDefault="001851B2" w:rsidP="00172F56">
      <w:pPr>
        <w:pStyle w:val="11Bodytext"/>
        <w:numPr>
          <w:ilvl w:val="0"/>
          <w:numId w:val="0"/>
        </w:numPr>
        <w:spacing w:before="0" w:after="0" w:line="300" w:lineRule="auto"/>
        <w:ind w:left="794" w:hanging="794"/>
      </w:pPr>
    </w:p>
    <w:p w14:paraId="47B0763F" w14:textId="5AAEA10B" w:rsidR="00A14FB7" w:rsidRPr="001851B2" w:rsidRDefault="00C7009D" w:rsidP="00172F56">
      <w:pPr>
        <w:pStyle w:val="11Bodytext"/>
        <w:spacing w:before="0" w:after="0" w:line="300" w:lineRule="auto"/>
        <w:ind w:left="720" w:hanging="720"/>
      </w:pPr>
      <w:r w:rsidRPr="001851B2">
        <w:t>Most agents told us that whilst it was perfectly normal for investors to sell some or all of their portfolio for business or retirement reasons</w:t>
      </w:r>
      <w:r w:rsidR="00801E08" w:rsidRPr="001851B2">
        <w:t xml:space="preserve">, there was concern that </w:t>
      </w:r>
      <w:r w:rsidR="001E760A" w:rsidRPr="001851B2">
        <w:t xml:space="preserve">many </w:t>
      </w:r>
      <w:r w:rsidR="00801E08" w:rsidRPr="001851B2">
        <w:t xml:space="preserve">landlords were not investing. This was largely a response to recent changes in the legal and fiscal framework </w:t>
      </w:r>
      <w:r w:rsidR="001E760A" w:rsidRPr="001851B2">
        <w:t xml:space="preserve">affecting the private rented sector </w:t>
      </w:r>
      <w:r w:rsidR="00DF18E9" w:rsidRPr="001851B2">
        <w:t>and the introduction of the Renters Reform Bill.</w:t>
      </w:r>
      <w:r w:rsidR="00AF1C28" w:rsidRPr="001851B2">
        <w:t xml:space="preserve"> One agent considered that the </w:t>
      </w:r>
      <w:r w:rsidR="001E760A" w:rsidRPr="001851B2">
        <w:t xml:space="preserve">private rented sector </w:t>
      </w:r>
      <w:r w:rsidR="00AF1C28" w:rsidRPr="001851B2">
        <w:t>market was ‘broken’.</w:t>
      </w:r>
    </w:p>
    <w:p w14:paraId="1DA4D9C6" w14:textId="77777777" w:rsidR="001851B2" w:rsidRDefault="001851B2" w:rsidP="00172F56">
      <w:pPr>
        <w:pStyle w:val="11Bodytext"/>
        <w:numPr>
          <w:ilvl w:val="0"/>
          <w:numId w:val="0"/>
        </w:numPr>
        <w:spacing w:before="0" w:after="0" w:line="300" w:lineRule="auto"/>
      </w:pPr>
    </w:p>
    <w:p w14:paraId="7E437E19" w14:textId="09F88221" w:rsidR="00067904" w:rsidRPr="001851B2" w:rsidRDefault="00DF18E9" w:rsidP="00172F56">
      <w:pPr>
        <w:pStyle w:val="11Bodytext"/>
        <w:spacing w:before="0" w:after="0" w:line="300" w:lineRule="auto"/>
        <w:ind w:left="720" w:hanging="720"/>
      </w:pPr>
      <w:r w:rsidRPr="001851B2">
        <w:t>Agents explained that some landlords were also diversifying their portfolio into holiday lettings</w:t>
      </w:r>
      <w:r w:rsidR="00067904" w:rsidRPr="001851B2">
        <w:t>. Others were acquiring dwellings but ‘flipping’ them for resale rather than letting them.</w:t>
      </w:r>
    </w:p>
    <w:p w14:paraId="1FD40693" w14:textId="77777777" w:rsidR="001851B2" w:rsidRDefault="001851B2" w:rsidP="00172F56">
      <w:pPr>
        <w:pStyle w:val="11Bodytext"/>
        <w:numPr>
          <w:ilvl w:val="0"/>
          <w:numId w:val="0"/>
        </w:numPr>
        <w:spacing w:before="0" w:after="0" w:line="300" w:lineRule="auto"/>
      </w:pPr>
    </w:p>
    <w:p w14:paraId="00131BE9" w14:textId="5E87EE76" w:rsidR="00E11CE0" w:rsidRPr="001851B2" w:rsidRDefault="00E11CE0" w:rsidP="00172F56">
      <w:pPr>
        <w:pStyle w:val="11Bodytext"/>
        <w:spacing w:before="0" w:after="0" w:line="300" w:lineRule="auto"/>
        <w:ind w:left="720" w:hanging="720"/>
      </w:pPr>
      <w:r w:rsidRPr="001851B2">
        <w:t>The above views were not held by all agents. One specialist letting agent told us that they were instructed by many clients to a</w:t>
      </w:r>
      <w:r w:rsidR="00AF1C28" w:rsidRPr="001851B2">
        <w:t>c</w:t>
      </w:r>
      <w:r w:rsidRPr="001851B2">
        <w:t>quire suitable dwellings</w:t>
      </w:r>
      <w:r w:rsidR="00AF1C28" w:rsidRPr="001851B2">
        <w:t>. This was a response to growing demand for private rented sector housing from local residents, local residents unable to access social housing and incomers.</w:t>
      </w:r>
      <w:r w:rsidRPr="001851B2">
        <w:t xml:space="preserve"> </w:t>
      </w:r>
    </w:p>
    <w:p w14:paraId="419C5ACE" w14:textId="77777777" w:rsidR="001851B2" w:rsidRDefault="001851B2" w:rsidP="00172F56">
      <w:pPr>
        <w:pStyle w:val="11Bodytext"/>
        <w:numPr>
          <w:ilvl w:val="0"/>
          <w:numId w:val="0"/>
        </w:numPr>
        <w:spacing w:before="0" w:after="0" w:line="300" w:lineRule="auto"/>
      </w:pPr>
    </w:p>
    <w:p w14:paraId="23B438DC" w14:textId="6FC967A3" w:rsidR="00DF18E9" w:rsidRDefault="00067904" w:rsidP="001851B2">
      <w:pPr>
        <w:pStyle w:val="11Bodytext"/>
        <w:spacing w:before="0" w:after="0" w:line="300" w:lineRule="auto"/>
        <w:ind w:left="720" w:hanging="720"/>
      </w:pPr>
      <w:r w:rsidRPr="001851B2">
        <w:t>We were told that many incomers to the area would rent first and buy later.</w:t>
      </w:r>
      <w:r w:rsidR="0014104A" w:rsidRPr="001851B2">
        <w:t xml:space="preserve"> </w:t>
      </w:r>
      <w:r w:rsidRPr="001851B2">
        <w:t>This was particularly the case for new recruits to the BA</w:t>
      </w:r>
      <w:r w:rsidR="001F1363">
        <w:t>E</w:t>
      </w:r>
      <w:r w:rsidRPr="001851B2">
        <w:t xml:space="preserve"> plant at Warton.</w:t>
      </w:r>
      <w:r w:rsidR="0014104A" w:rsidRPr="001851B2">
        <w:t xml:space="preserve"> </w:t>
      </w:r>
      <w:r w:rsidRPr="001851B2">
        <w:t>It was explained to us th</w:t>
      </w:r>
      <w:r w:rsidR="00E11CE0" w:rsidRPr="001851B2">
        <w:t>at BA</w:t>
      </w:r>
      <w:r w:rsidR="001F1363">
        <w:t>E</w:t>
      </w:r>
      <w:r w:rsidR="00E11CE0" w:rsidRPr="001851B2">
        <w:t xml:space="preserve"> has a sister plant to the east at Mellor Brook near Blackburn and employees might be asked to work at either plant.</w:t>
      </w:r>
      <w:r w:rsidR="0014104A" w:rsidRPr="001851B2">
        <w:t xml:space="preserve"> </w:t>
      </w:r>
      <w:r w:rsidR="00E11CE0" w:rsidRPr="001851B2">
        <w:t>Some employees in these circumstances would find it more flexible to rent.</w:t>
      </w:r>
    </w:p>
    <w:p w14:paraId="571896BC" w14:textId="77777777" w:rsidR="001851B2" w:rsidRPr="001851B2" w:rsidRDefault="001851B2" w:rsidP="00172F56">
      <w:pPr>
        <w:pStyle w:val="11Bodytext"/>
        <w:numPr>
          <w:ilvl w:val="0"/>
          <w:numId w:val="0"/>
        </w:numPr>
        <w:spacing w:before="0" w:after="0" w:line="300" w:lineRule="auto"/>
      </w:pPr>
    </w:p>
    <w:p w14:paraId="4F37A3BF" w14:textId="0B6330FA" w:rsidR="00DA03ED" w:rsidRPr="00D03540" w:rsidRDefault="00DA03ED" w:rsidP="001851B2">
      <w:pPr>
        <w:spacing w:line="300" w:lineRule="auto"/>
        <w:jc w:val="both"/>
        <w:rPr>
          <w:rFonts w:ascii="Arial" w:hAnsi="Arial" w:cs="Arial"/>
          <w:b/>
          <w:lang w:eastAsia="ja-JP"/>
        </w:rPr>
      </w:pPr>
      <w:r w:rsidRPr="00D03540">
        <w:rPr>
          <w:rFonts w:ascii="Arial" w:hAnsi="Arial" w:cs="Arial"/>
          <w:b/>
          <w:lang w:eastAsia="ja-JP"/>
        </w:rPr>
        <w:t>Registered providers</w:t>
      </w:r>
    </w:p>
    <w:p w14:paraId="4282250C" w14:textId="77777777" w:rsidR="001851B2" w:rsidRDefault="001851B2" w:rsidP="00172F56">
      <w:pPr>
        <w:pStyle w:val="11Bodytext"/>
        <w:numPr>
          <w:ilvl w:val="0"/>
          <w:numId w:val="0"/>
        </w:numPr>
        <w:spacing w:before="0" w:after="0" w:line="300" w:lineRule="auto"/>
        <w:ind w:left="794" w:hanging="794"/>
      </w:pPr>
    </w:p>
    <w:p w14:paraId="4163FC26" w14:textId="29800F26" w:rsidR="00D03673" w:rsidRDefault="001F1363" w:rsidP="001851B2">
      <w:pPr>
        <w:pStyle w:val="11Bodytext"/>
        <w:spacing w:before="0" w:after="0" w:line="300" w:lineRule="auto"/>
        <w:ind w:left="720" w:hanging="720"/>
      </w:pPr>
      <w:r>
        <w:t>Information and insight was sought</w:t>
      </w:r>
      <w:r w:rsidR="00D03673" w:rsidRPr="001851B2">
        <w:t xml:space="preserve"> from registered providers as they are key players in the supply and development of affordable housing</w:t>
      </w:r>
      <w:r w:rsidR="008B78A1" w:rsidRPr="001851B2">
        <w:t xml:space="preserve"> – 7 </w:t>
      </w:r>
      <w:r w:rsidR="00693161" w:rsidRPr="001851B2">
        <w:t xml:space="preserve">full responses were achieved. </w:t>
      </w:r>
      <w:r w:rsidR="00D03673" w:rsidRPr="001851B2">
        <w:t xml:space="preserve">Responses were supplied on an ‘in confidence’ basis. The </w:t>
      </w:r>
      <w:r w:rsidR="00BC7C15" w:rsidRPr="001851B2">
        <w:t xml:space="preserve">broad </w:t>
      </w:r>
      <w:r w:rsidR="00D03673" w:rsidRPr="001851B2">
        <w:t>question</w:t>
      </w:r>
      <w:r w:rsidR="00BC7C15" w:rsidRPr="001851B2">
        <w:t xml:space="preserve"> topics</w:t>
      </w:r>
      <w:r w:rsidR="00D03673" w:rsidRPr="001851B2">
        <w:t xml:space="preserve"> and responses given are as follows:</w:t>
      </w:r>
    </w:p>
    <w:p w14:paraId="6078832B" w14:textId="77777777" w:rsidR="001851B2" w:rsidRDefault="001851B2" w:rsidP="00172F56">
      <w:pPr>
        <w:pStyle w:val="11Bodytext"/>
        <w:numPr>
          <w:ilvl w:val="0"/>
          <w:numId w:val="0"/>
        </w:numPr>
        <w:spacing w:before="0" w:after="0" w:line="300" w:lineRule="auto"/>
      </w:pPr>
    </w:p>
    <w:p w14:paraId="24328608" w14:textId="072598C7" w:rsidR="00693161" w:rsidRPr="00172F56" w:rsidRDefault="00BC7C15" w:rsidP="00172F56">
      <w:pPr>
        <w:pStyle w:val="11Bodytext"/>
        <w:numPr>
          <w:ilvl w:val="0"/>
          <w:numId w:val="0"/>
        </w:numPr>
        <w:spacing w:before="0" w:after="0" w:line="300" w:lineRule="auto"/>
        <w:ind w:left="720"/>
        <w:rPr>
          <w:i/>
          <w:iCs/>
        </w:rPr>
      </w:pPr>
      <w:r w:rsidRPr="00172F56">
        <w:rPr>
          <w:i/>
          <w:iCs/>
        </w:rPr>
        <w:t>Adequacy of supply compared to need now and in the future</w:t>
      </w:r>
      <w:r w:rsidRPr="001851B2">
        <w:rPr>
          <w:i/>
          <w:iCs/>
        </w:rPr>
        <w:t>?</w:t>
      </w:r>
      <w:r w:rsidR="00296330" w:rsidRPr="001851B2">
        <w:rPr>
          <w:i/>
          <w:iCs/>
        </w:rPr>
        <w:t xml:space="preserve"> </w:t>
      </w:r>
      <w:r w:rsidR="00693161" w:rsidRPr="001851B2">
        <w:rPr>
          <w:i/>
          <w:iCs/>
        </w:rPr>
        <w:t>Are there any notable gaps in supply and where do the gaps exist?</w:t>
      </w:r>
    </w:p>
    <w:p w14:paraId="4D4DE955" w14:textId="77777777" w:rsidR="001851B2" w:rsidRDefault="001851B2" w:rsidP="00172F56">
      <w:pPr>
        <w:pStyle w:val="11Bodytext"/>
        <w:numPr>
          <w:ilvl w:val="0"/>
          <w:numId w:val="0"/>
        </w:numPr>
        <w:spacing w:before="0" w:after="0" w:line="300" w:lineRule="auto"/>
        <w:ind w:left="794" w:hanging="794"/>
      </w:pPr>
    </w:p>
    <w:p w14:paraId="068363B0" w14:textId="0E8988B3" w:rsidR="00BC7C15" w:rsidRPr="001851B2" w:rsidRDefault="00BC7C15" w:rsidP="00172F56">
      <w:pPr>
        <w:pStyle w:val="11Bodytext"/>
        <w:spacing w:before="0" w:after="0" w:line="300" w:lineRule="auto"/>
        <w:ind w:left="720" w:hanging="720"/>
      </w:pPr>
      <w:r w:rsidRPr="001851B2">
        <w:t xml:space="preserve">Although </w:t>
      </w:r>
      <w:r w:rsidR="001E760A" w:rsidRPr="001851B2">
        <w:t xml:space="preserve">it was acknowledged that </w:t>
      </w:r>
      <w:r w:rsidRPr="001851B2">
        <w:t>the situation ha</w:t>
      </w:r>
      <w:r w:rsidR="001E760A" w:rsidRPr="001851B2">
        <w:t>d</w:t>
      </w:r>
      <w:r w:rsidRPr="001851B2">
        <w:t xml:space="preserve"> improved over the last 5-years it was considered that a shortfall still existed especially in the areas of Lytham, St Annes and Kirkham which are regarded as hot spots for demand</w:t>
      </w:r>
      <w:r w:rsidR="00D40615" w:rsidRPr="001851B2">
        <w:t xml:space="preserve"> for </w:t>
      </w:r>
      <w:r w:rsidR="001E760A" w:rsidRPr="001851B2">
        <w:t xml:space="preserve">affordable </w:t>
      </w:r>
      <w:r w:rsidR="00D40615" w:rsidRPr="001851B2">
        <w:t>family housing</w:t>
      </w:r>
      <w:r w:rsidR="00693161" w:rsidRPr="001851B2">
        <w:t>.</w:t>
      </w:r>
    </w:p>
    <w:p w14:paraId="3676E7D4" w14:textId="77777777" w:rsidR="00D03673" w:rsidRPr="001851B2" w:rsidRDefault="00D03673" w:rsidP="00172F56">
      <w:pPr>
        <w:pStyle w:val="11Bodytext"/>
        <w:numPr>
          <w:ilvl w:val="0"/>
          <w:numId w:val="0"/>
        </w:numPr>
        <w:spacing w:before="0" w:after="0" w:line="300" w:lineRule="auto"/>
        <w:ind w:left="794" w:hanging="794"/>
      </w:pPr>
    </w:p>
    <w:p w14:paraId="5BDA1E85" w14:textId="2CBAEC4A" w:rsidR="00296330" w:rsidRDefault="00D40615" w:rsidP="001851B2">
      <w:pPr>
        <w:pStyle w:val="11Bodytext"/>
        <w:spacing w:before="0" w:after="0" w:line="300" w:lineRule="auto"/>
        <w:ind w:left="720" w:hanging="720"/>
      </w:pPr>
      <w:r w:rsidRPr="001851B2">
        <w:t xml:space="preserve">Overall, the main gaps in supply are accessible dwellings, 1-bedroom flats, bungalows and 4 or more-bedroom dwellings. </w:t>
      </w:r>
      <w:r w:rsidR="00296330" w:rsidRPr="001851B2">
        <w:t xml:space="preserve">Also HMO or one bedroom flats for younger people. </w:t>
      </w:r>
      <w:r w:rsidRPr="001851B2">
        <w:t>There is less of a gap for 2 and 3-bedroom family housing as this is what has formed the greater proportion of newbuild recently.</w:t>
      </w:r>
    </w:p>
    <w:p w14:paraId="524E12FD" w14:textId="77777777" w:rsidR="001851B2" w:rsidRDefault="001851B2" w:rsidP="00172F56">
      <w:pPr>
        <w:pStyle w:val="11Bodytext"/>
        <w:numPr>
          <w:ilvl w:val="0"/>
          <w:numId w:val="0"/>
        </w:numPr>
        <w:spacing w:before="0" w:after="0" w:line="300" w:lineRule="auto"/>
      </w:pPr>
    </w:p>
    <w:p w14:paraId="1D661A56" w14:textId="3D94E50D" w:rsidR="00296330" w:rsidRPr="00172F56" w:rsidRDefault="00296330" w:rsidP="00172F56">
      <w:pPr>
        <w:pStyle w:val="11Bodytext"/>
        <w:numPr>
          <w:ilvl w:val="0"/>
          <w:numId w:val="0"/>
        </w:numPr>
        <w:spacing w:before="0" w:after="0" w:line="300" w:lineRule="auto"/>
        <w:ind w:left="720"/>
        <w:rPr>
          <w:i/>
          <w:iCs/>
        </w:rPr>
      </w:pPr>
      <w:r w:rsidRPr="00172F56">
        <w:rPr>
          <w:i/>
          <w:iCs/>
        </w:rPr>
        <w:t>Is additional supply needed to facilitate management and regeneration</w:t>
      </w:r>
      <w:r w:rsidRPr="001851B2">
        <w:rPr>
          <w:i/>
          <w:iCs/>
        </w:rPr>
        <w:t>?</w:t>
      </w:r>
    </w:p>
    <w:p w14:paraId="3FF7BD8B" w14:textId="77777777" w:rsidR="001851B2" w:rsidRDefault="001851B2" w:rsidP="00172F56">
      <w:pPr>
        <w:pStyle w:val="11Bodytext"/>
        <w:numPr>
          <w:ilvl w:val="0"/>
          <w:numId w:val="0"/>
        </w:numPr>
        <w:spacing w:before="0" w:after="0" w:line="300" w:lineRule="auto"/>
        <w:ind w:left="794" w:hanging="794"/>
      </w:pPr>
    </w:p>
    <w:p w14:paraId="63288958" w14:textId="315ABF53" w:rsidR="005761E1" w:rsidRDefault="00296330" w:rsidP="001851B2">
      <w:pPr>
        <w:pStyle w:val="11Bodytext"/>
        <w:spacing w:before="0" w:after="0" w:line="300" w:lineRule="auto"/>
        <w:ind w:left="720" w:hanging="720"/>
      </w:pPr>
      <w:r w:rsidRPr="001851B2">
        <w:t xml:space="preserve">All but </w:t>
      </w:r>
      <w:r w:rsidR="005761E1" w:rsidRPr="001851B2">
        <w:t>1 r</w:t>
      </w:r>
      <w:r w:rsidRPr="001851B2">
        <w:t>espondent</w:t>
      </w:r>
      <w:r w:rsidR="005761E1" w:rsidRPr="001851B2">
        <w:t xml:space="preserve"> stated that none was required. One respondent remarked that there was a role for registered providers in the wider regeneration of town centres.</w:t>
      </w:r>
    </w:p>
    <w:p w14:paraId="649B51D8" w14:textId="77777777" w:rsidR="001851B2" w:rsidRPr="001851B2" w:rsidRDefault="001851B2" w:rsidP="00172F56">
      <w:pPr>
        <w:pStyle w:val="11Bodytext"/>
        <w:numPr>
          <w:ilvl w:val="0"/>
          <w:numId w:val="0"/>
        </w:numPr>
        <w:spacing w:before="0" w:after="0" w:line="300" w:lineRule="auto"/>
      </w:pPr>
    </w:p>
    <w:p w14:paraId="1F65F5D7" w14:textId="016A91CC" w:rsidR="005761E1" w:rsidRPr="001851B2" w:rsidRDefault="005761E1" w:rsidP="00172F56">
      <w:pPr>
        <w:pStyle w:val="11Bodytext"/>
        <w:numPr>
          <w:ilvl w:val="0"/>
          <w:numId w:val="0"/>
        </w:numPr>
        <w:spacing w:before="0" w:after="0" w:line="300" w:lineRule="auto"/>
        <w:ind w:left="720"/>
        <w:rPr>
          <w:i/>
          <w:iCs/>
        </w:rPr>
      </w:pPr>
      <w:r w:rsidRPr="001851B2">
        <w:rPr>
          <w:i/>
          <w:iCs/>
        </w:rPr>
        <w:t>Is the developer s106 led supply of newbuild affordable housing producing the right type of dwelling for the location?</w:t>
      </w:r>
    </w:p>
    <w:p w14:paraId="28E79FA7" w14:textId="77777777" w:rsidR="001851B2" w:rsidRDefault="001851B2" w:rsidP="00172F56">
      <w:pPr>
        <w:pStyle w:val="11Bodytext"/>
        <w:numPr>
          <w:ilvl w:val="0"/>
          <w:numId w:val="0"/>
        </w:numPr>
        <w:spacing w:before="0" w:after="0" w:line="300" w:lineRule="auto"/>
        <w:ind w:left="794" w:hanging="794"/>
      </w:pPr>
    </w:p>
    <w:p w14:paraId="6F0E32EE" w14:textId="7067ECE3" w:rsidR="00296330" w:rsidRPr="001851B2" w:rsidRDefault="00DF03A2" w:rsidP="00172F56">
      <w:pPr>
        <w:pStyle w:val="11Bodytext"/>
        <w:spacing w:before="0" w:after="0" w:line="300" w:lineRule="auto"/>
        <w:ind w:left="720" w:hanging="720"/>
      </w:pPr>
      <w:r w:rsidRPr="001851B2">
        <w:t>A number of respondents (but not all) felt that the balance was wrong between urban and rural development.</w:t>
      </w:r>
      <w:r w:rsidR="0014104A" w:rsidRPr="001851B2">
        <w:t xml:space="preserve"> </w:t>
      </w:r>
      <w:r w:rsidRPr="001851B2">
        <w:t>More urban development was needed. Specifically</w:t>
      </w:r>
      <w:r w:rsidR="004476BC" w:rsidRPr="001851B2">
        <w:t>,</w:t>
      </w:r>
      <w:r w:rsidRPr="001851B2">
        <w:t xml:space="preserve"> not enough bungalows and 4 or more</w:t>
      </w:r>
      <w:r w:rsidR="004476BC" w:rsidRPr="001851B2">
        <w:t xml:space="preserve"> </w:t>
      </w:r>
      <w:r w:rsidRPr="001851B2">
        <w:t xml:space="preserve">family homes were being provided. </w:t>
      </w:r>
      <w:r w:rsidR="004476BC" w:rsidRPr="001851B2">
        <w:t>One respondent suggested that this might be addressed if registered providers were more closely involved in the earlier stages of a development. Concern was expressed about allocations working against achieving balanced communities through the disproportionate allocation to Band A applicants.</w:t>
      </w:r>
    </w:p>
    <w:p w14:paraId="4E369050" w14:textId="77777777" w:rsidR="001851B2" w:rsidRDefault="001851B2" w:rsidP="00172F56">
      <w:pPr>
        <w:pStyle w:val="11Bodytext"/>
        <w:numPr>
          <w:ilvl w:val="0"/>
          <w:numId w:val="0"/>
        </w:numPr>
        <w:spacing w:before="0" w:after="0" w:line="300" w:lineRule="auto"/>
      </w:pPr>
    </w:p>
    <w:p w14:paraId="66D6FB5F" w14:textId="30A1E763" w:rsidR="004476BC" w:rsidRPr="001851B2" w:rsidRDefault="00DF03A2" w:rsidP="00172F56">
      <w:pPr>
        <w:pStyle w:val="11Bodytext"/>
        <w:spacing w:before="0" w:after="0" w:line="300" w:lineRule="auto"/>
        <w:ind w:left="720" w:hanging="720"/>
      </w:pPr>
      <w:r w:rsidRPr="001851B2">
        <w:t xml:space="preserve">One respondent was disappointed not to have had their expectations met in terms of number of dwellings supplied under these </w:t>
      </w:r>
      <w:r w:rsidR="004476BC" w:rsidRPr="001851B2">
        <w:t>arrangements</w:t>
      </w:r>
      <w:r w:rsidRPr="001851B2">
        <w:t>.</w:t>
      </w:r>
    </w:p>
    <w:p w14:paraId="2A12AC42" w14:textId="77777777" w:rsidR="001851B2" w:rsidRDefault="001851B2" w:rsidP="001851B2">
      <w:pPr>
        <w:pStyle w:val="11Bodytext"/>
        <w:numPr>
          <w:ilvl w:val="0"/>
          <w:numId w:val="0"/>
        </w:numPr>
        <w:spacing w:before="0" w:after="0" w:line="300" w:lineRule="auto"/>
        <w:ind w:left="794" w:hanging="794"/>
        <w:rPr>
          <w:i/>
          <w:iCs/>
        </w:rPr>
      </w:pPr>
    </w:p>
    <w:p w14:paraId="33468E0E" w14:textId="7744EBB0" w:rsidR="004476BC" w:rsidRPr="00172F56" w:rsidRDefault="004476BC" w:rsidP="00172F56">
      <w:pPr>
        <w:pStyle w:val="11Bodytext"/>
        <w:numPr>
          <w:ilvl w:val="0"/>
          <w:numId w:val="0"/>
        </w:numPr>
        <w:spacing w:before="0" w:after="0" w:line="300" w:lineRule="auto"/>
        <w:ind w:left="794" w:hanging="74"/>
        <w:rPr>
          <w:i/>
          <w:iCs/>
        </w:rPr>
      </w:pPr>
      <w:r w:rsidRPr="00172F56">
        <w:rPr>
          <w:i/>
          <w:iCs/>
        </w:rPr>
        <w:t>Of commissioning arrangements for special needs housing?</w:t>
      </w:r>
    </w:p>
    <w:p w14:paraId="3E38B298" w14:textId="77777777" w:rsidR="001851B2" w:rsidRDefault="001851B2" w:rsidP="00172F56">
      <w:pPr>
        <w:pStyle w:val="11Bodytext"/>
        <w:numPr>
          <w:ilvl w:val="0"/>
          <w:numId w:val="0"/>
        </w:numPr>
        <w:spacing w:before="0" w:after="0" w:line="300" w:lineRule="auto"/>
        <w:ind w:left="794" w:hanging="794"/>
      </w:pPr>
    </w:p>
    <w:p w14:paraId="29725228" w14:textId="5DF7BFFE" w:rsidR="00296330" w:rsidRDefault="00530F86" w:rsidP="001851B2">
      <w:pPr>
        <w:pStyle w:val="11Bodytext"/>
        <w:spacing w:before="0" w:after="0" w:line="300" w:lineRule="auto"/>
        <w:ind w:left="720" w:hanging="720"/>
      </w:pPr>
      <w:r w:rsidRPr="001851B2">
        <w:t>Two respondents expressed a willingness to work with the council and other commissioners to provide special needs housing. No respondents replied to our detailed questions on the commissioning process.</w:t>
      </w:r>
    </w:p>
    <w:p w14:paraId="20C0CF27" w14:textId="77777777" w:rsidR="001851B2" w:rsidRPr="001851B2" w:rsidRDefault="001851B2" w:rsidP="00172F56">
      <w:pPr>
        <w:pStyle w:val="11Bodytext"/>
        <w:numPr>
          <w:ilvl w:val="0"/>
          <w:numId w:val="0"/>
        </w:numPr>
        <w:spacing w:before="0" w:after="0" w:line="300" w:lineRule="auto"/>
      </w:pPr>
    </w:p>
    <w:p w14:paraId="5FA63528" w14:textId="61278FA1" w:rsidR="0005681F" w:rsidRPr="001851B2" w:rsidRDefault="0005681F" w:rsidP="00172F56">
      <w:pPr>
        <w:pStyle w:val="11Bodytext"/>
        <w:numPr>
          <w:ilvl w:val="0"/>
          <w:numId w:val="0"/>
        </w:numPr>
        <w:spacing w:before="0" w:after="0" w:line="300" w:lineRule="auto"/>
        <w:ind w:left="720"/>
        <w:rPr>
          <w:i/>
          <w:iCs/>
        </w:rPr>
      </w:pPr>
      <w:r w:rsidRPr="00172F56">
        <w:rPr>
          <w:i/>
          <w:iCs/>
        </w:rPr>
        <w:t>Of evidence of need for affordable home ownership?</w:t>
      </w:r>
    </w:p>
    <w:p w14:paraId="6646C26E" w14:textId="77777777" w:rsidR="001851B2" w:rsidRDefault="001851B2" w:rsidP="00172F56">
      <w:pPr>
        <w:pStyle w:val="11Bodytext"/>
        <w:numPr>
          <w:ilvl w:val="0"/>
          <w:numId w:val="0"/>
        </w:numPr>
        <w:spacing w:before="0" w:after="0" w:line="300" w:lineRule="auto"/>
        <w:ind w:left="794" w:hanging="794"/>
      </w:pPr>
    </w:p>
    <w:p w14:paraId="66C9D4D9" w14:textId="063CD1BC" w:rsidR="00111A5C" w:rsidRPr="001851B2" w:rsidRDefault="00111A5C" w:rsidP="00172F56">
      <w:pPr>
        <w:pStyle w:val="11Bodytext"/>
        <w:spacing w:before="0" w:after="0" w:line="300" w:lineRule="auto"/>
        <w:ind w:left="720" w:hanging="720"/>
      </w:pPr>
      <w:r w:rsidRPr="001851B2">
        <w:t xml:space="preserve">Respondents described the steps they take to evidence need and demand and were generally of the view that they were confident that demand existed on the basis of both new build and resales. </w:t>
      </w:r>
    </w:p>
    <w:p w14:paraId="7BF3201E" w14:textId="77777777" w:rsidR="001851B2" w:rsidRDefault="001851B2" w:rsidP="00172F56">
      <w:pPr>
        <w:pStyle w:val="11Bodytext"/>
        <w:numPr>
          <w:ilvl w:val="0"/>
          <w:numId w:val="0"/>
        </w:numPr>
        <w:spacing w:before="0" w:after="0" w:line="300" w:lineRule="auto"/>
      </w:pPr>
    </w:p>
    <w:p w14:paraId="7CDB7834" w14:textId="594141A3" w:rsidR="0005681F" w:rsidRDefault="00111A5C" w:rsidP="001851B2">
      <w:pPr>
        <w:pStyle w:val="11Bodytext"/>
        <w:spacing w:before="0" w:after="0" w:line="300" w:lineRule="auto"/>
        <w:ind w:left="720" w:hanging="720"/>
      </w:pPr>
      <w:r w:rsidRPr="001851B2">
        <w:t xml:space="preserve">One respondent drew attention to difficulties experienced in rural areas </w:t>
      </w:r>
      <w:r w:rsidR="001E760A" w:rsidRPr="001851B2">
        <w:t>if</w:t>
      </w:r>
      <w:r w:rsidRPr="001851B2">
        <w:t xml:space="preserve"> restrictive conditions apply.</w:t>
      </w:r>
    </w:p>
    <w:p w14:paraId="377FE4E1" w14:textId="77777777" w:rsidR="001851B2" w:rsidRPr="001851B2" w:rsidRDefault="001851B2" w:rsidP="00172F56">
      <w:pPr>
        <w:pStyle w:val="11Bodytext"/>
        <w:numPr>
          <w:ilvl w:val="0"/>
          <w:numId w:val="0"/>
        </w:numPr>
        <w:spacing w:before="0" w:after="0" w:line="300" w:lineRule="auto"/>
      </w:pPr>
    </w:p>
    <w:p w14:paraId="45BDFD83" w14:textId="0F829C47" w:rsidR="0005681F" w:rsidRPr="001851B2" w:rsidRDefault="0005681F" w:rsidP="00172F56">
      <w:pPr>
        <w:pStyle w:val="11Bodytext"/>
        <w:numPr>
          <w:ilvl w:val="0"/>
          <w:numId w:val="0"/>
        </w:numPr>
        <w:spacing w:before="0" w:after="0" w:line="300" w:lineRule="auto"/>
        <w:ind w:left="794" w:hanging="74"/>
        <w:rPr>
          <w:i/>
          <w:iCs/>
        </w:rPr>
      </w:pPr>
      <w:r w:rsidRPr="001851B2">
        <w:rPr>
          <w:i/>
          <w:iCs/>
        </w:rPr>
        <w:t>The effectiveness of My Home Choice Fylde Coast?</w:t>
      </w:r>
    </w:p>
    <w:p w14:paraId="138237A4" w14:textId="77777777" w:rsidR="001851B2" w:rsidRDefault="001851B2" w:rsidP="00172F56">
      <w:pPr>
        <w:pStyle w:val="11Bodytext"/>
        <w:numPr>
          <w:ilvl w:val="0"/>
          <w:numId w:val="0"/>
        </w:numPr>
        <w:spacing w:before="0" w:after="0" w:line="300" w:lineRule="auto"/>
        <w:ind w:left="794" w:hanging="794"/>
      </w:pPr>
    </w:p>
    <w:p w14:paraId="75092ECD" w14:textId="653092F2" w:rsidR="009426B9" w:rsidRPr="001851B2" w:rsidRDefault="00111A5C" w:rsidP="00172F56">
      <w:pPr>
        <w:pStyle w:val="11Bodytext"/>
        <w:spacing w:before="0" w:after="0" w:line="300" w:lineRule="auto"/>
        <w:ind w:left="720" w:hanging="720"/>
      </w:pPr>
      <w:r w:rsidRPr="001851B2">
        <w:t>All respondents found the system effective. Constructive suggestions for improvement were</w:t>
      </w:r>
      <w:r w:rsidR="00AF162E" w:rsidRPr="001851B2">
        <w:t>;</w:t>
      </w:r>
      <w:r w:rsidRPr="001851B2">
        <w:t xml:space="preserve"> </w:t>
      </w:r>
      <w:r w:rsidR="00AF162E" w:rsidRPr="001851B2">
        <w:t>improving</w:t>
      </w:r>
      <w:r w:rsidRPr="001851B2">
        <w:t xml:space="preserve"> the applicants user interface, more clarity o</w:t>
      </w:r>
      <w:r w:rsidR="00AF162E" w:rsidRPr="001851B2">
        <w:t xml:space="preserve">n bidders needs in terms of adaptations, and the need to involve the SOD panel earlier to avoid delays in letting. </w:t>
      </w:r>
    </w:p>
    <w:p w14:paraId="1BDA4BC7" w14:textId="77777777" w:rsidR="001851B2" w:rsidRDefault="001851B2" w:rsidP="00172F56">
      <w:pPr>
        <w:pStyle w:val="11Bodytext"/>
        <w:numPr>
          <w:ilvl w:val="0"/>
          <w:numId w:val="0"/>
        </w:numPr>
        <w:spacing w:before="0" w:after="0" w:line="300" w:lineRule="auto"/>
      </w:pPr>
    </w:p>
    <w:p w14:paraId="20B1FDBA" w14:textId="048D5E80" w:rsidR="00111A5C" w:rsidRDefault="00AF162E" w:rsidP="001851B2">
      <w:pPr>
        <w:pStyle w:val="11Bodytext"/>
        <w:spacing w:before="0" w:after="0" w:line="300" w:lineRule="auto"/>
        <w:ind w:left="720" w:hanging="720"/>
      </w:pPr>
      <w:r w:rsidRPr="001851B2">
        <w:t xml:space="preserve">One respondent took the </w:t>
      </w:r>
      <w:r w:rsidR="009426B9" w:rsidRPr="001851B2">
        <w:t>opportunity</w:t>
      </w:r>
      <w:r w:rsidRPr="001851B2">
        <w:t xml:space="preserve"> to draw attention to gaps in the system wider than Home Choice, </w:t>
      </w:r>
      <w:r w:rsidR="009426B9" w:rsidRPr="001851B2">
        <w:t>highlighting the need for more accommodation to be made available for young people leaving supported accommodation.</w:t>
      </w:r>
    </w:p>
    <w:p w14:paraId="3E7A7A2B" w14:textId="77777777" w:rsidR="001851B2" w:rsidRPr="001851B2" w:rsidRDefault="001851B2" w:rsidP="00172F56">
      <w:pPr>
        <w:pStyle w:val="11Bodytext"/>
        <w:numPr>
          <w:ilvl w:val="0"/>
          <w:numId w:val="0"/>
        </w:numPr>
        <w:spacing w:before="0" w:after="0" w:line="300" w:lineRule="auto"/>
      </w:pPr>
    </w:p>
    <w:p w14:paraId="6B118043" w14:textId="43EFB06C" w:rsidR="0005681F" w:rsidRPr="00172F56" w:rsidRDefault="0005681F" w:rsidP="00172F56">
      <w:pPr>
        <w:pStyle w:val="11Bodytext"/>
        <w:numPr>
          <w:ilvl w:val="0"/>
          <w:numId w:val="0"/>
        </w:numPr>
        <w:spacing w:before="0" w:after="0" w:line="300" w:lineRule="auto"/>
        <w:ind w:left="720"/>
        <w:rPr>
          <w:i/>
          <w:iCs/>
        </w:rPr>
      </w:pPr>
      <w:r w:rsidRPr="001851B2">
        <w:rPr>
          <w:i/>
          <w:iCs/>
        </w:rPr>
        <w:t>Fylde/Blackpool Churn</w:t>
      </w:r>
    </w:p>
    <w:p w14:paraId="4B7FA00E" w14:textId="77777777" w:rsidR="001851B2" w:rsidRDefault="001851B2" w:rsidP="00172F56">
      <w:pPr>
        <w:pStyle w:val="11Bodytext"/>
        <w:numPr>
          <w:ilvl w:val="0"/>
          <w:numId w:val="0"/>
        </w:numPr>
        <w:spacing w:before="0" w:after="0" w:line="300" w:lineRule="auto"/>
        <w:ind w:left="794" w:hanging="794"/>
      </w:pPr>
    </w:p>
    <w:p w14:paraId="4075FF7B" w14:textId="1D9A1BFC" w:rsidR="0005681F" w:rsidRDefault="000167BB" w:rsidP="001851B2">
      <w:pPr>
        <w:pStyle w:val="11Bodytext"/>
        <w:spacing w:before="0" w:after="0" w:line="300" w:lineRule="auto"/>
        <w:ind w:left="720" w:hanging="720"/>
      </w:pPr>
      <w:r w:rsidRPr="001851B2">
        <w:t xml:space="preserve">Many </w:t>
      </w:r>
      <w:r w:rsidR="00EC5D45" w:rsidRPr="001851B2">
        <w:t>respondents</w:t>
      </w:r>
      <w:r w:rsidRPr="001851B2">
        <w:t xml:space="preserve"> told us this was due to F</w:t>
      </w:r>
      <w:r w:rsidR="00EC5D45" w:rsidRPr="001851B2">
        <w:t>y</w:t>
      </w:r>
      <w:r w:rsidRPr="001851B2">
        <w:t>lde being a more</w:t>
      </w:r>
      <w:r w:rsidR="00EC5D45" w:rsidRPr="001851B2">
        <w:t xml:space="preserve"> </w:t>
      </w:r>
      <w:r w:rsidRPr="001851B2">
        <w:t>desirable area to live</w:t>
      </w:r>
      <w:r w:rsidR="00EC5D45" w:rsidRPr="001851B2">
        <w:t>.</w:t>
      </w:r>
      <w:r w:rsidR="0014104A" w:rsidRPr="001851B2">
        <w:t xml:space="preserve"> </w:t>
      </w:r>
      <w:r w:rsidR="00EC5D45" w:rsidRPr="001851B2">
        <w:t xml:space="preserve">Some respondents felt that </w:t>
      </w:r>
      <w:r w:rsidRPr="001851B2">
        <w:t>Fylde local connection criteria limits the “pool” of applicants</w:t>
      </w:r>
      <w:r w:rsidR="00EC5D45" w:rsidRPr="001851B2">
        <w:t xml:space="preserve"> </w:t>
      </w:r>
      <w:r w:rsidRPr="001851B2">
        <w:t>for new build</w:t>
      </w:r>
      <w:r w:rsidR="00EC5D45" w:rsidRPr="001851B2">
        <w:t>.</w:t>
      </w:r>
      <w:r w:rsidR="0014104A" w:rsidRPr="001851B2">
        <w:t xml:space="preserve"> </w:t>
      </w:r>
      <w:r w:rsidR="00EC5D45" w:rsidRPr="001851B2">
        <w:t>Respondents also pointed out that many applicants have dual connection by means of residence and place of work.</w:t>
      </w:r>
    </w:p>
    <w:p w14:paraId="56801D6F" w14:textId="0B627247" w:rsidR="001851B2" w:rsidRDefault="001851B2" w:rsidP="001851B2">
      <w:pPr>
        <w:pStyle w:val="11Bodytext"/>
        <w:numPr>
          <w:ilvl w:val="0"/>
          <w:numId w:val="0"/>
        </w:numPr>
        <w:spacing w:before="0" w:after="0" w:line="300" w:lineRule="auto"/>
      </w:pPr>
    </w:p>
    <w:p w14:paraId="5AC6CFA7" w14:textId="14567092" w:rsidR="001331CC" w:rsidRDefault="001331CC" w:rsidP="001851B2">
      <w:pPr>
        <w:pStyle w:val="11Bodytext"/>
        <w:numPr>
          <w:ilvl w:val="0"/>
          <w:numId w:val="0"/>
        </w:numPr>
        <w:spacing w:before="0" w:after="0" w:line="300" w:lineRule="auto"/>
      </w:pPr>
    </w:p>
    <w:p w14:paraId="53294C4E" w14:textId="7341480D" w:rsidR="001331CC" w:rsidRDefault="001331CC" w:rsidP="001851B2">
      <w:pPr>
        <w:pStyle w:val="11Bodytext"/>
        <w:numPr>
          <w:ilvl w:val="0"/>
          <w:numId w:val="0"/>
        </w:numPr>
        <w:spacing w:before="0" w:after="0" w:line="300" w:lineRule="auto"/>
      </w:pPr>
    </w:p>
    <w:p w14:paraId="2A761109" w14:textId="22F41168" w:rsidR="001331CC" w:rsidRDefault="001331CC" w:rsidP="001851B2">
      <w:pPr>
        <w:pStyle w:val="11Bodytext"/>
        <w:numPr>
          <w:ilvl w:val="0"/>
          <w:numId w:val="0"/>
        </w:numPr>
        <w:spacing w:before="0" w:after="0" w:line="300" w:lineRule="auto"/>
      </w:pPr>
    </w:p>
    <w:p w14:paraId="084C9907" w14:textId="654A236E" w:rsidR="001331CC" w:rsidRDefault="001331CC" w:rsidP="001851B2">
      <w:pPr>
        <w:pStyle w:val="11Bodytext"/>
        <w:numPr>
          <w:ilvl w:val="0"/>
          <w:numId w:val="0"/>
        </w:numPr>
        <w:spacing w:before="0" w:after="0" w:line="300" w:lineRule="auto"/>
      </w:pPr>
    </w:p>
    <w:p w14:paraId="683E12A4" w14:textId="77777777" w:rsidR="001331CC" w:rsidRPr="001851B2" w:rsidRDefault="001331CC" w:rsidP="00172F56">
      <w:pPr>
        <w:pStyle w:val="11Bodytext"/>
        <w:numPr>
          <w:ilvl w:val="0"/>
          <w:numId w:val="0"/>
        </w:numPr>
        <w:spacing w:before="0" w:after="0" w:line="300" w:lineRule="auto"/>
      </w:pPr>
    </w:p>
    <w:p w14:paraId="60A3940B" w14:textId="1D6D4F71" w:rsidR="00DA03ED" w:rsidRPr="00D03540" w:rsidRDefault="00DA03ED" w:rsidP="001851B2">
      <w:pPr>
        <w:spacing w:line="300" w:lineRule="auto"/>
        <w:jc w:val="both"/>
        <w:rPr>
          <w:rFonts w:ascii="Arial" w:hAnsi="Arial" w:cs="Arial"/>
          <w:b/>
          <w:lang w:eastAsia="ja-JP"/>
        </w:rPr>
      </w:pPr>
      <w:r w:rsidRPr="00172F56">
        <w:rPr>
          <w:rFonts w:ascii="Arial" w:hAnsi="Arial" w:cs="Arial"/>
          <w:b/>
          <w:lang w:eastAsia="ja-JP"/>
        </w:rPr>
        <w:t>Large employers and the NHS</w:t>
      </w:r>
    </w:p>
    <w:p w14:paraId="34B27419" w14:textId="77777777" w:rsidR="001851B2" w:rsidRDefault="001851B2" w:rsidP="00172F56">
      <w:pPr>
        <w:pStyle w:val="11Bodytext"/>
        <w:numPr>
          <w:ilvl w:val="0"/>
          <w:numId w:val="0"/>
        </w:numPr>
        <w:spacing w:before="0" w:after="0" w:line="300" w:lineRule="auto"/>
        <w:ind w:left="794" w:hanging="794"/>
      </w:pPr>
    </w:p>
    <w:p w14:paraId="5F522CCB" w14:textId="3C304726" w:rsidR="00DA03ED" w:rsidRPr="001851B2" w:rsidRDefault="00DA03ED" w:rsidP="00172F56">
      <w:pPr>
        <w:pStyle w:val="11Bodytext"/>
        <w:spacing w:before="0" w:after="0" w:line="300" w:lineRule="auto"/>
        <w:ind w:left="720" w:hanging="720"/>
      </w:pPr>
      <w:r w:rsidRPr="001851B2">
        <w:t xml:space="preserve">The council was able to identify large employers from previous consultations. </w:t>
      </w:r>
      <w:r w:rsidR="00A4103B" w:rsidRPr="001851B2">
        <w:t xml:space="preserve">This was a mixture of public and private sector organisations. </w:t>
      </w:r>
      <w:r w:rsidRPr="001851B2">
        <w:t xml:space="preserve">We devised an online survey that was quick and easy to complete </w:t>
      </w:r>
      <w:r w:rsidR="00A4103B" w:rsidRPr="001851B2">
        <w:t>as in our experience this group of consultees tend not to respond to housing related questionnaires.</w:t>
      </w:r>
      <w:r w:rsidR="0014104A" w:rsidRPr="001851B2">
        <w:t xml:space="preserve"> </w:t>
      </w:r>
      <w:r w:rsidR="00A4103B" w:rsidRPr="001851B2">
        <w:t xml:space="preserve">Our main research question was about the extent to which any recruitment and retention problems might be due to access to suitable housing that employees could afford. </w:t>
      </w:r>
    </w:p>
    <w:p w14:paraId="5DB8B3F6" w14:textId="77777777" w:rsidR="001851B2" w:rsidRDefault="001851B2" w:rsidP="00172F56">
      <w:pPr>
        <w:pStyle w:val="11Bodytext"/>
        <w:numPr>
          <w:ilvl w:val="0"/>
          <w:numId w:val="0"/>
        </w:numPr>
        <w:spacing w:before="0" w:after="0" w:line="300" w:lineRule="auto"/>
      </w:pPr>
    </w:p>
    <w:p w14:paraId="61EDCF93" w14:textId="232643EA" w:rsidR="00A4103B" w:rsidRPr="001851B2" w:rsidRDefault="00A4103B" w:rsidP="00172F56">
      <w:pPr>
        <w:pStyle w:val="11Bodytext"/>
        <w:spacing w:before="0" w:after="0" w:line="300" w:lineRule="auto"/>
        <w:ind w:left="720" w:hanging="720"/>
      </w:pPr>
      <w:r w:rsidRPr="001851B2">
        <w:t>Only the NHS responded to our questionnaire.</w:t>
      </w:r>
      <w:r w:rsidR="0014104A" w:rsidRPr="001851B2">
        <w:t xml:space="preserve"> </w:t>
      </w:r>
      <w:r w:rsidRPr="001851B2">
        <w:t xml:space="preserve">In this case the questionnaire was wider in scope due to the NHS employing many essential local workers. </w:t>
      </w:r>
    </w:p>
    <w:p w14:paraId="6E81B55B" w14:textId="77777777" w:rsidR="001851B2" w:rsidRDefault="001851B2" w:rsidP="00172F56">
      <w:pPr>
        <w:pStyle w:val="11Bodytext"/>
        <w:numPr>
          <w:ilvl w:val="0"/>
          <w:numId w:val="0"/>
        </w:numPr>
        <w:spacing w:before="0" w:after="0" w:line="300" w:lineRule="auto"/>
      </w:pPr>
    </w:p>
    <w:p w14:paraId="0AF3B8CB" w14:textId="0E0829F3" w:rsidR="00F247D7" w:rsidRDefault="00F247D7" w:rsidP="001851B2">
      <w:pPr>
        <w:pStyle w:val="11Bodytext"/>
        <w:spacing w:before="0" w:after="0" w:line="300" w:lineRule="auto"/>
        <w:ind w:left="720" w:hanging="720"/>
      </w:pPr>
      <w:r w:rsidRPr="001851B2">
        <w:t>A senior official from the Clinical Commissioning Group consulted with colleagues across the Fylde Coast NHS and staff specifically engaged in the recruitment and retention process.</w:t>
      </w:r>
      <w:r w:rsidR="0014104A" w:rsidRPr="001851B2">
        <w:t xml:space="preserve"> </w:t>
      </w:r>
      <w:r w:rsidRPr="001851B2">
        <w:t>We were told that</w:t>
      </w:r>
      <w:r w:rsidR="0081592F" w:rsidRPr="001851B2">
        <w:t xml:space="preserve"> </w:t>
      </w:r>
      <w:r w:rsidRPr="001851B2">
        <w:t xml:space="preserve">there was no evidence that housing was </w:t>
      </w:r>
      <w:r w:rsidR="0081592F" w:rsidRPr="001851B2">
        <w:t xml:space="preserve">an issue affecting </w:t>
      </w:r>
      <w:r w:rsidRPr="001851B2">
        <w:t>recruitment a</w:t>
      </w:r>
      <w:r w:rsidR="0081592F" w:rsidRPr="001851B2">
        <w:t>nd retention of staff at any level.</w:t>
      </w:r>
    </w:p>
    <w:p w14:paraId="669AB011" w14:textId="77777777" w:rsidR="001851B2" w:rsidRPr="001851B2" w:rsidRDefault="001851B2" w:rsidP="00172F56">
      <w:pPr>
        <w:pStyle w:val="11Bodytext"/>
        <w:numPr>
          <w:ilvl w:val="0"/>
          <w:numId w:val="0"/>
        </w:numPr>
        <w:spacing w:before="0" w:after="0" w:line="300" w:lineRule="auto"/>
      </w:pPr>
    </w:p>
    <w:p w14:paraId="65143950" w14:textId="742B6990" w:rsidR="00DF0E00" w:rsidRPr="00D03540" w:rsidRDefault="00DF0E00" w:rsidP="001851B2">
      <w:pPr>
        <w:spacing w:line="300" w:lineRule="auto"/>
        <w:jc w:val="both"/>
        <w:rPr>
          <w:rFonts w:ascii="Arial" w:hAnsi="Arial" w:cs="Arial"/>
          <w:b/>
          <w:lang w:eastAsia="ja-JP"/>
        </w:rPr>
      </w:pPr>
      <w:r w:rsidRPr="00D03540">
        <w:rPr>
          <w:rFonts w:ascii="Arial" w:hAnsi="Arial" w:cs="Arial"/>
          <w:b/>
          <w:lang w:eastAsia="ja-JP"/>
        </w:rPr>
        <w:t>Summary</w:t>
      </w:r>
    </w:p>
    <w:p w14:paraId="1C28001E" w14:textId="77777777" w:rsidR="001851B2" w:rsidRDefault="001851B2" w:rsidP="00172F56">
      <w:pPr>
        <w:pStyle w:val="11Bodytext"/>
        <w:numPr>
          <w:ilvl w:val="0"/>
          <w:numId w:val="0"/>
        </w:numPr>
        <w:spacing w:before="0" w:after="0" w:line="300" w:lineRule="auto"/>
        <w:ind w:left="794" w:hanging="794"/>
      </w:pPr>
    </w:p>
    <w:p w14:paraId="32A212EA" w14:textId="280DB7F9" w:rsidR="00DF0E00" w:rsidRDefault="001851B2">
      <w:pPr>
        <w:pStyle w:val="11Bodytext"/>
        <w:numPr>
          <w:ilvl w:val="1"/>
          <w:numId w:val="80"/>
        </w:numPr>
        <w:spacing w:before="0" w:after="0" w:line="300" w:lineRule="auto"/>
        <w:ind w:left="720" w:hanging="720"/>
      </w:pPr>
      <w:r>
        <w:t>T</w:t>
      </w:r>
      <w:r w:rsidR="00DF0E00" w:rsidRPr="001851B2">
        <w:t>he project methodology involved seeking qualitative information from selected groups of stakeholders. The aim was to enable us to provide context to the HNS as well as nuance areas of the report. Stakeholder groups that were invited to participate were:</w:t>
      </w:r>
    </w:p>
    <w:p w14:paraId="315797E3" w14:textId="77777777" w:rsidR="001851B2" w:rsidRPr="001851B2" w:rsidRDefault="001851B2" w:rsidP="00172F56">
      <w:pPr>
        <w:pStyle w:val="11Bodytext"/>
        <w:numPr>
          <w:ilvl w:val="0"/>
          <w:numId w:val="0"/>
        </w:numPr>
        <w:spacing w:before="0" w:after="0" w:line="300" w:lineRule="auto"/>
      </w:pPr>
    </w:p>
    <w:p w14:paraId="0EBC6DE2" w14:textId="77777777" w:rsidR="00DF0E00" w:rsidRPr="001851B2" w:rsidRDefault="00DF0E00">
      <w:pPr>
        <w:pStyle w:val="Bulletblueplain"/>
        <w:numPr>
          <w:ilvl w:val="0"/>
          <w:numId w:val="82"/>
        </w:numPr>
        <w:spacing w:before="0" w:after="0" w:line="300" w:lineRule="auto"/>
        <w:rPr>
          <w:szCs w:val="20"/>
        </w:rPr>
      </w:pPr>
      <w:r w:rsidRPr="001851B2">
        <w:rPr>
          <w:szCs w:val="20"/>
        </w:rPr>
        <w:t>Estate and letting agents;</w:t>
      </w:r>
    </w:p>
    <w:p w14:paraId="6DD02687" w14:textId="77777777" w:rsidR="00DF0E00" w:rsidRPr="001851B2" w:rsidRDefault="00DF0E00">
      <w:pPr>
        <w:pStyle w:val="Bulletblueplain"/>
        <w:numPr>
          <w:ilvl w:val="0"/>
          <w:numId w:val="82"/>
        </w:numPr>
        <w:spacing w:before="0" w:after="0" w:line="300" w:lineRule="auto"/>
        <w:rPr>
          <w:szCs w:val="20"/>
        </w:rPr>
      </w:pPr>
      <w:r w:rsidRPr="001851B2">
        <w:rPr>
          <w:szCs w:val="20"/>
        </w:rPr>
        <w:t>Registered providers;</w:t>
      </w:r>
    </w:p>
    <w:p w14:paraId="6563086B" w14:textId="77777777" w:rsidR="00DF0E00" w:rsidRPr="001851B2" w:rsidRDefault="00DF0E00">
      <w:pPr>
        <w:pStyle w:val="Bulletblueplain"/>
        <w:numPr>
          <w:ilvl w:val="0"/>
          <w:numId w:val="82"/>
        </w:numPr>
        <w:spacing w:before="0" w:after="0" w:line="300" w:lineRule="auto"/>
        <w:rPr>
          <w:szCs w:val="20"/>
        </w:rPr>
      </w:pPr>
      <w:r w:rsidRPr="001851B2">
        <w:rPr>
          <w:szCs w:val="20"/>
        </w:rPr>
        <w:t>Large employers including the NHS.</w:t>
      </w:r>
    </w:p>
    <w:p w14:paraId="76183A51" w14:textId="77777777" w:rsidR="001851B2" w:rsidRDefault="001851B2" w:rsidP="00172F56">
      <w:pPr>
        <w:pStyle w:val="11Bodytext"/>
        <w:numPr>
          <w:ilvl w:val="0"/>
          <w:numId w:val="0"/>
        </w:numPr>
        <w:spacing w:before="0" w:after="0" w:line="300" w:lineRule="auto"/>
        <w:ind w:left="794" w:hanging="794"/>
      </w:pPr>
    </w:p>
    <w:p w14:paraId="2346E8FC" w14:textId="4CF1DF81" w:rsidR="00DF0E00" w:rsidRPr="001851B2" w:rsidRDefault="00DF0E00">
      <w:pPr>
        <w:pStyle w:val="11Bodytext"/>
        <w:numPr>
          <w:ilvl w:val="1"/>
          <w:numId w:val="80"/>
        </w:numPr>
        <w:spacing w:before="0" w:after="0" w:line="300" w:lineRule="auto"/>
        <w:ind w:left="720" w:hanging="720"/>
      </w:pPr>
      <w:r w:rsidRPr="001851B2">
        <w:t>The key messages from stakeholders are as follows.</w:t>
      </w:r>
    </w:p>
    <w:p w14:paraId="0F3BBBDB" w14:textId="03C63B07" w:rsidR="001851B2" w:rsidRDefault="001851B2" w:rsidP="00172F56">
      <w:pPr>
        <w:pStyle w:val="11Bodytext"/>
        <w:numPr>
          <w:ilvl w:val="0"/>
          <w:numId w:val="0"/>
        </w:numPr>
        <w:spacing w:before="0" w:after="0" w:line="300" w:lineRule="auto"/>
      </w:pPr>
    </w:p>
    <w:p w14:paraId="7264C58A" w14:textId="033B265F" w:rsidR="00DF0E00" w:rsidRPr="001851B2" w:rsidRDefault="00DF0E00">
      <w:pPr>
        <w:pStyle w:val="11Bodytext"/>
        <w:numPr>
          <w:ilvl w:val="1"/>
          <w:numId w:val="80"/>
        </w:numPr>
        <w:spacing w:before="0" w:after="0" w:line="300" w:lineRule="auto"/>
        <w:ind w:left="720" w:hanging="720"/>
      </w:pPr>
      <w:r w:rsidRPr="001851B2">
        <w:t>Estate and Letting agents told us that in-migration occurred from many parts of the country and was not disproportionately from Blackpool. Drivers were retiring households and people relocating for employment. Agents believe that the main gap in supply is bungalow accommodation. There is also a need for age restricted leasehold apartments in Lytham. Agents consider that there is a significant undersupply of private rented housing due to landlords not investing sufficiently and demand from local residents unable to achieve affordable housing and incomers renting before buying.</w:t>
      </w:r>
    </w:p>
    <w:p w14:paraId="55033407" w14:textId="77777777" w:rsidR="001851B2" w:rsidRDefault="001851B2" w:rsidP="00172F56">
      <w:pPr>
        <w:pStyle w:val="11Bodytext"/>
        <w:numPr>
          <w:ilvl w:val="0"/>
          <w:numId w:val="0"/>
        </w:numPr>
        <w:spacing w:before="0" w:after="0" w:line="300" w:lineRule="auto"/>
      </w:pPr>
    </w:p>
    <w:p w14:paraId="1EFB2F9A" w14:textId="156FC445" w:rsidR="00DF0E00" w:rsidRDefault="00DF0E00">
      <w:pPr>
        <w:pStyle w:val="11Bodytext"/>
        <w:numPr>
          <w:ilvl w:val="1"/>
          <w:numId w:val="80"/>
        </w:numPr>
        <w:spacing w:before="0" w:after="0" w:line="300" w:lineRule="auto"/>
        <w:ind w:left="720" w:hanging="720"/>
      </w:pPr>
      <w:r w:rsidRPr="001851B2">
        <w:t xml:space="preserve">Registered providers told us that notwithstanding improved supply in recent years there still remained a shortage of affordable housing in the </w:t>
      </w:r>
      <w:r w:rsidR="006128D0">
        <w:t>B</w:t>
      </w:r>
      <w:r w:rsidRPr="001851B2">
        <w:t>orough</w:t>
      </w:r>
      <w:r w:rsidR="006128D0">
        <w:t xml:space="preserve">, particularly 1- and 4+-bedroom homes (due to recent development focussing on </w:t>
      </w:r>
      <w:r w:rsidRPr="001851B2">
        <w:t>2 and 3 bedroom housing</w:t>
      </w:r>
      <w:r w:rsidR="006128D0">
        <w:t>)</w:t>
      </w:r>
      <w:r w:rsidRPr="001851B2">
        <w:t>. A number of respondents thought too much development had occurred in the rural areas and that particular needs in the urban areas were unmet. Respondents found the Fylde Coast Home Choice system to be effective and made constructive suggestions as to how it could be improved.</w:t>
      </w:r>
    </w:p>
    <w:p w14:paraId="5DCADD2C" w14:textId="77777777" w:rsidR="006128D0" w:rsidRPr="001851B2" w:rsidRDefault="006128D0" w:rsidP="00172F56">
      <w:pPr>
        <w:pStyle w:val="11Bodytext"/>
        <w:numPr>
          <w:ilvl w:val="0"/>
          <w:numId w:val="0"/>
        </w:numPr>
        <w:spacing w:before="0" w:after="0" w:line="300" w:lineRule="auto"/>
      </w:pPr>
    </w:p>
    <w:p w14:paraId="332A9E93" w14:textId="346EECE0" w:rsidR="00DF0E00" w:rsidRPr="001851B2" w:rsidRDefault="00DF0E00">
      <w:pPr>
        <w:pStyle w:val="11Bodytext"/>
        <w:numPr>
          <w:ilvl w:val="1"/>
          <w:numId w:val="80"/>
        </w:numPr>
        <w:spacing w:before="0" w:after="0" w:line="300" w:lineRule="auto"/>
        <w:ind w:left="720" w:hanging="720"/>
      </w:pPr>
      <w:r w:rsidRPr="001851B2">
        <w:t xml:space="preserve">Large employers presented no evidence to suggest that any recruitment and retention problems they might be experiencing were due to a shortage of suitable housing in the </w:t>
      </w:r>
      <w:r w:rsidR="006128D0">
        <w:t>B</w:t>
      </w:r>
      <w:r w:rsidRPr="001851B2">
        <w:t>orough.</w:t>
      </w:r>
    </w:p>
    <w:sectPr w:rsidR="00DF0E00" w:rsidRPr="001851B2" w:rsidSect="00FD0FB7">
      <w:footerReference w:type="even" r:id="rId43"/>
      <w:footerReference w:type="default" r:id="rId44"/>
      <w:pgSz w:w="11906" w:h="16838" w:code="9"/>
      <w:pgMar w:top="1418" w:right="964" w:bottom="1418" w:left="964" w:header="709" w:footer="709" w:gutter="34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9DB6" w14:textId="77777777" w:rsidR="00E345AC" w:rsidRDefault="00E345AC" w:rsidP="002442B1">
      <w:r>
        <w:separator/>
      </w:r>
    </w:p>
  </w:endnote>
  <w:endnote w:type="continuationSeparator" w:id="0">
    <w:p w14:paraId="0368B9BC" w14:textId="77777777" w:rsidR="00E345AC" w:rsidRDefault="00E345AC" w:rsidP="002442B1">
      <w:r>
        <w:continuationSeparator/>
      </w:r>
    </w:p>
  </w:endnote>
  <w:endnote w:type="continuationNotice" w:id="1">
    <w:p w14:paraId="0F339E5F" w14:textId="77777777" w:rsidR="00E345AC" w:rsidRDefault="00E34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3000000"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Dax-Medium">
    <w:altName w:val="Bodoni MT Condensed"/>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ouschka Pro Light">
    <w:altName w:val="Houschka Pro Light"/>
    <w:panose1 w:val="00000000000000000000"/>
    <w:charset w:val="00"/>
    <w:family w:val="swiss"/>
    <w:notTrueType/>
    <w:pitch w:val="default"/>
    <w:sig w:usb0="00000003" w:usb1="00000000" w:usb2="00000000" w:usb3="00000000" w:csb0="00000001" w:csb1="00000000"/>
  </w:font>
  <w:font w:name="Gotham">
    <w:panose1 w:val="00000000000000000000"/>
    <w:charset w:val="00"/>
    <w:family w:val="swiss"/>
    <w:notTrueType/>
    <w:pitch w:val="default"/>
    <w:sig w:usb0="00000003" w:usb1="00000000"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Zurich BT">
    <w:altName w:val="Trebuchet MS"/>
    <w:charset w:val="00"/>
    <w:family w:val="swiss"/>
    <w:pitch w:val="variable"/>
    <w:sig w:usb0="00000087" w:usb1="00000000" w:usb2="00000000" w:usb3="00000000" w:csb0="0000001B" w:csb1="00000000"/>
  </w:font>
  <w:font w:name="ClassGarmnd BT">
    <w:altName w:val="Constantia"/>
    <w:charset w:val="00"/>
    <w:family w:val="roman"/>
    <w:pitch w:val="variable"/>
    <w:sig w:usb0="00000087" w:usb1="00000000" w:usb2="00000000" w:usb3="00000000" w:csb0="0000001B"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57C9" w14:textId="09360D05" w:rsidR="00CD034B" w:rsidRPr="00A7217C" w:rsidRDefault="00CD034B" w:rsidP="00AD32AE">
    <w:pPr>
      <w:pStyle w:val="ReportFooterRight"/>
      <w:pBdr>
        <w:top w:val="dotted" w:sz="4" w:space="5" w:color="auto"/>
      </w:pBdr>
      <w:tabs>
        <w:tab w:val="center" w:pos="4820"/>
      </w:tabs>
      <w:jc w:val="left"/>
      <w:rPr>
        <w:rFonts w:ascii="Arial" w:hAnsi="Arial" w:cs="Arial"/>
        <w:i w:val="0"/>
        <w:sz w:val="16"/>
        <w:szCs w:val="16"/>
      </w:rPr>
    </w:pPr>
    <w:r w:rsidRPr="00A7217C">
      <w:rPr>
        <w:rFonts w:ascii="Arial" w:hAnsi="Arial" w:cs="Arial"/>
        <w:noProof/>
        <w:sz w:val="16"/>
        <w:szCs w:val="16"/>
      </w:rPr>
      <w:drawing>
        <wp:inline distT="0" distB="0" distL="0" distR="0" wp14:anchorId="55CD8275" wp14:editId="4812B31F">
          <wp:extent cx="409575" cy="3810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r w:rsidRPr="00A7217C">
      <w:rPr>
        <w:rFonts w:ascii="Arial" w:hAnsi="Arial" w:cs="Arial"/>
        <w:i w:val="0"/>
        <w:sz w:val="16"/>
        <w:szCs w:val="16"/>
      </w:rPr>
      <w:tab/>
      <w:t xml:space="preserve">Page </w:t>
    </w:r>
    <w:r w:rsidRPr="00A7217C">
      <w:rPr>
        <w:rFonts w:ascii="Arial" w:hAnsi="Arial" w:cs="Arial"/>
        <w:i w:val="0"/>
        <w:sz w:val="16"/>
        <w:szCs w:val="16"/>
      </w:rPr>
      <w:fldChar w:fldCharType="begin"/>
    </w:r>
    <w:r w:rsidRPr="00A7217C">
      <w:rPr>
        <w:rFonts w:ascii="Arial" w:hAnsi="Arial" w:cs="Arial"/>
        <w:i w:val="0"/>
        <w:sz w:val="16"/>
        <w:szCs w:val="16"/>
      </w:rPr>
      <w:instrText xml:space="preserve"> PAGE </w:instrText>
    </w:r>
    <w:r w:rsidRPr="00A7217C">
      <w:rPr>
        <w:rFonts w:ascii="Arial" w:hAnsi="Arial" w:cs="Arial"/>
        <w:i w:val="0"/>
        <w:sz w:val="16"/>
        <w:szCs w:val="16"/>
      </w:rPr>
      <w:fldChar w:fldCharType="separate"/>
    </w:r>
    <w:r>
      <w:rPr>
        <w:rFonts w:ascii="Arial" w:hAnsi="Arial" w:cs="Arial"/>
        <w:i w:val="0"/>
        <w:noProof/>
        <w:sz w:val="16"/>
        <w:szCs w:val="16"/>
      </w:rPr>
      <w:t>2</w:t>
    </w:r>
    <w:r w:rsidRPr="00A7217C">
      <w:rPr>
        <w:rFonts w:ascii="Arial" w:hAnsi="Arial" w:cs="Arial"/>
        <w:i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1121" w14:textId="2944CB94" w:rsidR="00CD034B" w:rsidRPr="00A7217C" w:rsidRDefault="00CD034B" w:rsidP="00104445">
    <w:pPr>
      <w:pStyle w:val="ReportFooterRight"/>
      <w:pBdr>
        <w:top w:val="dotted" w:sz="4" w:space="5" w:color="auto"/>
      </w:pBdr>
      <w:tabs>
        <w:tab w:val="center" w:pos="4820"/>
      </w:tabs>
      <w:jc w:val="left"/>
      <w:rPr>
        <w:rFonts w:ascii="Arial" w:hAnsi="Arial" w:cs="Arial"/>
        <w:i w:val="0"/>
        <w:sz w:val="16"/>
        <w:szCs w:val="16"/>
      </w:rPr>
    </w:pPr>
    <w:r w:rsidRPr="00A7217C">
      <w:rPr>
        <w:rFonts w:ascii="Arial" w:hAnsi="Arial" w:cs="Arial"/>
        <w:noProof/>
        <w:sz w:val="16"/>
        <w:szCs w:val="16"/>
      </w:rPr>
      <w:drawing>
        <wp:inline distT="0" distB="0" distL="0" distR="0" wp14:anchorId="56A6C608" wp14:editId="5707FBCB">
          <wp:extent cx="409575" cy="38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r w:rsidR="0014104A">
      <w:rPr>
        <w:rFonts w:ascii="Arial" w:hAnsi="Arial" w:cs="Arial"/>
        <w:i w:val="0"/>
        <w:sz w:val="16"/>
        <w:szCs w:val="16"/>
      </w:rPr>
      <w:t xml:space="preserve"> </w:t>
    </w:r>
    <w:r w:rsidR="0002058D">
      <w:rPr>
        <w:rFonts w:eastAsiaTheme="minorEastAsia"/>
        <w:noProof/>
      </w:rPr>
      <w:drawing>
        <wp:inline distT="0" distB="0" distL="0" distR="0" wp14:anchorId="13CFC089" wp14:editId="241A0A75">
          <wp:extent cx="643607" cy="379095"/>
          <wp:effectExtent l="0" t="0" r="4445" b="1905"/>
          <wp:docPr id="43" name="Picture 4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47606" cy="381451"/>
                  </a:xfrm>
                  <a:prstGeom prst="rect">
                    <a:avLst/>
                  </a:prstGeom>
                  <a:noFill/>
                  <a:ln>
                    <a:noFill/>
                  </a:ln>
                </pic:spPr>
              </pic:pic>
            </a:graphicData>
          </a:graphic>
        </wp:inline>
      </w:drawing>
    </w:r>
    <w:r w:rsidRPr="00A7217C">
      <w:rPr>
        <w:rFonts w:ascii="Arial" w:hAnsi="Arial" w:cs="Arial"/>
        <w:i w:val="0"/>
        <w:sz w:val="16"/>
        <w:szCs w:val="16"/>
      </w:rPr>
      <w:tab/>
      <w:t xml:space="preserve">Page </w:t>
    </w:r>
    <w:r w:rsidRPr="00A7217C">
      <w:rPr>
        <w:rFonts w:ascii="Arial" w:hAnsi="Arial" w:cs="Arial"/>
        <w:i w:val="0"/>
        <w:sz w:val="16"/>
        <w:szCs w:val="16"/>
      </w:rPr>
      <w:fldChar w:fldCharType="begin"/>
    </w:r>
    <w:r w:rsidRPr="00A7217C">
      <w:rPr>
        <w:rFonts w:ascii="Arial" w:hAnsi="Arial" w:cs="Arial"/>
        <w:i w:val="0"/>
        <w:sz w:val="16"/>
        <w:szCs w:val="16"/>
      </w:rPr>
      <w:instrText xml:space="preserve"> PAGE </w:instrText>
    </w:r>
    <w:r w:rsidRPr="00A7217C">
      <w:rPr>
        <w:rFonts w:ascii="Arial" w:hAnsi="Arial" w:cs="Arial"/>
        <w:i w:val="0"/>
        <w:sz w:val="16"/>
        <w:szCs w:val="16"/>
      </w:rPr>
      <w:fldChar w:fldCharType="separate"/>
    </w:r>
    <w:r>
      <w:rPr>
        <w:rFonts w:ascii="Arial" w:hAnsi="Arial" w:cs="Arial"/>
        <w:i w:val="0"/>
        <w:noProof/>
        <w:sz w:val="16"/>
        <w:szCs w:val="16"/>
      </w:rPr>
      <w:t>140</w:t>
    </w:r>
    <w:r w:rsidRPr="00A7217C">
      <w:rPr>
        <w:rFonts w:ascii="Arial" w:hAnsi="Arial" w:cs="Arial"/>
        <w:i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B157" w14:textId="4F42AC74" w:rsidR="00CD034B" w:rsidRDefault="00CD034B" w:rsidP="00104445">
    <w:pPr>
      <w:pStyle w:val="ReportFooterRight"/>
      <w:pBdr>
        <w:top w:val="dotted" w:sz="4" w:space="5" w:color="auto"/>
      </w:pBdr>
      <w:tabs>
        <w:tab w:val="center" w:pos="4820"/>
        <w:tab w:val="right" w:pos="9639"/>
      </w:tabs>
      <w:jc w:val="left"/>
      <w:rPr>
        <w:rFonts w:ascii="Arial" w:hAnsi="Arial" w:cs="Arial"/>
        <w:sz w:val="16"/>
        <w:szCs w:val="16"/>
      </w:rPr>
    </w:pPr>
    <w:r w:rsidRPr="00A7217C">
      <w:rPr>
        <w:rFonts w:ascii="Arial" w:hAnsi="Arial" w:cs="Arial"/>
        <w:i w:val="0"/>
        <w:sz w:val="16"/>
        <w:szCs w:val="16"/>
      </w:rPr>
      <w:tab/>
      <w:t xml:space="preserve">Page </w:t>
    </w:r>
    <w:r w:rsidRPr="00A7217C">
      <w:rPr>
        <w:rFonts w:ascii="Arial" w:hAnsi="Arial" w:cs="Arial"/>
        <w:i w:val="0"/>
        <w:sz w:val="16"/>
        <w:szCs w:val="16"/>
      </w:rPr>
      <w:fldChar w:fldCharType="begin"/>
    </w:r>
    <w:r w:rsidRPr="00A7217C">
      <w:rPr>
        <w:rFonts w:ascii="Arial" w:hAnsi="Arial" w:cs="Arial"/>
        <w:i w:val="0"/>
        <w:sz w:val="16"/>
        <w:szCs w:val="16"/>
      </w:rPr>
      <w:instrText xml:space="preserve"> PAGE </w:instrText>
    </w:r>
    <w:r w:rsidRPr="00A7217C">
      <w:rPr>
        <w:rFonts w:ascii="Arial" w:hAnsi="Arial" w:cs="Arial"/>
        <w:i w:val="0"/>
        <w:sz w:val="16"/>
        <w:szCs w:val="16"/>
      </w:rPr>
      <w:fldChar w:fldCharType="separate"/>
    </w:r>
    <w:r>
      <w:rPr>
        <w:rFonts w:ascii="Arial" w:hAnsi="Arial" w:cs="Arial"/>
        <w:i w:val="0"/>
        <w:noProof/>
        <w:sz w:val="16"/>
        <w:szCs w:val="16"/>
      </w:rPr>
      <w:t>139</w:t>
    </w:r>
    <w:r w:rsidRPr="00A7217C">
      <w:rPr>
        <w:rFonts w:ascii="Arial" w:hAnsi="Arial" w:cs="Arial"/>
        <w:i w:val="0"/>
        <w:sz w:val="16"/>
        <w:szCs w:val="16"/>
      </w:rPr>
      <w:fldChar w:fldCharType="end"/>
    </w:r>
    <w:r w:rsidRPr="00A7217C">
      <w:rPr>
        <w:rFonts w:ascii="Arial" w:hAnsi="Arial" w:cs="Arial"/>
        <w:i w:val="0"/>
        <w:sz w:val="16"/>
        <w:szCs w:val="16"/>
      </w:rPr>
      <w:tab/>
    </w:r>
    <w:r w:rsidRPr="00A7217C">
      <w:rPr>
        <w:rFonts w:ascii="Arial" w:hAnsi="Arial" w:cs="Arial"/>
        <w:noProof/>
        <w:sz w:val="16"/>
        <w:szCs w:val="16"/>
      </w:rPr>
      <w:drawing>
        <wp:inline distT="0" distB="0" distL="0" distR="0" wp14:anchorId="6853813F" wp14:editId="66923A4E">
          <wp:extent cx="409575" cy="381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r w:rsidR="0014104A">
      <w:rPr>
        <w:rFonts w:ascii="Arial" w:hAnsi="Arial" w:cs="Arial"/>
        <w:i w:val="0"/>
        <w:sz w:val="16"/>
        <w:szCs w:val="16"/>
      </w:rPr>
      <w:t xml:space="preserve"> </w:t>
    </w:r>
    <w:r w:rsidR="0002058D">
      <w:rPr>
        <w:rFonts w:eastAsiaTheme="minorEastAsia"/>
        <w:noProof/>
      </w:rPr>
      <w:drawing>
        <wp:inline distT="0" distB="0" distL="0" distR="0" wp14:anchorId="5F4F3DC0" wp14:editId="7AAF0B1B">
          <wp:extent cx="643607" cy="379095"/>
          <wp:effectExtent l="0" t="0" r="4445" b="1905"/>
          <wp:docPr id="42" name="Picture 4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47606" cy="3814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DCC3" w14:textId="77777777" w:rsidR="00E345AC" w:rsidRDefault="00E345AC" w:rsidP="002442B1">
      <w:r>
        <w:separator/>
      </w:r>
    </w:p>
  </w:footnote>
  <w:footnote w:type="continuationSeparator" w:id="0">
    <w:p w14:paraId="5DD1ECA3" w14:textId="77777777" w:rsidR="00E345AC" w:rsidRDefault="00E345AC" w:rsidP="002442B1">
      <w:r>
        <w:continuationSeparator/>
      </w:r>
    </w:p>
  </w:footnote>
  <w:footnote w:type="continuationNotice" w:id="1">
    <w:p w14:paraId="395A3FF3" w14:textId="77777777" w:rsidR="00E345AC" w:rsidRDefault="00E345AC"/>
  </w:footnote>
  <w:footnote w:id="2">
    <w:p w14:paraId="3F41C34E" w14:textId="6E2C04F7" w:rsidR="003800E8" w:rsidRPr="00172F56" w:rsidRDefault="003800E8">
      <w:pPr>
        <w:pStyle w:val="FootnoteText"/>
        <w:rPr>
          <w:sz w:val="16"/>
          <w:szCs w:val="16"/>
          <w:lang w:val="en-GB"/>
        </w:rPr>
      </w:pPr>
      <w:r w:rsidRPr="003800E8">
        <w:rPr>
          <w:rStyle w:val="FootnoteReference"/>
        </w:rPr>
        <w:footnoteRef/>
      </w:r>
      <w:r w:rsidRPr="00172F56">
        <w:rPr>
          <w:sz w:val="16"/>
          <w:szCs w:val="16"/>
        </w:rPr>
        <w:t xml:space="preserve"> https://www.ons.gov.uk/peoplepopulationandcommunity/housing/datasets/subnationaldwellingstockbytenureestimates</w:t>
      </w:r>
    </w:p>
  </w:footnote>
  <w:footnote w:id="3">
    <w:p w14:paraId="1093CA9E" w14:textId="291DAEF6" w:rsidR="003800E8" w:rsidRPr="00172F56" w:rsidRDefault="003800E8">
      <w:pPr>
        <w:pStyle w:val="FootnoteText"/>
        <w:rPr>
          <w:sz w:val="16"/>
          <w:szCs w:val="16"/>
          <w:lang w:val="en-GB"/>
        </w:rPr>
      </w:pPr>
      <w:r w:rsidRPr="00A4575A">
        <w:rPr>
          <w:rStyle w:val="FootnoteReference"/>
        </w:rPr>
        <w:footnoteRef/>
      </w:r>
      <w:r w:rsidRPr="00172F56">
        <w:rPr>
          <w:sz w:val="16"/>
          <w:szCs w:val="16"/>
        </w:rPr>
        <w:t xml:space="preserve"> </w:t>
      </w:r>
      <w:r w:rsidRPr="00172F56">
        <w:rPr>
          <w:sz w:val="16"/>
          <w:szCs w:val="16"/>
          <w:lang w:val="en-GB"/>
        </w:rPr>
        <w:t>Non-response bias is where the characteristics of those responding to the survey are different to those who were selected to take part but don’t</w:t>
      </w:r>
      <w:r w:rsidR="00A4575A" w:rsidRPr="00172F56">
        <w:rPr>
          <w:sz w:val="16"/>
          <w:szCs w:val="16"/>
          <w:lang w:val="en-GB"/>
        </w:rPr>
        <w:t xml:space="preserve"> – one example shown above is that outright owners are more likely to complete the survey than households living in private rented accommodation</w:t>
      </w:r>
    </w:p>
  </w:footnote>
  <w:footnote w:id="4">
    <w:p w14:paraId="0AB0D9EC" w14:textId="6DC879F1" w:rsidR="00041EB7" w:rsidRPr="00172F56" w:rsidRDefault="00041EB7">
      <w:pPr>
        <w:pStyle w:val="FootnoteText"/>
        <w:rPr>
          <w:sz w:val="16"/>
          <w:szCs w:val="16"/>
          <w:lang w:val="en-GB"/>
        </w:rPr>
      </w:pPr>
      <w:r w:rsidRPr="00041EB7">
        <w:rPr>
          <w:rStyle w:val="FootnoteReference"/>
        </w:rPr>
        <w:footnoteRef/>
      </w:r>
      <w:r w:rsidRPr="00172F56">
        <w:rPr>
          <w:sz w:val="16"/>
          <w:szCs w:val="16"/>
        </w:rPr>
        <w:t xml:space="preserve"> https://www.ons.gov.uk/peoplepopulationandcommunity/populationandmigration/populationestimates/datasets/populationandhouseholdestimatesenglandandwalescensus2021</w:t>
      </w:r>
    </w:p>
  </w:footnote>
  <w:footnote w:id="5">
    <w:p w14:paraId="6D479EC5" w14:textId="62AD00D3" w:rsidR="0029674B" w:rsidRPr="00172F56" w:rsidRDefault="0029674B">
      <w:pPr>
        <w:pStyle w:val="FootnoteText"/>
        <w:rPr>
          <w:sz w:val="16"/>
          <w:szCs w:val="16"/>
          <w:lang w:val="en-GB"/>
        </w:rPr>
      </w:pPr>
      <w:r w:rsidRPr="0029674B">
        <w:rPr>
          <w:rStyle w:val="FootnoteReference"/>
        </w:rPr>
        <w:footnoteRef/>
      </w:r>
      <w:r w:rsidRPr="00172F56">
        <w:rPr>
          <w:sz w:val="16"/>
          <w:szCs w:val="16"/>
        </w:rPr>
        <w:t xml:space="preserve"> </w:t>
      </w:r>
      <w:r w:rsidRPr="00172F56">
        <w:rPr>
          <w:color w:val="202124"/>
          <w:sz w:val="16"/>
          <w:szCs w:val="16"/>
          <w:shd w:val="clear" w:color="auto" w:fill="FFFFFF"/>
        </w:rPr>
        <w:t>The lower quartile (LQ) is the value under which 25% of data points are found when they are arranged in increasing order. In this case the LQ price would be one where 25% of sales are below the LQ price and 75% above.</w:t>
      </w:r>
    </w:p>
  </w:footnote>
  <w:footnote w:id="6">
    <w:p w14:paraId="39E56953" w14:textId="1916835D" w:rsidR="0029674B" w:rsidRPr="00172F56" w:rsidRDefault="0029674B">
      <w:pPr>
        <w:pStyle w:val="FootnoteText"/>
        <w:rPr>
          <w:sz w:val="16"/>
          <w:szCs w:val="16"/>
          <w:lang w:val="en-GB"/>
        </w:rPr>
      </w:pPr>
      <w:r w:rsidRPr="0029674B">
        <w:rPr>
          <w:rStyle w:val="FootnoteReference"/>
        </w:rPr>
        <w:footnoteRef/>
      </w:r>
      <w:r w:rsidRPr="00172F56">
        <w:rPr>
          <w:sz w:val="16"/>
          <w:szCs w:val="16"/>
        </w:rPr>
        <w:t xml:space="preserve"> https://www.ons.gov.uk/peoplepopulationandcommunity/housing/datasets/privaterentalmarketsummarystatisticsinengland</w:t>
      </w:r>
    </w:p>
  </w:footnote>
  <w:footnote w:id="7">
    <w:p w14:paraId="6E355583" w14:textId="19EBAA8E" w:rsidR="007C1805" w:rsidRPr="00931AE7" w:rsidRDefault="007C1805" w:rsidP="00172F56">
      <w:r w:rsidRPr="00172F56">
        <w:rPr>
          <w:rStyle w:val="FootnoteReference"/>
          <w:rFonts w:ascii="Arial" w:hAnsi="Arial" w:cs="Arial"/>
          <w:sz w:val="20"/>
          <w:szCs w:val="20"/>
        </w:rPr>
        <w:footnoteRef/>
      </w:r>
      <w:r w:rsidRPr="00172F56">
        <w:rPr>
          <w:rFonts w:ascii="Arial" w:hAnsi="Arial" w:cs="Arial"/>
          <w:sz w:val="20"/>
          <w:szCs w:val="20"/>
        </w:rPr>
        <w:t xml:space="preserve"> </w:t>
      </w:r>
      <w:r w:rsidRPr="00172F56">
        <w:rPr>
          <w:rFonts w:ascii="Arial" w:hAnsi="Arial" w:cs="Arial"/>
          <w:color w:val="000000"/>
          <w:sz w:val="16"/>
          <w:szCs w:val="16"/>
          <w:shd w:val="clear" w:color="auto" w:fill="FFFFFF"/>
        </w:rPr>
        <w:t>HRP is defined as the "householder" (that is the person in whose name the accommodation is owned or rented</w:t>
      </w:r>
    </w:p>
  </w:footnote>
  <w:footnote w:id="8">
    <w:p w14:paraId="6CBC8A40" w14:textId="3DE5C79C" w:rsidR="00C876AC" w:rsidRPr="00172F56" w:rsidRDefault="00C876AC">
      <w:pPr>
        <w:pStyle w:val="FootnoteText"/>
        <w:rPr>
          <w:sz w:val="16"/>
          <w:szCs w:val="16"/>
          <w:lang w:val="en-GB"/>
        </w:rPr>
      </w:pPr>
      <w:r w:rsidRPr="00C876AC">
        <w:rPr>
          <w:rStyle w:val="FootnoteReference"/>
        </w:rPr>
        <w:footnoteRef/>
      </w:r>
      <w:r w:rsidRPr="00172F56">
        <w:rPr>
          <w:sz w:val="16"/>
          <w:szCs w:val="16"/>
        </w:rPr>
        <w:t xml:space="preserve"> The</w:t>
      </w:r>
      <w:r w:rsidRPr="00172F56">
        <w:rPr>
          <w:sz w:val="16"/>
          <w:szCs w:val="16"/>
          <w:lang w:val="en-GB"/>
        </w:rPr>
        <w:t xml:space="preserve"> four times mortgage multiple has been based on consideration of typical figures available in the market (where a range from 4 to 4.5 seems typical). The lower end of this range is used to reflect slightly lower prices in Fylde when compared with pricing nationally.</w:t>
      </w:r>
    </w:p>
  </w:footnote>
  <w:footnote w:id="9">
    <w:p w14:paraId="6CF3CF9F" w14:textId="188C499C" w:rsidR="00C876AC" w:rsidRPr="00172F56" w:rsidRDefault="00C876AC">
      <w:pPr>
        <w:pStyle w:val="FootnoteText"/>
        <w:rPr>
          <w:sz w:val="16"/>
          <w:szCs w:val="16"/>
          <w:lang w:val="en-GB"/>
        </w:rPr>
      </w:pPr>
      <w:r w:rsidRPr="00C876AC">
        <w:rPr>
          <w:rStyle w:val="FootnoteReference"/>
        </w:rPr>
        <w:footnoteRef/>
      </w:r>
      <w:r w:rsidRPr="00C876AC">
        <w:t xml:space="preserve"> </w:t>
      </w:r>
      <w:r w:rsidRPr="00172F56">
        <w:rPr>
          <w:sz w:val="16"/>
          <w:szCs w:val="16"/>
          <w:lang w:val="en-GB"/>
        </w:rPr>
        <w:t>The 30% threshold figure has been based on consideration of a range of sources, including previous housing needs guidance, letting agent practice and other similar research projects to this. A figure of 30% seems generally to have become the benchmark figure generally used.</w:t>
      </w:r>
    </w:p>
  </w:footnote>
  <w:footnote w:id="10">
    <w:p w14:paraId="00BBB5D8" w14:textId="6957A604" w:rsidR="001814CE" w:rsidRPr="00172F56" w:rsidRDefault="001814CE">
      <w:pPr>
        <w:pStyle w:val="FootnoteText"/>
        <w:rPr>
          <w:sz w:val="16"/>
          <w:szCs w:val="16"/>
          <w:lang w:val="en-GB"/>
        </w:rPr>
      </w:pPr>
      <w:r w:rsidRPr="001814CE">
        <w:rPr>
          <w:rStyle w:val="FootnoteReference"/>
        </w:rPr>
        <w:footnoteRef/>
      </w:r>
      <w:r w:rsidRPr="00172F56">
        <w:rPr>
          <w:sz w:val="16"/>
          <w:szCs w:val="16"/>
        </w:rPr>
        <w:t xml:space="preserve"> </w:t>
      </w:r>
      <w:r w:rsidRPr="00172F56">
        <w:rPr>
          <w:color w:val="0B0C0C"/>
          <w:sz w:val="16"/>
          <w:szCs w:val="16"/>
          <w:shd w:val="clear" w:color="auto" w:fill="FFFFFF"/>
        </w:rPr>
        <w:t>The continuous recording of lettings and sales in social housing in England (referred to as</w:t>
      </w:r>
      <w:r>
        <w:rPr>
          <w:color w:val="0B0C0C"/>
          <w:sz w:val="16"/>
          <w:szCs w:val="16"/>
          <w:shd w:val="clear" w:color="auto" w:fill="FFFFFF"/>
        </w:rPr>
        <w:t xml:space="preserve"> </w:t>
      </w:r>
      <w:r w:rsidRPr="00172F56">
        <w:rPr>
          <w:sz w:val="16"/>
          <w:szCs w:val="16"/>
        </w:rPr>
        <w:t>C</w:t>
      </w:r>
      <w:r>
        <w:rPr>
          <w:sz w:val="16"/>
          <w:szCs w:val="16"/>
        </w:rPr>
        <w:t>o</w:t>
      </w:r>
      <w:r w:rsidRPr="00172F56">
        <w:rPr>
          <w:sz w:val="16"/>
          <w:szCs w:val="16"/>
        </w:rPr>
        <w:t>R</w:t>
      </w:r>
      <w:r>
        <w:rPr>
          <w:sz w:val="16"/>
          <w:szCs w:val="16"/>
        </w:rPr>
        <w:t>e</w:t>
      </w:r>
      <w:r w:rsidRPr="00172F56">
        <w:rPr>
          <w:color w:val="0B0C0C"/>
          <w:sz w:val="16"/>
          <w:szCs w:val="16"/>
          <w:shd w:val="clear" w:color="auto" w:fill="FFFFFF"/>
        </w:rPr>
        <w:t>) is a national information source that records information on the characteristics of both private registered providers and local authority new social housing tenants and the homes they rent</w:t>
      </w:r>
    </w:p>
  </w:footnote>
  <w:footnote w:id="11">
    <w:p w14:paraId="3442FDDE" w14:textId="77777777" w:rsidR="003551DF" w:rsidRPr="00172F56" w:rsidRDefault="003551DF" w:rsidP="003551DF">
      <w:pPr>
        <w:rPr>
          <w:rFonts w:ascii="Arial" w:hAnsi="Arial" w:cs="Arial"/>
          <w:sz w:val="16"/>
          <w:szCs w:val="16"/>
        </w:rPr>
      </w:pPr>
      <w:r w:rsidRPr="00172F56">
        <w:rPr>
          <w:rStyle w:val="FootnoteReference"/>
          <w:rFonts w:ascii="Arial" w:hAnsi="Arial" w:cs="Arial"/>
          <w:sz w:val="20"/>
          <w:szCs w:val="20"/>
        </w:rPr>
        <w:footnoteRef/>
      </w:r>
      <w:r w:rsidRPr="00172F56">
        <w:rPr>
          <w:rFonts w:ascii="Arial" w:hAnsi="Arial" w:cs="Arial"/>
          <w:sz w:val="16"/>
          <w:szCs w:val="16"/>
        </w:rPr>
        <w:t xml:space="preserve"> </w:t>
      </w:r>
      <w:hyperlink r:id="rId1" w:history="1">
        <w:r w:rsidRPr="00172F56">
          <w:rPr>
            <w:rStyle w:val="Hyperlink"/>
            <w:rFonts w:ascii="Arial" w:eastAsiaTheme="majorEastAsia" w:hAnsi="Arial" w:cs="Arial"/>
            <w:sz w:val="16"/>
            <w:szCs w:val="16"/>
          </w:rPr>
          <w:t>https://thinkhouse.org.uk/site/assets/files/1614/2010_20nhpau_202.pdf</w:t>
        </w:r>
      </w:hyperlink>
    </w:p>
  </w:footnote>
  <w:footnote w:id="12">
    <w:p w14:paraId="09120252" w14:textId="77777777" w:rsidR="003551DF" w:rsidRPr="00172F56" w:rsidRDefault="003551DF" w:rsidP="00172F56">
      <w:pPr>
        <w:pStyle w:val="FootnoteText"/>
        <w:rPr>
          <w:sz w:val="16"/>
          <w:szCs w:val="16"/>
        </w:rPr>
      </w:pPr>
      <w:r w:rsidRPr="003551DF">
        <w:rPr>
          <w:rStyle w:val="FootnoteReference"/>
        </w:rPr>
        <w:footnoteRef/>
      </w:r>
      <w:r w:rsidRPr="00172F56">
        <w:rPr>
          <w:sz w:val="16"/>
          <w:szCs w:val="16"/>
        </w:rPr>
        <w:t xml:space="preserve"> </w:t>
      </w:r>
      <w:hyperlink r:id="rId2" w:anchor=":~:text=First%2Dtime%20buyers%20accounted%20for,39%20per%20cent%20in%202009" w:history="1">
        <w:r w:rsidRPr="00172F56">
          <w:rPr>
            <w:rStyle w:val="Hyperlink"/>
            <w:rFonts w:eastAsiaTheme="majorEastAsia"/>
            <w:sz w:val="16"/>
            <w:szCs w:val="16"/>
          </w:rPr>
          <w:t>https://www.mortgagesolutions.co.uk/news/2022/01/24/first-time-buyer-numbers-rose-to-nearly-410000-in-2021/#:~:text=First%2Dtime%20buyers%20accounted%20for,39%20per%20cent%20in%202009</w:t>
        </w:r>
      </w:hyperlink>
    </w:p>
  </w:footnote>
  <w:footnote w:id="13">
    <w:p w14:paraId="12EFC102" w14:textId="77777777" w:rsidR="003551DF" w:rsidRPr="00172F56" w:rsidRDefault="003551DF" w:rsidP="00172F56">
      <w:pPr>
        <w:pStyle w:val="FootnoteText"/>
        <w:rPr>
          <w:sz w:val="16"/>
          <w:szCs w:val="16"/>
        </w:rPr>
      </w:pPr>
      <w:r w:rsidRPr="003551DF">
        <w:rPr>
          <w:rStyle w:val="FootnoteReference"/>
        </w:rPr>
        <w:footnoteRef/>
      </w:r>
      <w:r w:rsidRPr="00172F56">
        <w:rPr>
          <w:sz w:val="16"/>
          <w:szCs w:val="16"/>
        </w:rPr>
        <w:t xml:space="preserve"> </w:t>
      </w:r>
      <w:hyperlink r:id="rId3" w:history="1">
        <w:r w:rsidRPr="00172F56">
          <w:rPr>
            <w:rStyle w:val="Hyperlink"/>
            <w:rFonts w:eastAsiaTheme="majorEastAsia"/>
            <w:sz w:val="16"/>
            <w:szCs w:val="16"/>
          </w:rPr>
          <w:t>https://www.ft.com/content/e0ad2830-094f-4e61-acaa-d77457e2edbb</w:t>
        </w:r>
      </w:hyperlink>
    </w:p>
  </w:footnote>
  <w:footnote w:id="14">
    <w:p w14:paraId="4DD15F31" w14:textId="117861CD" w:rsidR="00DD51B5" w:rsidRPr="00172F56" w:rsidRDefault="00DD51B5">
      <w:pPr>
        <w:pStyle w:val="FootnoteText"/>
        <w:rPr>
          <w:sz w:val="16"/>
          <w:szCs w:val="16"/>
          <w:lang w:val="en-GB"/>
        </w:rPr>
      </w:pPr>
      <w:r w:rsidRPr="00DD51B5">
        <w:rPr>
          <w:rStyle w:val="FootnoteReference"/>
        </w:rPr>
        <w:footnoteRef/>
      </w:r>
      <w:r w:rsidRPr="00172F56">
        <w:rPr>
          <w:sz w:val="16"/>
          <w:szCs w:val="16"/>
        </w:rPr>
        <w:t xml:space="preserve"> </w:t>
      </w:r>
      <w:r w:rsidRPr="00172F56">
        <w:rPr>
          <w:sz w:val="16"/>
          <w:szCs w:val="16"/>
          <w:lang w:val="en-GB"/>
        </w:rPr>
        <w:t xml:space="preserve">Figures have been standardised on the basis of the current stock of social and affordable rented housing (drawn from statistics from the Regulator of </w:t>
      </w:r>
      <w:r w:rsidR="00931AE7" w:rsidRPr="00931AE7">
        <w:rPr>
          <w:sz w:val="16"/>
          <w:szCs w:val="16"/>
          <w:lang w:val="en-GB"/>
        </w:rPr>
        <w:t>Social</w:t>
      </w:r>
      <w:r w:rsidRPr="00172F56">
        <w:rPr>
          <w:sz w:val="16"/>
          <w:szCs w:val="16"/>
          <w:lang w:val="en-GB"/>
        </w:rPr>
        <w:t xml:space="preserve"> Housing) – the figures used are: 1-bed = 16%; 2-bed = 46%, 3-bed = 34% and 4+-bed =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8AA6" w14:textId="48CBC186" w:rsidR="00CD034B" w:rsidRPr="00E21790" w:rsidRDefault="001241D9" w:rsidP="00B63C15">
    <w:pPr>
      <w:pStyle w:val="ReportHeaderRight"/>
      <w:jc w:val="left"/>
      <w:rPr>
        <w:rFonts w:ascii="Arial" w:hAnsi="Arial" w:cs="Arial"/>
        <w:i w:val="0"/>
        <w:sz w:val="16"/>
        <w:szCs w:val="16"/>
      </w:rPr>
    </w:pPr>
    <w:r>
      <w:rPr>
        <w:rFonts w:ascii="Arial" w:hAnsi="Arial" w:cs="Arial"/>
        <w:i w:val="0"/>
        <w:sz w:val="16"/>
        <w:szCs w:val="16"/>
      </w:rPr>
      <w:t>Fylde</w:t>
    </w:r>
    <w:r w:rsidR="00CD034B">
      <w:rPr>
        <w:rFonts w:ascii="Arial" w:hAnsi="Arial" w:cs="Arial"/>
        <w:i w:val="0"/>
        <w:sz w:val="16"/>
        <w:szCs w:val="16"/>
      </w:rPr>
      <w:t xml:space="preserve"> – Housing Needs </w:t>
    </w:r>
    <w:r>
      <w:rPr>
        <w:rFonts w:ascii="Arial" w:hAnsi="Arial" w:cs="Arial"/>
        <w:i w:val="0"/>
        <w:sz w:val="16"/>
        <w:szCs w:val="16"/>
      </w:rPr>
      <w:t>Survey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F128" w14:textId="691407B1" w:rsidR="00CD034B" w:rsidRPr="003D2556" w:rsidRDefault="00CD034B" w:rsidP="00D15206">
    <w:pPr>
      <w:pStyle w:val="ReportHeaderRight"/>
      <w:rPr>
        <w:rFonts w:ascii="Arial" w:hAnsi="Arial" w:cs="Arial"/>
        <w:i w:val="0"/>
        <w:sz w:val="16"/>
        <w:szCs w:val="16"/>
      </w:rPr>
    </w:pPr>
    <w:r w:rsidRPr="003D2556">
      <w:rPr>
        <w:rFonts w:ascii="Arial" w:hAnsi="Arial" w:cs="Arial"/>
        <w:i w:val="0"/>
        <w:sz w:val="16"/>
        <w:szCs w:val="16"/>
      </w:rPr>
      <w:fldChar w:fldCharType="begin"/>
    </w:r>
    <w:r w:rsidRPr="003D2556">
      <w:rPr>
        <w:rFonts w:ascii="Arial" w:hAnsi="Arial" w:cs="Arial"/>
        <w:i w:val="0"/>
        <w:sz w:val="16"/>
        <w:szCs w:val="16"/>
      </w:rPr>
      <w:instrText xml:space="preserve"> STYLEREF  "Report Heading 1"  \* MERGEFORMAT </w:instrText>
    </w:r>
    <w:r w:rsidR="00F6066A">
      <w:rPr>
        <w:rFonts w:ascii="Arial" w:hAnsi="Arial" w:cs="Arial"/>
        <w:i w:val="0"/>
        <w:sz w:val="16"/>
        <w:szCs w:val="16"/>
      </w:rPr>
      <w:fldChar w:fldCharType="separate"/>
    </w:r>
    <w:r w:rsidR="00F6066A">
      <w:rPr>
        <w:rFonts w:ascii="Arial" w:hAnsi="Arial" w:cs="Arial"/>
        <w:i w:val="0"/>
        <w:noProof/>
        <w:sz w:val="16"/>
        <w:szCs w:val="16"/>
      </w:rPr>
      <w:t>Contents</w:t>
    </w:r>
    <w:r w:rsidRPr="003D2556">
      <w:rPr>
        <w:rFonts w:ascii="Arial" w:hAnsi="Arial" w:cs="Arial"/>
        <w:i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1EE68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D8E912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A3D51"/>
    <w:multiLevelType w:val="hybridMultilevel"/>
    <w:tmpl w:val="1B74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005DA"/>
    <w:multiLevelType w:val="multilevel"/>
    <w:tmpl w:val="0A28E60C"/>
    <w:styleLink w:val="Style17"/>
    <w:lvl w:ilvl="0">
      <w:start w:val="5"/>
      <w:numFmt w:val="decimal"/>
      <w:lvlText w:val="%1"/>
      <w:lvlJc w:val="left"/>
      <w:pPr>
        <w:tabs>
          <w:tab w:val="num" w:pos="357"/>
        </w:tabs>
        <w:ind w:left="357" w:hanging="754"/>
      </w:pPr>
    </w:lvl>
    <w:lvl w:ilvl="1">
      <w:start w:val="5"/>
      <w:numFmt w:val="decimal"/>
      <w:lvlRestart w:val="0"/>
      <w:lvlText w:val="%1.%2"/>
      <w:lvlJc w:val="left"/>
      <w:pPr>
        <w:tabs>
          <w:tab w:val="num" w:pos="754"/>
        </w:tabs>
        <w:ind w:left="754" w:hanging="754"/>
      </w:pPr>
      <w:rPr>
        <w:b w:val="0"/>
      </w:rPr>
    </w:lvl>
    <w:lvl w:ilvl="2">
      <w:start w:val="1"/>
      <w:numFmt w:val="decimal"/>
      <w:lvlText w:val="%1.%2.%3"/>
      <w:lvlJc w:val="left"/>
      <w:pPr>
        <w:tabs>
          <w:tab w:val="num" w:pos="357"/>
        </w:tabs>
        <w:ind w:left="357" w:hanging="754"/>
      </w:pPr>
    </w:lvl>
    <w:lvl w:ilvl="3">
      <w:start w:val="1"/>
      <w:numFmt w:val="decimal"/>
      <w:lvlText w:val="%1.%2.%3.%4"/>
      <w:lvlJc w:val="left"/>
      <w:pPr>
        <w:tabs>
          <w:tab w:val="num" w:pos="286"/>
        </w:tabs>
        <w:ind w:left="286" w:hanging="1080"/>
      </w:pPr>
    </w:lvl>
    <w:lvl w:ilvl="4">
      <w:start w:val="1"/>
      <w:numFmt w:val="decimal"/>
      <w:lvlText w:val="%1.%2.%3.%4.%5"/>
      <w:lvlJc w:val="left"/>
      <w:pPr>
        <w:tabs>
          <w:tab w:val="num" w:pos="646"/>
        </w:tabs>
        <w:ind w:left="646" w:hanging="1440"/>
      </w:pPr>
    </w:lvl>
    <w:lvl w:ilvl="5">
      <w:start w:val="1"/>
      <w:numFmt w:val="decimal"/>
      <w:lvlText w:val="%1.%2.%3.%4.%5.%6"/>
      <w:lvlJc w:val="left"/>
      <w:pPr>
        <w:tabs>
          <w:tab w:val="num" w:pos="646"/>
        </w:tabs>
        <w:ind w:left="646" w:hanging="1440"/>
      </w:pPr>
    </w:lvl>
    <w:lvl w:ilvl="6">
      <w:start w:val="1"/>
      <w:numFmt w:val="decimal"/>
      <w:lvlText w:val="%1.%2.%3.%4.%5.%6.%7"/>
      <w:lvlJc w:val="left"/>
      <w:pPr>
        <w:tabs>
          <w:tab w:val="num" w:pos="1006"/>
        </w:tabs>
        <w:ind w:left="1006" w:hanging="1800"/>
      </w:pPr>
    </w:lvl>
    <w:lvl w:ilvl="7">
      <w:start w:val="1"/>
      <w:numFmt w:val="decimal"/>
      <w:lvlText w:val="%1.%2.%3.%4.%5.%6.%7.%8"/>
      <w:lvlJc w:val="left"/>
      <w:pPr>
        <w:tabs>
          <w:tab w:val="num" w:pos="1006"/>
        </w:tabs>
        <w:ind w:left="1006" w:hanging="1800"/>
      </w:pPr>
    </w:lvl>
    <w:lvl w:ilvl="8">
      <w:start w:val="1"/>
      <w:numFmt w:val="decimal"/>
      <w:lvlText w:val="%1.%2.%3.%4.%5.%6.%7.%8.%9"/>
      <w:lvlJc w:val="left"/>
      <w:pPr>
        <w:tabs>
          <w:tab w:val="num" w:pos="1366"/>
        </w:tabs>
        <w:ind w:left="1366" w:hanging="2160"/>
      </w:pPr>
    </w:lvl>
  </w:abstractNum>
  <w:abstractNum w:abstractNumId="4" w15:restartNumberingAfterBreak="0">
    <w:nsid w:val="02B7654E"/>
    <w:multiLevelType w:val="hybridMultilevel"/>
    <w:tmpl w:val="1734AF38"/>
    <w:lvl w:ilvl="0" w:tplc="CA88539E">
      <w:start w:val="1"/>
      <w:numFmt w:val="bullet"/>
      <w:pStyle w:val="bullet"/>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hint="default"/>
      </w:rPr>
    </w:lvl>
    <w:lvl w:ilvl="2" w:tplc="08090005">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 w15:restartNumberingAfterBreak="0">
    <w:nsid w:val="03156E26"/>
    <w:multiLevelType w:val="hybridMultilevel"/>
    <w:tmpl w:val="D53C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370C0E"/>
    <w:multiLevelType w:val="multilevel"/>
    <w:tmpl w:val="837C94F4"/>
    <w:lvl w:ilvl="0">
      <w:start w:val="1"/>
      <w:numFmt w:val="decimal"/>
      <w:pStyle w:val="03NumberedHeadings"/>
      <w:lvlText w:val="%1."/>
      <w:lvlJc w:val="left"/>
      <w:pPr>
        <w:tabs>
          <w:tab w:val="num" w:pos="1021"/>
        </w:tabs>
        <w:ind w:left="1021" w:hanging="1021"/>
      </w:pPr>
      <w:rPr>
        <w:rFonts w:ascii="Arial" w:hAnsi="Arial" w:cs="Times New Roman" w:hint="default"/>
        <w:b/>
        <w:bCs/>
        <w:i w:val="0"/>
        <w:iCs w:val="0"/>
        <w:color w:val="auto"/>
        <w:u w:val="none"/>
      </w:rPr>
    </w:lvl>
    <w:lvl w:ilvl="1">
      <w:start w:val="1"/>
      <w:numFmt w:val="decimal"/>
      <w:pStyle w:val="11Body"/>
      <w:lvlText w:val="%1.%2."/>
      <w:lvlJc w:val="left"/>
      <w:pPr>
        <w:tabs>
          <w:tab w:val="num" w:pos="1305"/>
        </w:tabs>
        <w:ind w:left="1305" w:hanging="1021"/>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11BodyList"/>
      <w:lvlText w:val="%1.%2.%3."/>
      <w:lvlJc w:val="left"/>
      <w:pPr>
        <w:tabs>
          <w:tab w:val="num" w:pos="1021"/>
        </w:tabs>
        <w:ind w:left="1021" w:hanging="1021"/>
      </w:pPr>
      <w:rPr>
        <w:rFonts w:ascii="Arial" w:hAnsi="Arial" w:cs="Times New Roman" w:hint="default"/>
        <w:b w:val="0"/>
        <w:bCs w:val="0"/>
        <w:i w:val="0"/>
        <w:iCs w:val="0"/>
        <w:color w:val="auto"/>
        <w:u w:val="none"/>
      </w:rPr>
    </w:lvl>
    <w:lvl w:ilvl="3">
      <w:start w:val="1"/>
      <w:numFmt w:val="decimal"/>
      <w:lvlText w:val="%1.%2.%3.%4."/>
      <w:lvlJc w:val="left"/>
      <w:pPr>
        <w:tabs>
          <w:tab w:val="num" w:pos="1021"/>
        </w:tabs>
        <w:ind w:left="1021" w:hanging="1021"/>
      </w:pPr>
      <w:rPr>
        <w:rFonts w:ascii="Arial" w:hAnsi="Arial" w:cs="Times New Roman" w:hint="default"/>
        <w:b w:val="0"/>
        <w:bCs w:val="0"/>
        <w:i w:val="0"/>
        <w:iCs w:val="0"/>
        <w:color w:val="auto"/>
        <w:u w:val="none"/>
      </w:rPr>
    </w:lvl>
    <w:lvl w:ilvl="4">
      <w:start w:val="1"/>
      <w:numFmt w:val="decimal"/>
      <w:lvlText w:val="%1.%2.%3.%4.%5."/>
      <w:lvlJc w:val="left"/>
      <w:pPr>
        <w:tabs>
          <w:tab w:val="num" w:pos="879"/>
        </w:tabs>
        <w:ind w:left="879" w:hanging="1021"/>
      </w:pPr>
      <w:rPr>
        <w:rFonts w:cs="Times New Roman" w:hint="default"/>
      </w:rPr>
    </w:lvl>
    <w:lvl w:ilvl="5">
      <w:start w:val="1"/>
      <w:numFmt w:val="decimal"/>
      <w:lvlText w:val="%1.%2.%3.%4.%5.%6."/>
      <w:lvlJc w:val="left"/>
      <w:pPr>
        <w:ind w:left="2452" w:hanging="936"/>
      </w:pPr>
      <w:rPr>
        <w:rFonts w:cs="Times New Roman" w:hint="default"/>
      </w:rPr>
    </w:lvl>
    <w:lvl w:ilvl="6">
      <w:start w:val="1"/>
      <w:numFmt w:val="decimal"/>
      <w:lvlText w:val="%1.%2.%3.%4.%5.%6.%7."/>
      <w:lvlJc w:val="left"/>
      <w:pPr>
        <w:ind w:left="2956" w:hanging="1080"/>
      </w:pPr>
      <w:rPr>
        <w:rFonts w:cs="Times New Roman" w:hint="default"/>
      </w:rPr>
    </w:lvl>
    <w:lvl w:ilvl="7">
      <w:start w:val="1"/>
      <w:numFmt w:val="decimal"/>
      <w:lvlText w:val="%1.%2.%3.%4.%5.%6.%7.%8."/>
      <w:lvlJc w:val="left"/>
      <w:pPr>
        <w:ind w:left="3460" w:hanging="1224"/>
      </w:pPr>
      <w:rPr>
        <w:rFonts w:cs="Times New Roman" w:hint="default"/>
      </w:rPr>
    </w:lvl>
    <w:lvl w:ilvl="8">
      <w:start w:val="1"/>
      <w:numFmt w:val="decimal"/>
      <w:lvlText w:val="%1.%2.%3.%4.%5.%6.%7.%8.%9."/>
      <w:lvlJc w:val="left"/>
      <w:pPr>
        <w:ind w:left="4036" w:hanging="1440"/>
      </w:pPr>
      <w:rPr>
        <w:rFonts w:cs="Times New Roman" w:hint="default"/>
      </w:rPr>
    </w:lvl>
  </w:abstractNum>
  <w:abstractNum w:abstractNumId="7" w15:restartNumberingAfterBreak="0">
    <w:nsid w:val="08B5371D"/>
    <w:multiLevelType w:val="multilevel"/>
    <w:tmpl w:val="FB1647F6"/>
    <w:lvl w:ilvl="0">
      <w:start w:val="1"/>
      <w:numFmt w:val="decimal"/>
      <w:pStyle w:val="1Bodytext"/>
      <w:lvlText w:val="%1"/>
      <w:lvlJc w:val="left"/>
      <w:pPr>
        <w:tabs>
          <w:tab w:val="num" w:pos="794"/>
        </w:tabs>
        <w:ind w:left="794" w:hanging="794"/>
      </w:pPr>
      <w:rPr>
        <w:rFonts w:ascii="Arial" w:hAnsi="Arial" w:cs="Times New Roman" w:hint="default"/>
        <w:b/>
        <w:bCs/>
        <w:i w:val="0"/>
        <w:iCs w:val="0"/>
        <w:color w:val="auto"/>
        <w:sz w:val="20"/>
        <w:szCs w:val="20"/>
        <w:u w:val="none"/>
      </w:rPr>
    </w:lvl>
    <w:lvl w:ilvl="1">
      <w:start w:val="1"/>
      <w:numFmt w:val="decimal"/>
      <w:pStyle w:val="11Bodytext"/>
      <w:lvlText w:val="7.%2"/>
      <w:lvlJc w:val="left"/>
      <w:pPr>
        <w:ind w:left="794" w:hanging="794"/>
      </w:pPr>
      <w:rPr>
        <w:rFonts w:hint="default"/>
        <w:b w:val="0"/>
        <w:bCs w:val="0"/>
        <w:i w:val="0"/>
        <w:iCs w:val="0"/>
        <w:color w:val="000000"/>
        <w:sz w:val="20"/>
        <w:szCs w:val="20"/>
        <w:u w:val="none"/>
      </w:rPr>
    </w:lvl>
    <w:lvl w:ilvl="2">
      <w:start w:val="1"/>
      <w:numFmt w:val="decimal"/>
      <w:lvlRestart w:val="0"/>
      <w:lvlText w:val="%1.%2"/>
      <w:lvlJc w:val="left"/>
      <w:pPr>
        <w:tabs>
          <w:tab w:val="num" w:pos="794"/>
        </w:tabs>
        <w:ind w:left="794" w:hanging="794"/>
      </w:pPr>
      <w:rPr>
        <w:rFonts w:ascii="Arial" w:hAnsi="Arial" w:cs="Times New Roman" w:hint="default"/>
        <w:b w:val="0"/>
        <w:bCs w:val="0"/>
        <w:i w:val="0"/>
        <w:iCs w:val="0"/>
        <w:color w:val="auto"/>
        <w:sz w:val="20"/>
        <w:szCs w:val="20"/>
        <w:u w:val="none"/>
      </w:rPr>
    </w:lvl>
    <w:lvl w:ilvl="3">
      <w:start w:val="1"/>
      <w:numFmt w:val="decimal"/>
      <w:pStyle w:val="111Bodytext"/>
      <w:lvlText w:val="%1.%2.%4"/>
      <w:lvlJc w:val="left"/>
      <w:pPr>
        <w:ind w:left="1870" w:hanging="1728"/>
      </w:pPr>
      <w:rPr>
        <w:rFonts w:ascii="Arial" w:hAnsi="Arial" w:cs="Times New Roman" w:hint="default"/>
        <w:b w:val="0"/>
        <w:bCs w:val="0"/>
        <w:i w:val="0"/>
        <w:iCs w:val="0"/>
        <w:color w:val="auto"/>
        <w:sz w:val="20"/>
        <w:szCs w:val="20"/>
        <w:u w:val="none"/>
      </w:rPr>
    </w:lvl>
    <w:lvl w:ilvl="4">
      <w:start w:val="1"/>
      <w:numFmt w:val="decimal"/>
      <w:lvlText w:val="%1.%2.3"/>
      <w:lvlJc w:val="left"/>
      <w:pPr>
        <w:tabs>
          <w:tab w:val="num" w:pos="794"/>
        </w:tabs>
        <w:ind w:left="794" w:hanging="794"/>
      </w:pPr>
      <w:rPr>
        <w:rFonts w:ascii="Arial" w:hAnsi="Arial" w:cs="Times New Roman" w:hint="default"/>
        <w:b w:val="0"/>
        <w:bCs w:val="0"/>
        <w:i w:val="0"/>
        <w:iCs w:val="0"/>
        <w:sz w:val="20"/>
        <w:szCs w:val="2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099009D5"/>
    <w:multiLevelType w:val="multilevel"/>
    <w:tmpl w:val="DA20B950"/>
    <w:styleLink w:val="Reportbulletlist"/>
    <w:lvl w:ilvl="0">
      <w:start w:val="1"/>
      <w:numFmt w:val="bullet"/>
      <w:lvlText w:val=""/>
      <w:lvlJc w:val="left"/>
      <w:pPr>
        <w:tabs>
          <w:tab w:val="num" w:pos="720"/>
        </w:tabs>
        <w:ind w:left="720" w:hanging="360"/>
      </w:pPr>
      <w:rPr>
        <w:rFonts w:ascii="Symbol" w:hAnsi="Symbol"/>
        <w:kern w:val="20"/>
        <w:sz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784C50"/>
    <w:multiLevelType w:val="hybridMultilevel"/>
    <w:tmpl w:val="A2CE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30D74"/>
    <w:multiLevelType w:val="multilevel"/>
    <w:tmpl w:val="6C881826"/>
    <w:styleLink w:val="Style13"/>
    <w:lvl w:ilvl="0">
      <w:start w:val="1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19711E6"/>
    <w:multiLevelType w:val="hybridMultilevel"/>
    <w:tmpl w:val="A0E6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245D5B"/>
    <w:multiLevelType w:val="hybridMultilevel"/>
    <w:tmpl w:val="28326A0A"/>
    <w:lvl w:ilvl="0" w:tplc="AE742EC8">
      <w:start w:val="1"/>
      <w:numFmt w:val="bullet"/>
      <w:pStyle w:val="Reportlist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804FA"/>
    <w:multiLevelType w:val="hybridMultilevel"/>
    <w:tmpl w:val="0BCE2B90"/>
    <w:lvl w:ilvl="0" w:tplc="D9B6DD6C">
      <w:start w:val="1"/>
      <w:numFmt w:val="decimal"/>
      <w:pStyle w:val="21"/>
      <w:lvlText w:val="2.%1"/>
      <w:lvlJc w:val="left"/>
      <w:pPr>
        <w:ind w:left="567" w:hanging="567"/>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27415"/>
    <w:multiLevelType w:val="hybridMultilevel"/>
    <w:tmpl w:val="4B8C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B18BB"/>
    <w:multiLevelType w:val="multilevel"/>
    <w:tmpl w:val="4EC8DAC6"/>
    <w:styleLink w:val="Style4"/>
    <w:lvl w:ilvl="0">
      <w:start w:val="7"/>
      <w:numFmt w:val="decimal"/>
      <w:lvlText w:val="%1"/>
      <w:lvlJc w:val="left"/>
      <w:pPr>
        <w:tabs>
          <w:tab w:val="num" w:pos="357"/>
        </w:tabs>
        <w:ind w:left="357" w:hanging="754"/>
      </w:pPr>
    </w:lvl>
    <w:lvl w:ilvl="1">
      <w:start w:val="4"/>
      <w:numFmt w:val="decimal"/>
      <w:lvlRestart w:val="0"/>
      <w:lvlText w:val="%1.%2"/>
      <w:lvlJc w:val="left"/>
      <w:pPr>
        <w:tabs>
          <w:tab w:val="num" w:pos="754"/>
        </w:tabs>
        <w:ind w:left="754" w:hanging="754"/>
      </w:pPr>
      <w:rPr>
        <w:b w:val="0"/>
      </w:rPr>
    </w:lvl>
    <w:lvl w:ilvl="2">
      <w:start w:val="1"/>
      <w:numFmt w:val="decimal"/>
      <w:lvlText w:val="%1.%2.%3"/>
      <w:lvlJc w:val="left"/>
      <w:pPr>
        <w:tabs>
          <w:tab w:val="num" w:pos="357"/>
        </w:tabs>
        <w:ind w:left="357" w:hanging="754"/>
      </w:pPr>
    </w:lvl>
    <w:lvl w:ilvl="3">
      <w:start w:val="1"/>
      <w:numFmt w:val="decimal"/>
      <w:lvlText w:val="%1.%2.%3.%4"/>
      <w:lvlJc w:val="left"/>
      <w:pPr>
        <w:tabs>
          <w:tab w:val="num" w:pos="286"/>
        </w:tabs>
        <w:ind w:left="286" w:hanging="1080"/>
      </w:pPr>
    </w:lvl>
    <w:lvl w:ilvl="4">
      <w:start w:val="1"/>
      <w:numFmt w:val="decimal"/>
      <w:lvlText w:val="%1.%2.%3.%4.%5"/>
      <w:lvlJc w:val="left"/>
      <w:pPr>
        <w:tabs>
          <w:tab w:val="num" w:pos="646"/>
        </w:tabs>
        <w:ind w:left="646" w:hanging="1440"/>
      </w:pPr>
    </w:lvl>
    <w:lvl w:ilvl="5">
      <w:start w:val="1"/>
      <w:numFmt w:val="decimal"/>
      <w:lvlText w:val="%1.%2.%3.%4.%5.%6"/>
      <w:lvlJc w:val="left"/>
      <w:pPr>
        <w:tabs>
          <w:tab w:val="num" w:pos="646"/>
        </w:tabs>
        <w:ind w:left="646" w:hanging="1440"/>
      </w:pPr>
    </w:lvl>
    <w:lvl w:ilvl="6">
      <w:start w:val="1"/>
      <w:numFmt w:val="decimal"/>
      <w:lvlText w:val="%1.%2.%3.%4.%5.%6.%7"/>
      <w:lvlJc w:val="left"/>
      <w:pPr>
        <w:tabs>
          <w:tab w:val="num" w:pos="1006"/>
        </w:tabs>
        <w:ind w:left="1006" w:hanging="1800"/>
      </w:pPr>
    </w:lvl>
    <w:lvl w:ilvl="7">
      <w:start w:val="1"/>
      <w:numFmt w:val="decimal"/>
      <w:lvlText w:val="%1.%2.%3.%4.%5.%6.%7.%8"/>
      <w:lvlJc w:val="left"/>
      <w:pPr>
        <w:tabs>
          <w:tab w:val="num" w:pos="1006"/>
        </w:tabs>
        <w:ind w:left="1006" w:hanging="1800"/>
      </w:pPr>
    </w:lvl>
    <w:lvl w:ilvl="8">
      <w:start w:val="1"/>
      <w:numFmt w:val="decimal"/>
      <w:lvlText w:val="%1.%2.%3.%4.%5.%6.%7.%8.%9"/>
      <w:lvlJc w:val="left"/>
      <w:pPr>
        <w:tabs>
          <w:tab w:val="num" w:pos="1366"/>
        </w:tabs>
        <w:ind w:left="1366" w:hanging="2160"/>
      </w:pPr>
    </w:lvl>
  </w:abstractNum>
  <w:abstractNum w:abstractNumId="16" w15:restartNumberingAfterBreak="0">
    <w:nsid w:val="18DE40C2"/>
    <w:multiLevelType w:val="hybridMultilevel"/>
    <w:tmpl w:val="249CB600"/>
    <w:lvl w:ilvl="0" w:tplc="5CD28032">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76691F"/>
    <w:multiLevelType w:val="hybridMultilevel"/>
    <w:tmpl w:val="5130ED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C44AB0"/>
    <w:multiLevelType w:val="multilevel"/>
    <w:tmpl w:val="14AA1E12"/>
    <w:lvl w:ilvl="0">
      <w:start w:val="1"/>
      <w:numFmt w:val="bullet"/>
      <w:pStyle w:val="Bulletblueplain"/>
      <w:lvlText w:val=""/>
      <w:lvlJc w:val="left"/>
      <w:pPr>
        <w:tabs>
          <w:tab w:val="num" w:pos="1078"/>
        </w:tabs>
        <w:ind w:left="1077" w:hanging="283"/>
      </w:pPr>
      <w:rPr>
        <w:rFonts w:ascii="Symbol" w:hAnsi="Symbol" w:hint="default"/>
        <w:b w:val="0"/>
        <w:bCs w:val="0"/>
        <w:i w:val="0"/>
        <w:iCs w:val="0"/>
        <w:color w:val="0093D5"/>
        <w:sz w:val="20"/>
        <w:szCs w:val="20"/>
      </w:rPr>
    </w:lvl>
    <w:lvl w:ilvl="1">
      <w:start w:val="1"/>
      <w:numFmt w:val="bullet"/>
      <w:lvlText w:val="o"/>
      <w:lvlJc w:val="left"/>
      <w:pPr>
        <w:tabs>
          <w:tab w:val="num" w:pos="1362"/>
        </w:tabs>
        <w:ind w:left="1418" w:hanging="340"/>
      </w:pPr>
      <w:rPr>
        <w:rFonts w:ascii="Courier New" w:hAnsi="Courier New" w:hint="default"/>
      </w:rPr>
    </w:lvl>
    <w:lvl w:ilvl="2">
      <w:start w:val="1"/>
      <w:numFmt w:val="bullet"/>
      <w:lvlText w:val=""/>
      <w:lvlJc w:val="left"/>
      <w:pPr>
        <w:tabs>
          <w:tab w:val="num" w:pos="1646"/>
        </w:tabs>
        <w:ind w:left="1702" w:hanging="340"/>
      </w:pPr>
      <w:rPr>
        <w:rFonts w:ascii="Wingdings" w:hAnsi="Wingdings" w:hint="default"/>
      </w:rPr>
    </w:lvl>
    <w:lvl w:ilvl="3">
      <w:start w:val="1"/>
      <w:numFmt w:val="bullet"/>
      <w:lvlText w:val=""/>
      <w:lvlJc w:val="left"/>
      <w:pPr>
        <w:tabs>
          <w:tab w:val="num" w:pos="1930"/>
        </w:tabs>
        <w:ind w:left="1986" w:hanging="340"/>
      </w:pPr>
      <w:rPr>
        <w:rFonts w:ascii="Symbol" w:hAnsi="Symbol" w:hint="default"/>
      </w:rPr>
    </w:lvl>
    <w:lvl w:ilvl="4">
      <w:start w:val="1"/>
      <w:numFmt w:val="bullet"/>
      <w:lvlText w:val="o"/>
      <w:lvlJc w:val="left"/>
      <w:pPr>
        <w:tabs>
          <w:tab w:val="num" w:pos="2214"/>
        </w:tabs>
        <w:ind w:left="2270" w:hanging="340"/>
      </w:pPr>
      <w:rPr>
        <w:rFonts w:ascii="Courier New" w:hAnsi="Courier New" w:hint="default"/>
      </w:rPr>
    </w:lvl>
    <w:lvl w:ilvl="5">
      <w:start w:val="1"/>
      <w:numFmt w:val="bullet"/>
      <w:lvlText w:val=""/>
      <w:lvlJc w:val="left"/>
      <w:pPr>
        <w:tabs>
          <w:tab w:val="num" w:pos="2498"/>
        </w:tabs>
        <w:ind w:left="2554" w:hanging="340"/>
      </w:pPr>
      <w:rPr>
        <w:rFonts w:ascii="Wingdings" w:hAnsi="Wingdings" w:hint="default"/>
      </w:rPr>
    </w:lvl>
    <w:lvl w:ilvl="6">
      <w:start w:val="1"/>
      <w:numFmt w:val="bullet"/>
      <w:lvlText w:val=""/>
      <w:lvlJc w:val="left"/>
      <w:pPr>
        <w:tabs>
          <w:tab w:val="num" w:pos="2782"/>
        </w:tabs>
        <w:ind w:left="2838" w:hanging="340"/>
      </w:pPr>
      <w:rPr>
        <w:rFonts w:ascii="Symbol" w:hAnsi="Symbol" w:hint="default"/>
      </w:rPr>
    </w:lvl>
    <w:lvl w:ilvl="7">
      <w:start w:val="1"/>
      <w:numFmt w:val="bullet"/>
      <w:lvlText w:val="o"/>
      <w:lvlJc w:val="left"/>
      <w:pPr>
        <w:tabs>
          <w:tab w:val="num" w:pos="3066"/>
        </w:tabs>
        <w:ind w:left="3122" w:hanging="340"/>
      </w:pPr>
      <w:rPr>
        <w:rFonts w:ascii="Courier New" w:hAnsi="Courier New" w:hint="default"/>
      </w:rPr>
    </w:lvl>
    <w:lvl w:ilvl="8">
      <w:start w:val="1"/>
      <w:numFmt w:val="bullet"/>
      <w:lvlText w:val=""/>
      <w:lvlJc w:val="left"/>
      <w:pPr>
        <w:tabs>
          <w:tab w:val="num" w:pos="3350"/>
        </w:tabs>
        <w:ind w:left="3406" w:hanging="340"/>
      </w:pPr>
      <w:rPr>
        <w:rFonts w:ascii="Wingdings" w:hAnsi="Wingdings" w:hint="default"/>
      </w:rPr>
    </w:lvl>
  </w:abstractNum>
  <w:abstractNum w:abstractNumId="19" w15:restartNumberingAfterBreak="0">
    <w:nsid w:val="1CDA0D4E"/>
    <w:multiLevelType w:val="multilevel"/>
    <w:tmpl w:val="7BE2FE2A"/>
    <w:lvl w:ilvl="0">
      <w:start w:val="1"/>
      <w:numFmt w:val="decimal"/>
      <w:suff w:val="space"/>
      <w:lvlText w:val="Section %1:"/>
      <w:lvlJc w:val="left"/>
      <w:pPr>
        <w:ind w:left="567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Chapt"/>
      <w:lvlText w:val="%1.%2"/>
      <w:lvlJc w:val="left"/>
      <w:pPr>
        <w:tabs>
          <w:tab w:val="num" w:pos="199"/>
        </w:tabs>
        <w:ind w:left="505" w:hanging="363"/>
      </w:pPr>
      <w:rPr>
        <w:rFonts w:ascii="Calibri" w:hAnsi="Calibri"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vertAlign w:val="superscript"/>
        <w:em w:val="none"/>
      </w:rPr>
    </w:lvl>
    <w:lvl w:ilvl="2">
      <w:start w:val="1"/>
      <w:numFmt w:val="decimal"/>
      <w:lvlText w:val="%1.%2.%3"/>
      <w:lvlJc w:val="left"/>
      <w:pPr>
        <w:tabs>
          <w:tab w:val="num" w:pos="360"/>
        </w:tabs>
        <w:ind w:left="284" w:firstLine="0"/>
      </w:pPr>
      <w:rPr>
        <w:rFonts w:hint="default"/>
      </w:rPr>
    </w:lvl>
    <w:lvl w:ilvl="3">
      <w:start w:val="1"/>
      <w:numFmt w:val="decimal"/>
      <w:lvlText w:val="%1.%2.%3.%4."/>
      <w:lvlJc w:val="left"/>
      <w:pPr>
        <w:tabs>
          <w:tab w:val="num" w:pos="360"/>
        </w:tabs>
        <w:ind w:left="284" w:firstLine="0"/>
      </w:pPr>
      <w:rPr>
        <w:rFonts w:hint="default"/>
      </w:rPr>
    </w:lvl>
    <w:lvl w:ilvl="4">
      <w:start w:val="1"/>
      <w:numFmt w:val="decimal"/>
      <w:lvlText w:val="%1.%2.%3.%4.%5."/>
      <w:lvlJc w:val="left"/>
      <w:pPr>
        <w:tabs>
          <w:tab w:val="num" w:pos="360"/>
        </w:tabs>
        <w:ind w:left="284" w:firstLine="0"/>
      </w:pPr>
      <w:rPr>
        <w:rFonts w:hint="default"/>
      </w:rPr>
    </w:lvl>
    <w:lvl w:ilvl="5">
      <w:start w:val="1"/>
      <w:numFmt w:val="decimal"/>
      <w:lvlText w:val="%1.%2.%3.%4.%5.%6."/>
      <w:lvlJc w:val="left"/>
      <w:pPr>
        <w:tabs>
          <w:tab w:val="num" w:pos="360"/>
        </w:tabs>
        <w:ind w:left="284" w:firstLine="0"/>
      </w:pPr>
      <w:rPr>
        <w:rFonts w:hint="default"/>
      </w:rPr>
    </w:lvl>
    <w:lvl w:ilvl="6">
      <w:start w:val="1"/>
      <w:numFmt w:val="decimal"/>
      <w:lvlText w:val="%1.%2.%3.%4.%5.%6.%7."/>
      <w:lvlJc w:val="left"/>
      <w:pPr>
        <w:tabs>
          <w:tab w:val="num" w:pos="360"/>
        </w:tabs>
        <w:ind w:left="284" w:firstLine="0"/>
      </w:pPr>
      <w:rPr>
        <w:rFonts w:hint="default"/>
      </w:rPr>
    </w:lvl>
    <w:lvl w:ilvl="7">
      <w:start w:val="1"/>
      <w:numFmt w:val="decimal"/>
      <w:lvlText w:val="%1.%2.%3.%4.%5.%6.%7.%8."/>
      <w:lvlJc w:val="left"/>
      <w:pPr>
        <w:tabs>
          <w:tab w:val="num" w:pos="360"/>
        </w:tabs>
        <w:ind w:left="284" w:firstLine="0"/>
      </w:pPr>
      <w:rPr>
        <w:rFonts w:hint="default"/>
      </w:rPr>
    </w:lvl>
    <w:lvl w:ilvl="8">
      <w:start w:val="1"/>
      <w:numFmt w:val="decimal"/>
      <w:lvlText w:val="%1.%2.%3.%4.%5.%6.%7.%8.%9."/>
      <w:lvlJc w:val="left"/>
      <w:pPr>
        <w:tabs>
          <w:tab w:val="num" w:pos="360"/>
        </w:tabs>
        <w:ind w:left="284" w:firstLine="0"/>
      </w:pPr>
      <w:rPr>
        <w:rFonts w:hint="default"/>
      </w:rPr>
    </w:lvl>
  </w:abstractNum>
  <w:abstractNum w:abstractNumId="20" w15:restartNumberingAfterBreak="0">
    <w:nsid w:val="1CFC250A"/>
    <w:multiLevelType w:val="hybridMultilevel"/>
    <w:tmpl w:val="37E6EB4C"/>
    <w:lvl w:ilvl="0" w:tplc="6534D8F2">
      <w:start w:val="1"/>
      <w:numFmt w:val="bullet"/>
      <w:lvlText w:val=""/>
      <w:lvlJc w:val="left"/>
      <w:pPr>
        <w:tabs>
          <w:tab w:val="num" w:pos="720"/>
        </w:tabs>
        <w:ind w:left="720" w:hanging="360"/>
      </w:pPr>
      <w:rPr>
        <w:rFonts w:ascii="Symbol" w:hAnsi="Symbol" w:hint="default"/>
        <w:color w:val="auto"/>
      </w:rPr>
    </w:lvl>
    <w:lvl w:ilvl="1" w:tplc="08090003">
      <w:start w:val="1"/>
      <w:numFmt w:val="bullet"/>
      <w:pStyle w:val="ReportTex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45077"/>
    <w:multiLevelType w:val="multilevel"/>
    <w:tmpl w:val="01240B82"/>
    <w:styleLink w:val="Style5"/>
    <w:lvl w:ilvl="0">
      <w:start w:val="9"/>
      <w:numFmt w:val="decimal"/>
      <w:lvlText w:val="%1"/>
      <w:lvlJc w:val="left"/>
      <w:pPr>
        <w:tabs>
          <w:tab w:val="num" w:pos="357"/>
        </w:tabs>
        <w:ind w:left="357" w:hanging="754"/>
      </w:pPr>
    </w:lvl>
    <w:lvl w:ilvl="1">
      <w:start w:val="1"/>
      <w:numFmt w:val="decimal"/>
      <w:lvlRestart w:val="0"/>
      <w:lvlText w:val="%1.%2"/>
      <w:lvlJc w:val="left"/>
      <w:pPr>
        <w:tabs>
          <w:tab w:val="num" w:pos="754"/>
        </w:tabs>
        <w:ind w:left="754" w:hanging="754"/>
      </w:pPr>
      <w:rPr>
        <w:b w:val="0"/>
      </w:rPr>
    </w:lvl>
    <w:lvl w:ilvl="2">
      <w:start w:val="1"/>
      <w:numFmt w:val="decimal"/>
      <w:lvlText w:val="%1.%2.%3"/>
      <w:lvlJc w:val="left"/>
      <w:pPr>
        <w:tabs>
          <w:tab w:val="num" w:pos="357"/>
        </w:tabs>
        <w:ind w:left="357" w:hanging="754"/>
      </w:pPr>
    </w:lvl>
    <w:lvl w:ilvl="3">
      <w:start w:val="1"/>
      <w:numFmt w:val="decimal"/>
      <w:lvlText w:val="%1.%2.%3.%4"/>
      <w:lvlJc w:val="left"/>
      <w:pPr>
        <w:tabs>
          <w:tab w:val="num" w:pos="286"/>
        </w:tabs>
        <w:ind w:left="286" w:hanging="1080"/>
      </w:pPr>
    </w:lvl>
    <w:lvl w:ilvl="4">
      <w:start w:val="1"/>
      <w:numFmt w:val="decimal"/>
      <w:lvlText w:val="%1.%2.%3.%4.%5"/>
      <w:lvlJc w:val="left"/>
      <w:pPr>
        <w:tabs>
          <w:tab w:val="num" w:pos="646"/>
        </w:tabs>
        <w:ind w:left="646" w:hanging="1440"/>
      </w:pPr>
    </w:lvl>
    <w:lvl w:ilvl="5">
      <w:start w:val="1"/>
      <w:numFmt w:val="decimal"/>
      <w:lvlText w:val="%1.%2.%3.%4.%5.%6"/>
      <w:lvlJc w:val="left"/>
      <w:pPr>
        <w:tabs>
          <w:tab w:val="num" w:pos="646"/>
        </w:tabs>
        <w:ind w:left="646" w:hanging="1440"/>
      </w:pPr>
    </w:lvl>
    <w:lvl w:ilvl="6">
      <w:start w:val="1"/>
      <w:numFmt w:val="decimal"/>
      <w:lvlText w:val="%1.%2.%3.%4.%5.%6.%7"/>
      <w:lvlJc w:val="left"/>
      <w:pPr>
        <w:tabs>
          <w:tab w:val="num" w:pos="1006"/>
        </w:tabs>
        <w:ind w:left="1006" w:hanging="1800"/>
      </w:pPr>
    </w:lvl>
    <w:lvl w:ilvl="7">
      <w:start w:val="1"/>
      <w:numFmt w:val="decimal"/>
      <w:lvlText w:val="%1.%2.%3.%4.%5.%6.%7.%8"/>
      <w:lvlJc w:val="left"/>
      <w:pPr>
        <w:tabs>
          <w:tab w:val="num" w:pos="1006"/>
        </w:tabs>
        <w:ind w:left="1006" w:hanging="1800"/>
      </w:pPr>
    </w:lvl>
    <w:lvl w:ilvl="8">
      <w:start w:val="1"/>
      <w:numFmt w:val="decimal"/>
      <w:lvlText w:val="%1.%2.%3.%4.%5.%6.%7.%8.%9"/>
      <w:lvlJc w:val="left"/>
      <w:pPr>
        <w:tabs>
          <w:tab w:val="num" w:pos="1366"/>
        </w:tabs>
        <w:ind w:left="1366" w:hanging="2160"/>
      </w:pPr>
    </w:lvl>
  </w:abstractNum>
  <w:abstractNum w:abstractNumId="22" w15:restartNumberingAfterBreak="0">
    <w:nsid w:val="1F0E0320"/>
    <w:multiLevelType w:val="hybridMultilevel"/>
    <w:tmpl w:val="42DA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AA653B"/>
    <w:multiLevelType w:val="hybridMultilevel"/>
    <w:tmpl w:val="B6B4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6E420E"/>
    <w:multiLevelType w:val="multilevel"/>
    <w:tmpl w:val="65EA1E42"/>
    <w:styleLink w:val="Style16"/>
    <w:lvl w:ilvl="0">
      <w:start w:val="5"/>
      <w:numFmt w:val="decimal"/>
      <w:lvlText w:val="%1"/>
      <w:lvlJc w:val="left"/>
      <w:pPr>
        <w:tabs>
          <w:tab w:val="num" w:pos="357"/>
        </w:tabs>
        <w:ind w:left="357" w:hanging="754"/>
      </w:pPr>
    </w:lvl>
    <w:lvl w:ilvl="1">
      <w:start w:val="1"/>
      <w:numFmt w:val="decimal"/>
      <w:lvlRestart w:val="0"/>
      <w:lvlText w:val="%1.%2"/>
      <w:lvlJc w:val="left"/>
      <w:pPr>
        <w:tabs>
          <w:tab w:val="num" w:pos="754"/>
        </w:tabs>
        <w:ind w:left="754" w:hanging="754"/>
      </w:pPr>
      <w:rPr>
        <w:b w:val="0"/>
      </w:rPr>
    </w:lvl>
    <w:lvl w:ilvl="2">
      <w:start w:val="1"/>
      <w:numFmt w:val="decimal"/>
      <w:lvlText w:val="%1.%2.%3"/>
      <w:lvlJc w:val="left"/>
      <w:pPr>
        <w:tabs>
          <w:tab w:val="num" w:pos="357"/>
        </w:tabs>
        <w:ind w:left="357" w:hanging="754"/>
      </w:pPr>
    </w:lvl>
    <w:lvl w:ilvl="3">
      <w:start w:val="1"/>
      <w:numFmt w:val="decimal"/>
      <w:lvlText w:val="%1.%2.%3.%4"/>
      <w:lvlJc w:val="left"/>
      <w:pPr>
        <w:tabs>
          <w:tab w:val="num" w:pos="286"/>
        </w:tabs>
        <w:ind w:left="286" w:hanging="1080"/>
      </w:pPr>
    </w:lvl>
    <w:lvl w:ilvl="4">
      <w:start w:val="1"/>
      <w:numFmt w:val="decimal"/>
      <w:lvlText w:val="%1.%2.%3.%4.%5"/>
      <w:lvlJc w:val="left"/>
      <w:pPr>
        <w:tabs>
          <w:tab w:val="num" w:pos="646"/>
        </w:tabs>
        <w:ind w:left="646" w:hanging="1440"/>
      </w:pPr>
    </w:lvl>
    <w:lvl w:ilvl="5">
      <w:start w:val="1"/>
      <w:numFmt w:val="decimal"/>
      <w:lvlText w:val="%1.%2.%3.%4.%5.%6"/>
      <w:lvlJc w:val="left"/>
      <w:pPr>
        <w:tabs>
          <w:tab w:val="num" w:pos="646"/>
        </w:tabs>
        <w:ind w:left="646" w:hanging="1440"/>
      </w:pPr>
    </w:lvl>
    <w:lvl w:ilvl="6">
      <w:start w:val="1"/>
      <w:numFmt w:val="decimal"/>
      <w:lvlText w:val="%1.%2.%3.%4.%5.%6.%7"/>
      <w:lvlJc w:val="left"/>
      <w:pPr>
        <w:tabs>
          <w:tab w:val="num" w:pos="1006"/>
        </w:tabs>
        <w:ind w:left="1006" w:hanging="1800"/>
      </w:pPr>
    </w:lvl>
    <w:lvl w:ilvl="7">
      <w:start w:val="1"/>
      <w:numFmt w:val="decimal"/>
      <w:lvlText w:val="%1.%2.%3.%4.%5.%6.%7.%8"/>
      <w:lvlJc w:val="left"/>
      <w:pPr>
        <w:tabs>
          <w:tab w:val="num" w:pos="1006"/>
        </w:tabs>
        <w:ind w:left="1006" w:hanging="1800"/>
      </w:pPr>
    </w:lvl>
    <w:lvl w:ilvl="8">
      <w:start w:val="1"/>
      <w:numFmt w:val="decimal"/>
      <w:lvlText w:val="%1.%2.%3.%4.%5.%6.%7.%8.%9"/>
      <w:lvlJc w:val="left"/>
      <w:pPr>
        <w:tabs>
          <w:tab w:val="num" w:pos="1366"/>
        </w:tabs>
        <w:ind w:left="1366" w:hanging="2160"/>
      </w:pPr>
    </w:lvl>
  </w:abstractNum>
  <w:abstractNum w:abstractNumId="25" w15:restartNumberingAfterBreak="0">
    <w:nsid w:val="21C94DA6"/>
    <w:multiLevelType w:val="multilevel"/>
    <w:tmpl w:val="3F004C6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255E52CD"/>
    <w:multiLevelType w:val="hybridMultilevel"/>
    <w:tmpl w:val="7E20E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105A48"/>
    <w:multiLevelType w:val="hybridMultilevel"/>
    <w:tmpl w:val="E8222818"/>
    <w:lvl w:ilvl="0" w:tplc="04090001">
      <w:start w:val="1"/>
      <w:numFmt w:val="decimal"/>
      <w:pStyle w:val="StyleReportHeading1Left"/>
      <w:lvlText w:val="%1."/>
      <w:lvlJc w:val="left"/>
      <w:pPr>
        <w:tabs>
          <w:tab w:val="num" w:pos="-170"/>
        </w:tabs>
        <w:ind w:left="57" w:hanging="39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271C1833"/>
    <w:multiLevelType w:val="multilevel"/>
    <w:tmpl w:val="50565C30"/>
    <w:lvl w:ilvl="0">
      <w:start w:val="1"/>
      <w:numFmt w:val="lowerLetter"/>
      <w:pStyle w:val="Listinga-i"/>
      <w:lvlText w:val="%1."/>
      <w:lvlJc w:val="left"/>
      <w:pPr>
        <w:ind w:left="1077" w:hanging="283"/>
      </w:pPr>
      <w:rPr>
        <w:rFonts w:ascii="Arial" w:hAnsi="Arial" w:hint="default"/>
        <w:b w:val="0"/>
        <w:i w:val="0"/>
        <w:sz w:val="20"/>
      </w:rPr>
    </w:lvl>
    <w:lvl w:ilvl="1">
      <w:start w:val="1"/>
      <w:numFmt w:val="lowerRoman"/>
      <w:lvlText w:val="%2."/>
      <w:lvlJc w:val="left"/>
      <w:pPr>
        <w:ind w:left="1361" w:hanging="283"/>
      </w:pPr>
      <w:rPr>
        <w:rFonts w:hint="default"/>
      </w:rPr>
    </w:lvl>
    <w:lvl w:ilvl="2">
      <w:start w:val="1"/>
      <w:numFmt w:val="bullet"/>
      <w:lvlText w:val=""/>
      <w:lvlJc w:val="left"/>
      <w:pPr>
        <w:ind w:left="1645" w:hanging="283"/>
      </w:pPr>
      <w:rPr>
        <w:rFonts w:ascii="Symbol" w:hAnsi="Symbol" w:hint="default"/>
      </w:rPr>
    </w:lvl>
    <w:lvl w:ilvl="3">
      <w:start w:val="1"/>
      <w:numFmt w:val="bullet"/>
      <w:lvlText w:val=""/>
      <w:lvlJc w:val="left"/>
      <w:pPr>
        <w:ind w:left="1929" w:hanging="283"/>
      </w:pPr>
      <w:rPr>
        <w:rFonts w:ascii="Symbol" w:hAnsi="Symbol" w:hint="default"/>
        <w:color w:val="0093D5"/>
      </w:rPr>
    </w:lvl>
    <w:lvl w:ilvl="4">
      <w:start w:val="1"/>
      <w:numFmt w:val="lowerLetter"/>
      <w:lvlText w:val="%5."/>
      <w:lvlJc w:val="left"/>
      <w:pPr>
        <w:ind w:left="2213" w:hanging="283"/>
      </w:pPr>
      <w:rPr>
        <w:rFonts w:hint="default"/>
      </w:rPr>
    </w:lvl>
    <w:lvl w:ilvl="5">
      <w:start w:val="1"/>
      <w:numFmt w:val="lowerRoman"/>
      <w:lvlText w:val="%6."/>
      <w:lvlJc w:val="right"/>
      <w:pPr>
        <w:ind w:left="2497" w:hanging="283"/>
      </w:pPr>
      <w:rPr>
        <w:rFonts w:hint="default"/>
      </w:rPr>
    </w:lvl>
    <w:lvl w:ilvl="6">
      <w:start w:val="1"/>
      <w:numFmt w:val="decimal"/>
      <w:lvlText w:val="%7."/>
      <w:lvlJc w:val="left"/>
      <w:pPr>
        <w:ind w:left="2781" w:hanging="283"/>
      </w:pPr>
      <w:rPr>
        <w:rFonts w:hint="default"/>
      </w:rPr>
    </w:lvl>
    <w:lvl w:ilvl="7">
      <w:start w:val="1"/>
      <w:numFmt w:val="lowerLetter"/>
      <w:lvlText w:val="%8."/>
      <w:lvlJc w:val="left"/>
      <w:pPr>
        <w:ind w:left="3065" w:hanging="283"/>
      </w:pPr>
      <w:rPr>
        <w:rFonts w:hint="default"/>
      </w:rPr>
    </w:lvl>
    <w:lvl w:ilvl="8">
      <w:start w:val="1"/>
      <w:numFmt w:val="lowerRoman"/>
      <w:lvlText w:val="%9."/>
      <w:lvlJc w:val="right"/>
      <w:pPr>
        <w:ind w:left="3349" w:hanging="283"/>
      </w:pPr>
      <w:rPr>
        <w:rFonts w:hint="default"/>
      </w:rPr>
    </w:lvl>
  </w:abstractNum>
  <w:abstractNum w:abstractNumId="29" w15:restartNumberingAfterBreak="0">
    <w:nsid w:val="290C7002"/>
    <w:multiLevelType w:val="multilevel"/>
    <w:tmpl w:val="82685808"/>
    <w:styleLink w:val="CurrentList1"/>
    <w:lvl w:ilvl="0">
      <w:start w:val="1"/>
      <w:numFmt w:val="decimal"/>
      <w:lvlText w:val="%1"/>
      <w:lvlJc w:val="left"/>
      <w:pPr>
        <w:tabs>
          <w:tab w:val="num" w:pos="794"/>
        </w:tabs>
        <w:ind w:left="794" w:hanging="794"/>
      </w:pPr>
      <w:rPr>
        <w:rFonts w:ascii="Arial" w:hAnsi="Arial" w:cs="Times New Roman" w:hint="default"/>
        <w:b/>
        <w:bCs/>
        <w:i w:val="0"/>
        <w:iCs w:val="0"/>
        <w:color w:val="auto"/>
        <w:sz w:val="20"/>
        <w:szCs w:val="20"/>
        <w:u w:val="none"/>
      </w:rPr>
    </w:lvl>
    <w:lvl w:ilvl="1">
      <w:start w:val="1"/>
      <w:numFmt w:val="decimal"/>
      <w:lvlText w:val="5.%2"/>
      <w:lvlJc w:val="left"/>
      <w:pPr>
        <w:tabs>
          <w:tab w:val="num" w:pos="794"/>
        </w:tabs>
        <w:ind w:left="794" w:hanging="794"/>
      </w:pPr>
      <w:rPr>
        <w:rFonts w:hint="default"/>
        <w:b w:val="0"/>
        <w:bCs w:val="0"/>
        <w:i w:val="0"/>
        <w:iCs w:val="0"/>
        <w:color w:val="000000"/>
        <w:sz w:val="20"/>
        <w:szCs w:val="20"/>
        <w:u w:val="none"/>
      </w:rPr>
    </w:lvl>
    <w:lvl w:ilvl="2">
      <w:start w:val="1"/>
      <w:numFmt w:val="decimal"/>
      <w:lvlRestart w:val="0"/>
      <w:lvlText w:val="%1.%2"/>
      <w:lvlJc w:val="left"/>
      <w:pPr>
        <w:tabs>
          <w:tab w:val="num" w:pos="794"/>
        </w:tabs>
        <w:ind w:left="794" w:hanging="794"/>
      </w:pPr>
      <w:rPr>
        <w:rFonts w:ascii="Arial" w:hAnsi="Arial" w:cs="Times New Roman" w:hint="default"/>
        <w:b w:val="0"/>
        <w:bCs w:val="0"/>
        <w:i w:val="0"/>
        <w:iCs w:val="0"/>
        <w:color w:val="auto"/>
        <w:sz w:val="20"/>
        <w:szCs w:val="20"/>
        <w:u w:val="none"/>
      </w:rPr>
    </w:lvl>
    <w:lvl w:ilvl="3">
      <w:start w:val="1"/>
      <w:numFmt w:val="decimal"/>
      <w:lvlText w:val="%1.%2.%4"/>
      <w:lvlJc w:val="left"/>
      <w:pPr>
        <w:ind w:left="1870" w:hanging="1728"/>
      </w:pPr>
      <w:rPr>
        <w:rFonts w:ascii="Arial" w:hAnsi="Arial" w:cs="Times New Roman" w:hint="default"/>
        <w:b w:val="0"/>
        <w:bCs w:val="0"/>
        <w:i w:val="0"/>
        <w:iCs w:val="0"/>
        <w:color w:val="auto"/>
        <w:sz w:val="20"/>
        <w:szCs w:val="20"/>
        <w:u w:val="none"/>
      </w:rPr>
    </w:lvl>
    <w:lvl w:ilvl="4">
      <w:start w:val="1"/>
      <w:numFmt w:val="decimal"/>
      <w:lvlText w:val="%1.%2.3"/>
      <w:lvlJc w:val="left"/>
      <w:pPr>
        <w:tabs>
          <w:tab w:val="num" w:pos="794"/>
        </w:tabs>
        <w:ind w:left="794" w:hanging="794"/>
      </w:pPr>
      <w:rPr>
        <w:rFonts w:ascii="Arial" w:hAnsi="Arial" w:cs="Times New Roman" w:hint="default"/>
        <w:b w:val="0"/>
        <w:bCs w:val="0"/>
        <w:i w:val="0"/>
        <w:iCs w:val="0"/>
        <w:sz w:val="20"/>
        <w:szCs w:val="2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294872CE"/>
    <w:multiLevelType w:val="multilevel"/>
    <w:tmpl w:val="160A03D6"/>
    <w:styleLink w:val="Style9"/>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29584335"/>
    <w:multiLevelType w:val="multilevel"/>
    <w:tmpl w:val="91365848"/>
    <w:lvl w:ilvl="0">
      <w:start w:val="1"/>
      <w:numFmt w:val="decimal"/>
      <w:pStyle w:val="Tableheading"/>
      <w:lvlText w:val="Table %1:"/>
      <w:lvlJc w:val="left"/>
      <w:pPr>
        <w:ind w:left="1154" w:hanging="360"/>
      </w:pPr>
      <w:rPr>
        <w:rFonts w:ascii="Arial Bold" w:hAnsi="Arial Bold" w:hint="default"/>
        <w:b/>
        <w:bCs/>
        <w:i w:val="0"/>
        <w:iCs w:val="0"/>
        <w:color w:val="auto"/>
        <w:sz w:val="20"/>
        <w:u w:val="none"/>
      </w:rPr>
    </w:lvl>
    <w:lvl w:ilvl="1">
      <w:start w:val="1"/>
      <w:numFmt w:val="decimal"/>
      <w:lvlText w:val="%1.%2."/>
      <w:lvlJc w:val="left"/>
      <w:pPr>
        <w:tabs>
          <w:tab w:val="num" w:pos="1021"/>
        </w:tabs>
        <w:ind w:left="1021" w:hanging="1021"/>
      </w:pPr>
      <w:rPr>
        <w:rFonts w:ascii="Arial" w:hAnsi="Arial" w:hint="default"/>
        <w:b w:val="0"/>
        <w:bCs w:val="0"/>
        <w:i w:val="0"/>
        <w:iCs w:val="0"/>
        <w:color w:val="000000"/>
        <w:u w:val="none"/>
      </w:rPr>
    </w:lvl>
    <w:lvl w:ilvl="2">
      <w:start w:val="1"/>
      <w:numFmt w:val="decimal"/>
      <w:lvlText w:val="%1.%2.%3."/>
      <w:lvlJc w:val="left"/>
      <w:pPr>
        <w:tabs>
          <w:tab w:val="num" w:pos="1021"/>
        </w:tabs>
        <w:ind w:left="1021" w:hanging="1021"/>
      </w:pPr>
      <w:rPr>
        <w:rFonts w:ascii="Arial" w:hAnsi="Arial" w:hint="default"/>
        <w:b w:val="0"/>
        <w:bCs w:val="0"/>
        <w:i w:val="0"/>
        <w:iCs w:val="0"/>
        <w:color w:val="auto"/>
        <w:u w:val="none"/>
      </w:rPr>
    </w:lvl>
    <w:lvl w:ilvl="3">
      <w:start w:val="1"/>
      <w:numFmt w:val="decimal"/>
      <w:lvlText w:val="%1.%2.%3.%4."/>
      <w:lvlJc w:val="left"/>
      <w:pPr>
        <w:tabs>
          <w:tab w:val="num" w:pos="1021"/>
        </w:tabs>
        <w:ind w:left="1021" w:hanging="1021"/>
      </w:pPr>
      <w:rPr>
        <w:rFonts w:ascii="Arial" w:hAnsi="Arial" w:hint="default"/>
        <w:b w:val="0"/>
        <w:bCs w:val="0"/>
        <w:i w:val="0"/>
        <w:iCs w:val="0"/>
        <w:color w:val="auto"/>
        <w:u w:val="none"/>
      </w:rPr>
    </w:lvl>
    <w:lvl w:ilvl="4">
      <w:start w:val="1"/>
      <w:numFmt w:val="decimal"/>
      <w:lvlText w:val="%1.%2.%3.%4.%5."/>
      <w:lvlJc w:val="left"/>
      <w:pPr>
        <w:tabs>
          <w:tab w:val="num" w:pos="879"/>
        </w:tabs>
        <w:ind w:left="879" w:hanging="1021"/>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32" w15:restartNumberingAfterBreak="0">
    <w:nsid w:val="2B976CFF"/>
    <w:multiLevelType w:val="hybridMultilevel"/>
    <w:tmpl w:val="6FFC8A60"/>
    <w:lvl w:ilvl="0" w:tplc="1764AF8E">
      <w:start w:val="1"/>
      <w:numFmt w:val="upperLetter"/>
      <w:pStyle w:val="Appendices"/>
      <w:lvlText w:val="APPENDIX %1:"/>
      <w:lvlJc w:val="left"/>
      <w:pPr>
        <w:tabs>
          <w:tab w:val="num" w:pos="794"/>
        </w:tabs>
        <w:ind w:left="794" w:hanging="794"/>
      </w:pPr>
      <w:rPr>
        <w:rFonts w:ascii="Arial Bold" w:hAnsi="Arial Bold" w:hint="default"/>
        <w:b/>
        <w:i w:val="0"/>
        <w:cap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9D73BB"/>
    <w:multiLevelType w:val="multilevel"/>
    <w:tmpl w:val="90BE5FB6"/>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pStyle w:val="BlueBullet"/>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FF918B2"/>
    <w:multiLevelType w:val="hybridMultilevel"/>
    <w:tmpl w:val="DD2A542C"/>
    <w:lvl w:ilvl="0" w:tplc="974EFADC">
      <w:start w:val="1"/>
      <w:numFmt w:val="bullet"/>
      <w:pStyle w:val="Bulletlist"/>
      <w:lvlText w:val=""/>
      <w:lvlJc w:val="left"/>
      <w:pPr>
        <w:ind w:left="1741" w:hanging="360"/>
      </w:pPr>
      <w:rPr>
        <w:rFonts w:ascii="Symbol" w:hAnsi="Symbol" w:hint="default"/>
      </w:rPr>
    </w:lvl>
    <w:lvl w:ilvl="1" w:tplc="08090003">
      <w:start w:val="1"/>
      <w:numFmt w:val="bullet"/>
      <w:lvlText w:val="o"/>
      <w:lvlJc w:val="left"/>
      <w:pPr>
        <w:ind w:left="2461" w:hanging="360"/>
      </w:pPr>
      <w:rPr>
        <w:rFonts w:ascii="Courier New" w:hAnsi="Courier New" w:cs="Times New Roman" w:hint="default"/>
      </w:rPr>
    </w:lvl>
    <w:lvl w:ilvl="2" w:tplc="08090005">
      <w:start w:val="1"/>
      <w:numFmt w:val="bullet"/>
      <w:lvlText w:val=""/>
      <w:lvlJc w:val="left"/>
      <w:pPr>
        <w:ind w:left="3181" w:hanging="360"/>
      </w:pPr>
      <w:rPr>
        <w:rFonts w:ascii="Wingdings" w:hAnsi="Wingdings" w:hint="default"/>
      </w:rPr>
    </w:lvl>
    <w:lvl w:ilvl="3" w:tplc="08090001">
      <w:start w:val="1"/>
      <w:numFmt w:val="bullet"/>
      <w:lvlText w:val=""/>
      <w:lvlJc w:val="left"/>
      <w:pPr>
        <w:ind w:left="3901" w:hanging="360"/>
      </w:pPr>
      <w:rPr>
        <w:rFonts w:ascii="Symbol" w:hAnsi="Symbol" w:hint="default"/>
      </w:rPr>
    </w:lvl>
    <w:lvl w:ilvl="4" w:tplc="08090003">
      <w:start w:val="1"/>
      <w:numFmt w:val="bullet"/>
      <w:lvlText w:val="o"/>
      <w:lvlJc w:val="left"/>
      <w:pPr>
        <w:ind w:left="4621" w:hanging="360"/>
      </w:pPr>
      <w:rPr>
        <w:rFonts w:ascii="Courier New" w:hAnsi="Courier New" w:cs="Times New Roman" w:hint="default"/>
      </w:rPr>
    </w:lvl>
    <w:lvl w:ilvl="5" w:tplc="08090005">
      <w:start w:val="1"/>
      <w:numFmt w:val="bullet"/>
      <w:lvlText w:val=""/>
      <w:lvlJc w:val="left"/>
      <w:pPr>
        <w:ind w:left="5341" w:hanging="360"/>
      </w:pPr>
      <w:rPr>
        <w:rFonts w:ascii="Wingdings" w:hAnsi="Wingdings" w:hint="default"/>
      </w:rPr>
    </w:lvl>
    <w:lvl w:ilvl="6" w:tplc="08090001">
      <w:start w:val="1"/>
      <w:numFmt w:val="bullet"/>
      <w:lvlText w:val=""/>
      <w:lvlJc w:val="left"/>
      <w:pPr>
        <w:ind w:left="6061" w:hanging="360"/>
      </w:pPr>
      <w:rPr>
        <w:rFonts w:ascii="Symbol" w:hAnsi="Symbol" w:hint="default"/>
      </w:rPr>
    </w:lvl>
    <w:lvl w:ilvl="7" w:tplc="08090003">
      <w:start w:val="1"/>
      <w:numFmt w:val="bullet"/>
      <w:lvlText w:val="o"/>
      <w:lvlJc w:val="left"/>
      <w:pPr>
        <w:ind w:left="6781" w:hanging="360"/>
      </w:pPr>
      <w:rPr>
        <w:rFonts w:ascii="Courier New" w:hAnsi="Courier New" w:cs="Times New Roman" w:hint="default"/>
      </w:rPr>
    </w:lvl>
    <w:lvl w:ilvl="8" w:tplc="08090005">
      <w:start w:val="1"/>
      <w:numFmt w:val="bullet"/>
      <w:lvlText w:val=""/>
      <w:lvlJc w:val="left"/>
      <w:pPr>
        <w:ind w:left="7501" w:hanging="360"/>
      </w:pPr>
      <w:rPr>
        <w:rFonts w:ascii="Wingdings" w:hAnsi="Wingdings" w:hint="default"/>
      </w:rPr>
    </w:lvl>
  </w:abstractNum>
  <w:abstractNum w:abstractNumId="35" w15:restartNumberingAfterBreak="0">
    <w:nsid w:val="30597F1A"/>
    <w:multiLevelType w:val="multilevel"/>
    <w:tmpl w:val="554835FE"/>
    <w:lvl w:ilvl="0">
      <w:start w:val="1"/>
      <w:numFmt w:val="lowerLetter"/>
      <w:pStyle w:val="Quotelistinga"/>
      <w:lvlText w:val="%1."/>
      <w:lvlJc w:val="left"/>
      <w:pPr>
        <w:tabs>
          <w:tab w:val="num" w:pos="907"/>
        </w:tabs>
        <w:ind w:left="1077" w:hanging="283"/>
      </w:pPr>
      <w:rPr>
        <w:rFonts w:ascii="Arial" w:hAnsi="Arial" w:hint="default"/>
        <w:b w:val="0"/>
        <w:i w:val="0"/>
        <w:sz w:val="20"/>
      </w:rPr>
    </w:lvl>
    <w:lvl w:ilvl="1">
      <w:start w:val="1"/>
      <w:numFmt w:val="lowerRoman"/>
      <w:pStyle w:val="Quotelistingi"/>
      <w:lvlText w:val="%2."/>
      <w:lvlJc w:val="left"/>
      <w:pPr>
        <w:ind w:left="1077" w:hanging="283"/>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08F1270"/>
    <w:multiLevelType w:val="multilevel"/>
    <w:tmpl w:val="8EAA85C6"/>
    <w:styleLink w:val="Style12"/>
    <w:lvl w:ilvl="0">
      <w:start w:val="15"/>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335E663E"/>
    <w:multiLevelType w:val="multilevel"/>
    <w:tmpl w:val="39F870B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33F90239"/>
    <w:multiLevelType w:val="hybridMultilevel"/>
    <w:tmpl w:val="E474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000DA5"/>
    <w:multiLevelType w:val="hybridMultilevel"/>
    <w:tmpl w:val="C2E6820C"/>
    <w:lvl w:ilvl="0" w:tplc="71C8809C">
      <w:start w:val="1"/>
      <w:numFmt w:val="decimal"/>
      <w:pStyle w:val="headmain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5524768"/>
    <w:multiLevelType w:val="multilevel"/>
    <w:tmpl w:val="2F1A6914"/>
    <w:lvl w:ilvl="0">
      <w:start w:val="7"/>
      <w:numFmt w:val="decimal"/>
      <w:lvlText w:val="%1"/>
      <w:lvlJc w:val="left"/>
      <w:pPr>
        <w:ind w:left="384" w:hanging="384"/>
      </w:pPr>
      <w:rPr>
        <w:rFonts w:hint="default"/>
      </w:rPr>
    </w:lvl>
    <w:lvl w:ilvl="1">
      <w:start w:val="29"/>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8D62C19"/>
    <w:multiLevelType w:val="hybridMultilevel"/>
    <w:tmpl w:val="E66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9C17E1"/>
    <w:multiLevelType w:val="multilevel"/>
    <w:tmpl w:val="0809001D"/>
    <w:styleLink w:val="Style7"/>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DB03D39"/>
    <w:multiLevelType w:val="multilevel"/>
    <w:tmpl w:val="29F63E3A"/>
    <w:lvl w:ilvl="0">
      <w:start w:val="4"/>
      <w:numFmt w:val="decimal"/>
      <w:pStyle w:val="BulletORANGE"/>
      <w:lvlText w:val="%1"/>
      <w:lvlJc w:val="left"/>
      <w:pPr>
        <w:tabs>
          <w:tab w:val="num" w:pos="720"/>
        </w:tabs>
        <w:ind w:left="720" w:hanging="720"/>
      </w:pPr>
      <w:rPr>
        <w:rFonts w:hint="default"/>
      </w:rPr>
    </w:lvl>
    <w:lvl w:ilvl="1">
      <w:start w:val="5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F1D7782"/>
    <w:multiLevelType w:val="hybridMultilevel"/>
    <w:tmpl w:val="10365D3E"/>
    <w:lvl w:ilvl="0" w:tplc="FFFFFFFF">
      <w:start w:val="1"/>
      <w:numFmt w:val="bullet"/>
      <w:pStyle w:val="Bulletsublist"/>
      <w:lvlText w:val=""/>
      <w:lvlJc w:val="left"/>
      <w:pPr>
        <w:tabs>
          <w:tab w:val="num" w:pos="4046"/>
        </w:tabs>
        <w:ind w:left="4046" w:hanging="360"/>
      </w:pPr>
      <w:rPr>
        <w:rFonts w:ascii="Symbol" w:hAnsi="Symbol" w:hint="default"/>
        <w:color w:val="0000FF"/>
        <w:sz w:val="24"/>
      </w:rPr>
    </w:lvl>
    <w:lvl w:ilvl="1" w:tplc="FFFFFFFF">
      <w:start w:val="1"/>
      <w:numFmt w:val="bullet"/>
      <w:lvlText w:val="o"/>
      <w:lvlJc w:val="left"/>
      <w:pPr>
        <w:tabs>
          <w:tab w:val="num" w:pos="5990"/>
        </w:tabs>
        <w:ind w:left="5990" w:hanging="360"/>
      </w:pPr>
      <w:rPr>
        <w:rFonts w:ascii="Courier New" w:hAnsi="Courier New" w:cs="Times New Roman" w:hint="default"/>
      </w:rPr>
    </w:lvl>
    <w:lvl w:ilvl="2" w:tplc="FFFFFFFF">
      <w:start w:val="1"/>
      <w:numFmt w:val="bullet"/>
      <w:lvlText w:val=""/>
      <w:lvlJc w:val="left"/>
      <w:pPr>
        <w:tabs>
          <w:tab w:val="num" w:pos="6710"/>
        </w:tabs>
        <w:ind w:left="6710" w:hanging="360"/>
      </w:pPr>
      <w:rPr>
        <w:rFonts w:ascii="Wingdings" w:hAnsi="Wingdings" w:hint="default"/>
      </w:rPr>
    </w:lvl>
    <w:lvl w:ilvl="3" w:tplc="FFFFFFFF">
      <w:start w:val="1"/>
      <w:numFmt w:val="bullet"/>
      <w:lvlText w:val=""/>
      <w:lvlJc w:val="left"/>
      <w:pPr>
        <w:tabs>
          <w:tab w:val="num" w:pos="7430"/>
        </w:tabs>
        <w:ind w:left="7430" w:hanging="360"/>
      </w:pPr>
      <w:rPr>
        <w:rFonts w:ascii="Symbol" w:hAnsi="Symbol" w:hint="default"/>
      </w:rPr>
    </w:lvl>
    <w:lvl w:ilvl="4" w:tplc="FFFFFFFF">
      <w:start w:val="1"/>
      <w:numFmt w:val="bullet"/>
      <w:lvlText w:val="o"/>
      <w:lvlJc w:val="left"/>
      <w:pPr>
        <w:tabs>
          <w:tab w:val="num" w:pos="8150"/>
        </w:tabs>
        <w:ind w:left="8150" w:hanging="360"/>
      </w:pPr>
      <w:rPr>
        <w:rFonts w:ascii="Courier New" w:hAnsi="Courier New" w:cs="Times New Roman" w:hint="default"/>
      </w:rPr>
    </w:lvl>
    <w:lvl w:ilvl="5" w:tplc="FFFFFFFF">
      <w:start w:val="1"/>
      <w:numFmt w:val="bullet"/>
      <w:lvlText w:val=""/>
      <w:lvlJc w:val="left"/>
      <w:pPr>
        <w:tabs>
          <w:tab w:val="num" w:pos="8870"/>
        </w:tabs>
        <w:ind w:left="8870" w:hanging="360"/>
      </w:pPr>
      <w:rPr>
        <w:rFonts w:ascii="Wingdings" w:hAnsi="Wingdings" w:hint="default"/>
      </w:rPr>
    </w:lvl>
    <w:lvl w:ilvl="6" w:tplc="FFFFFFFF">
      <w:start w:val="1"/>
      <w:numFmt w:val="bullet"/>
      <w:lvlText w:val=""/>
      <w:lvlJc w:val="left"/>
      <w:pPr>
        <w:tabs>
          <w:tab w:val="num" w:pos="9590"/>
        </w:tabs>
        <w:ind w:left="9590" w:hanging="360"/>
      </w:pPr>
      <w:rPr>
        <w:rFonts w:ascii="Symbol" w:hAnsi="Symbol" w:hint="default"/>
      </w:rPr>
    </w:lvl>
    <w:lvl w:ilvl="7" w:tplc="FFFFFFFF">
      <w:start w:val="1"/>
      <w:numFmt w:val="bullet"/>
      <w:lvlText w:val="o"/>
      <w:lvlJc w:val="left"/>
      <w:pPr>
        <w:tabs>
          <w:tab w:val="num" w:pos="10310"/>
        </w:tabs>
        <w:ind w:left="10310" w:hanging="360"/>
      </w:pPr>
      <w:rPr>
        <w:rFonts w:ascii="Courier New" w:hAnsi="Courier New" w:cs="Times New Roman" w:hint="default"/>
      </w:rPr>
    </w:lvl>
    <w:lvl w:ilvl="8" w:tplc="FFFFFFFF">
      <w:start w:val="1"/>
      <w:numFmt w:val="bullet"/>
      <w:lvlText w:val=""/>
      <w:lvlJc w:val="left"/>
      <w:pPr>
        <w:tabs>
          <w:tab w:val="num" w:pos="11030"/>
        </w:tabs>
        <w:ind w:left="11030" w:hanging="360"/>
      </w:pPr>
      <w:rPr>
        <w:rFonts w:ascii="Wingdings" w:hAnsi="Wingdings" w:hint="default"/>
      </w:rPr>
    </w:lvl>
  </w:abstractNum>
  <w:abstractNum w:abstractNumId="45" w15:restartNumberingAfterBreak="0">
    <w:nsid w:val="403865BB"/>
    <w:multiLevelType w:val="hybridMultilevel"/>
    <w:tmpl w:val="FCFA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466C6C"/>
    <w:multiLevelType w:val="multilevel"/>
    <w:tmpl w:val="0004F658"/>
    <w:styleLink w:val="Style8"/>
    <w:lvl w:ilvl="0">
      <w:start w:val="11"/>
      <w:numFmt w:val="decimal"/>
      <w:lvlText w:val="%1"/>
      <w:lvlJc w:val="left"/>
      <w:pPr>
        <w:tabs>
          <w:tab w:val="num" w:pos="357"/>
        </w:tabs>
        <w:ind w:left="357" w:hanging="754"/>
      </w:pPr>
    </w:lvl>
    <w:lvl w:ilvl="1">
      <w:start w:val="1"/>
      <w:numFmt w:val="decimal"/>
      <w:lvlRestart w:val="0"/>
      <w:lvlText w:val="%1.%2"/>
      <w:lvlJc w:val="left"/>
      <w:pPr>
        <w:tabs>
          <w:tab w:val="num" w:pos="754"/>
        </w:tabs>
        <w:ind w:left="754" w:hanging="754"/>
      </w:pPr>
      <w:rPr>
        <w:b w:val="0"/>
      </w:rPr>
    </w:lvl>
    <w:lvl w:ilvl="2">
      <w:start w:val="1"/>
      <w:numFmt w:val="decimal"/>
      <w:lvlText w:val="%1.%2.%3"/>
      <w:lvlJc w:val="left"/>
      <w:pPr>
        <w:tabs>
          <w:tab w:val="num" w:pos="357"/>
        </w:tabs>
        <w:ind w:left="357" w:hanging="754"/>
      </w:pPr>
    </w:lvl>
    <w:lvl w:ilvl="3">
      <w:start w:val="1"/>
      <w:numFmt w:val="decimal"/>
      <w:lvlText w:val="%1.%2.%3.%4"/>
      <w:lvlJc w:val="left"/>
      <w:pPr>
        <w:tabs>
          <w:tab w:val="num" w:pos="286"/>
        </w:tabs>
        <w:ind w:left="286" w:hanging="1080"/>
      </w:pPr>
    </w:lvl>
    <w:lvl w:ilvl="4">
      <w:start w:val="1"/>
      <w:numFmt w:val="decimal"/>
      <w:lvlText w:val="%1.%2.%3.%4.%5"/>
      <w:lvlJc w:val="left"/>
      <w:pPr>
        <w:tabs>
          <w:tab w:val="num" w:pos="646"/>
        </w:tabs>
        <w:ind w:left="646" w:hanging="1440"/>
      </w:pPr>
    </w:lvl>
    <w:lvl w:ilvl="5">
      <w:start w:val="1"/>
      <w:numFmt w:val="decimal"/>
      <w:lvlText w:val="%1.%2.%3.%4.%5.%6"/>
      <w:lvlJc w:val="left"/>
      <w:pPr>
        <w:tabs>
          <w:tab w:val="num" w:pos="646"/>
        </w:tabs>
        <w:ind w:left="646" w:hanging="1440"/>
      </w:pPr>
    </w:lvl>
    <w:lvl w:ilvl="6">
      <w:start w:val="1"/>
      <w:numFmt w:val="decimal"/>
      <w:lvlText w:val="%1.%2.%3.%4.%5.%6.%7"/>
      <w:lvlJc w:val="left"/>
      <w:pPr>
        <w:tabs>
          <w:tab w:val="num" w:pos="1006"/>
        </w:tabs>
        <w:ind w:left="1006" w:hanging="1800"/>
      </w:pPr>
    </w:lvl>
    <w:lvl w:ilvl="7">
      <w:start w:val="1"/>
      <w:numFmt w:val="decimal"/>
      <w:lvlText w:val="%1.%2.%3.%4.%5.%6.%7.%8"/>
      <w:lvlJc w:val="left"/>
      <w:pPr>
        <w:tabs>
          <w:tab w:val="num" w:pos="1006"/>
        </w:tabs>
        <w:ind w:left="1006" w:hanging="1800"/>
      </w:pPr>
    </w:lvl>
    <w:lvl w:ilvl="8">
      <w:start w:val="1"/>
      <w:numFmt w:val="decimal"/>
      <w:lvlText w:val="%1.%2.%3.%4.%5.%6.%7.%8.%9"/>
      <w:lvlJc w:val="left"/>
      <w:pPr>
        <w:tabs>
          <w:tab w:val="num" w:pos="1366"/>
        </w:tabs>
        <w:ind w:left="1366" w:hanging="2160"/>
      </w:pPr>
    </w:lvl>
  </w:abstractNum>
  <w:abstractNum w:abstractNumId="47" w15:restartNumberingAfterBreak="0">
    <w:nsid w:val="4344481D"/>
    <w:multiLevelType w:val="hybridMultilevel"/>
    <w:tmpl w:val="842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526DCC"/>
    <w:multiLevelType w:val="multilevel"/>
    <w:tmpl w:val="1A6CE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35C5C15"/>
    <w:multiLevelType w:val="hybridMultilevel"/>
    <w:tmpl w:val="D408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CE42A1"/>
    <w:multiLevelType w:val="hybridMultilevel"/>
    <w:tmpl w:val="D0084C54"/>
    <w:lvl w:ilvl="0" w:tplc="FFFFFFFF">
      <w:start w:val="1"/>
      <w:numFmt w:val="bullet"/>
      <w:pStyle w:val="Reporttitlevolumedetails"/>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Times New Roman"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Times New Roman"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48146569"/>
    <w:multiLevelType w:val="hybridMultilevel"/>
    <w:tmpl w:val="16E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A196295"/>
    <w:multiLevelType w:val="multilevel"/>
    <w:tmpl w:val="41A82942"/>
    <w:styleLink w:val="Style2"/>
    <w:lvl w:ilvl="0">
      <w:start w:val="3"/>
      <w:numFmt w:val="decimal"/>
      <w:lvlText w:val="%1"/>
      <w:lvlJc w:val="left"/>
      <w:pPr>
        <w:tabs>
          <w:tab w:val="num" w:pos="357"/>
        </w:tabs>
        <w:ind w:left="357" w:hanging="754"/>
      </w:pPr>
    </w:lvl>
    <w:lvl w:ilvl="1">
      <w:start w:val="1"/>
      <w:numFmt w:val="decimal"/>
      <w:lvlRestart w:val="0"/>
      <w:lvlText w:val="%1.%2"/>
      <w:lvlJc w:val="left"/>
      <w:pPr>
        <w:tabs>
          <w:tab w:val="num" w:pos="754"/>
        </w:tabs>
        <w:ind w:left="754" w:hanging="754"/>
      </w:pPr>
      <w:rPr>
        <w:b w:val="0"/>
      </w:rPr>
    </w:lvl>
    <w:lvl w:ilvl="2">
      <w:start w:val="1"/>
      <w:numFmt w:val="decimal"/>
      <w:lvlText w:val="%1.%2.%3"/>
      <w:lvlJc w:val="left"/>
      <w:pPr>
        <w:tabs>
          <w:tab w:val="num" w:pos="357"/>
        </w:tabs>
        <w:ind w:left="357" w:hanging="754"/>
      </w:pPr>
    </w:lvl>
    <w:lvl w:ilvl="3">
      <w:start w:val="1"/>
      <w:numFmt w:val="decimal"/>
      <w:lvlText w:val="%1.%2.%3.%4"/>
      <w:lvlJc w:val="left"/>
      <w:pPr>
        <w:tabs>
          <w:tab w:val="num" w:pos="286"/>
        </w:tabs>
        <w:ind w:left="286" w:hanging="1080"/>
      </w:pPr>
    </w:lvl>
    <w:lvl w:ilvl="4">
      <w:start w:val="1"/>
      <w:numFmt w:val="decimal"/>
      <w:lvlText w:val="%1.%2.%3.%4.%5"/>
      <w:lvlJc w:val="left"/>
      <w:pPr>
        <w:tabs>
          <w:tab w:val="num" w:pos="646"/>
        </w:tabs>
        <w:ind w:left="646" w:hanging="1440"/>
      </w:pPr>
    </w:lvl>
    <w:lvl w:ilvl="5">
      <w:start w:val="1"/>
      <w:numFmt w:val="decimal"/>
      <w:lvlText w:val="%1.%2.%3.%4.%5.%6"/>
      <w:lvlJc w:val="left"/>
      <w:pPr>
        <w:tabs>
          <w:tab w:val="num" w:pos="646"/>
        </w:tabs>
        <w:ind w:left="646" w:hanging="1440"/>
      </w:pPr>
    </w:lvl>
    <w:lvl w:ilvl="6">
      <w:start w:val="1"/>
      <w:numFmt w:val="decimal"/>
      <w:lvlText w:val="%1.%2.%3.%4.%5.%6.%7"/>
      <w:lvlJc w:val="left"/>
      <w:pPr>
        <w:tabs>
          <w:tab w:val="num" w:pos="1006"/>
        </w:tabs>
        <w:ind w:left="1006" w:hanging="1800"/>
      </w:pPr>
    </w:lvl>
    <w:lvl w:ilvl="7">
      <w:start w:val="1"/>
      <w:numFmt w:val="decimal"/>
      <w:lvlText w:val="%1.%2.%3.%4.%5.%6.%7.%8"/>
      <w:lvlJc w:val="left"/>
      <w:pPr>
        <w:tabs>
          <w:tab w:val="num" w:pos="1006"/>
        </w:tabs>
        <w:ind w:left="1006" w:hanging="1800"/>
      </w:pPr>
    </w:lvl>
    <w:lvl w:ilvl="8">
      <w:start w:val="1"/>
      <w:numFmt w:val="decimal"/>
      <w:lvlText w:val="%1.%2.%3.%4.%5.%6.%7.%8.%9"/>
      <w:lvlJc w:val="left"/>
      <w:pPr>
        <w:tabs>
          <w:tab w:val="num" w:pos="1366"/>
        </w:tabs>
        <w:ind w:left="1366" w:hanging="2160"/>
      </w:pPr>
    </w:lvl>
  </w:abstractNum>
  <w:abstractNum w:abstractNumId="53" w15:restartNumberingAfterBreak="0">
    <w:nsid w:val="4B82083E"/>
    <w:multiLevelType w:val="hybridMultilevel"/>
    <w:tmpl w:val="D58C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D974CC9"/>
    <w:multiLevelType w:val="multilevel"/>
    <w:tmpl w:val="913AFB3A"/>
    <w:lvl w:ilvl="0">
      <w:start w:val="1"/>
      <w:numFmt w:val="decimal"/>
      <w:pStyle w:val="QuoteBulletBlack"/>
      <w:lvlText w:val="%1."/>
      <w:lvlJc w:val="left"/>
      <w:pPr>
        <w:tabs>
          <w:tab w:val="num" w:pos="870"/>
        </w:tabs>
        <w:ind w:left="870" w:hanging="870"/>
      </w:pPr>
      <w:rPr>
        <w:rFonts w:hint="default"/>
      </w:rPr>
    </w:lvl>
    <w:lvl w:ilvl="1">
      <w:start w:val="1"/>
      <w:numFmt w:val="decimal"/>
      <w:pStyle w:val="Reportsourceundertable"/>
      <w:lvlText w:val="%1.%2."/>
      <w:lvlJc w:val="left"/>
      <w:pPr>
        <w:tabs>
          <w:tab w:val="num" w:pos="867"/>
        </w:tabs>
        <w:ind w:left="867" w:hanging="867"/>
      </w:pPr>
      <w:rPr>
        <w:rFonts w:hint="default"/>
      </w:rPr>
    </w:lvl>
    <w:lvl w:ilvl="2">
      <w:start w:val="1"/>
      <w:numFmt w:val="decimal"/>
      <w:lvlText w:val="%1.%2.%3."/>
      <w:lvlJc w:val="left"/>
      <w:pPr>
        <w:tabs>
          <w:tab w:val="num" w:pos="867"/>
        </w:tabs>
        <w:ind w:left="867" w:hanging="867"/>
      </w:pPr>
      <w:rPr>
        <w:rFonts w:hint="default"/>
      </w:rPr>
    </w:lvl>
    <w:lvl w:ilvl="3">
      <w:start w:val="1"/>
      <w:numFmt w:val="decimal"/>
      <w:lvlText w:val="%1.%2.%3.%4."/>
      <w:lvlJc w:val="left"/>
      <w:pPr>
        <w:tabs>
          <w:tab w:val="num" w:pos="867"/>
        </w:tabs>
        <w:ind w:left="867" w:hanging="867"/>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55" w15:restartNumberingAfterBreak="0">
    <w:nsid w:val="4DF03D10"/>
    <w:multiLevelType w:val="hybridMultilevel"/>
    <w:tmpl w:val="B2A0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5425CF"/>
    <w:multiLevelType w:val="multilevel"/>
    <w:tmpl w:val="13F4F2EC"/>
    <w:styleLink w:val="Style14"/>
    <w:lvl w:ilvl="0">
      <w:start w:val="1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4FD32252"/>
    <w:multiLevelType w:val="multilevel"/>
    <w:tmpl w:val="5B8221F8"/>
    <w:styleLink w:val="Style6"/>
    <w:lvl w:ilvl="0">
      <w:start w:val="10"/>
      <w:numFmt w:val="decimal"/>
      <w:lvlText w:val="%1"/>
      <w:lvlJc w:val="left"/>
      <w:pPr>
        <w:tabs>
          <w:tab w:val="num" w:pos="357"/>
        </w:tabs>
        <w:ind w:left="357" w:hanging="754"/>
      </w:pPr>
    </w:lvl>
    <w:lvl w:ilvl="1">
      <w:start w:val="1"/>
      <w:numFmt w:val="decimal"/>
      <w:lvlRestart w:val="0"/>
      <w:lvlText w:val="%1.%2"/>
      <w:lvlJc w:val="left"/>
      <w:pPr>
        <w:tabs>
          <w:tab w:val="num" w:pos="754"/>
        </w:tabs>
        <w:ind w:left="754" w:hanging="754"/>
      </w:pPr>
      <w:rPr>
        <w:b w:val="0"/>
      </w:rPr>
    </w:lvl>
    <w:lvl w:ilvl="2">
      <w:start w:val="1"/>
      <w:numFmt w:val="decimal"/>
      <w:lvlText w:val="%1.%2.%3"/>
      <w:lvlJc w:val="left"/>
      <w:pPr>
        <w:tabs>
          <w:tab w:val="num" w:pos="357"/>
        </w:tabs>
        <w:ind w:left="357" w:hanging="754"/>
      </w:pPr>
    </w:lvl>
    <w:lvl w:ilvl="3">
      <w:start w:val="1"/>
      <w:numFmt w:val="decimal"/>
      <w:lvlText w:val="%1.%2.%3.%4"/>
      <w:lvlJc w:val="left"/>
      <w:pPr>
        <w:tabs>
          <w:tab w:val="num" w:pos="286"/>
        </w:tabs>
        <w:ind w:left="286" w:hanging="1080"/>
      </w:pPr>
    </w:lvl>
    <w:lvl w:ilvl="4">
      <w:start w:val="1"/>
      <w:numFmt w:val="decimal"/>
      <w:lvlText w:val="%1.%2.%3.%4.%5"/>
      <w:lvlJc w:val="left"/>
      <w:pPr>
        <w:tabs>
          <w:tab w:val="num" w:pos="646"/>
        </w:tabs>
        <w:ind w:left="646" w:hanging="1440"/>
      </w:pPr>
    </w:lvl>
    <w:lvl w:ilvl="5">
      <w:start w:val="1"/>
      <w:numFmt w:val="decimal"/>
      <w:lvlText w:val="%1.%2.%3.%4.%5.%6"/>
      <w:lvlJc w:val="left"/>
      <w:pPr>
        <w:tabs>
          <w:tab w:val="num" w:pos="646"/>
        </w:tabs>
        <w:ind w:left="646" w:hanging="1440"/>
      </w:pPr>
    </w:lvl>
    <w:lvl w:ilvl="6">
      <w:start w:val="1"/>
      <w:numFmt w:val="decimal"/>
      <w:lvlText w:val="%1.%2.%3.%4.%5.%6.%7"/>
      <w:lvlJc w:val="left"/>
      <w:pPr>
        <w:tabs>
          <w:tab w:val="num" w:pos="1006"/>
        </w:tabs>
        <w:ind w:left="1006" w:hanging="1800"/>
      </w:pPr>
    </w:lvl>
    <w:lvl w:ilvl="7">
      <w:start w:val="1"/>
      <w:numFmt w:val="decimal"/>
      <w:lvlText w:val="%1.%2.%3.%4.%5.%6.%7.%8"/>
      <w:lvlJc w:val="left"/>
      <w:pPr>
        <w:tabs>
          <w:tab w:val="num" w:pos="1006"/>
        </w:tabs>
        <w:ind w:left="1006" w:hanging="1800"/>
      </w:pPr>
    </w:lvl>
    <w:lvl w:ilvl="8">
      <w:start w:val="1"/>
      <w:numFmt w:val="decimal"/>
      <w:lvlText w:val="%1.%2.%3.%4.%5.%6.%7.%8.%9"/>
      <w:lvlJc w:val="left"/>
      <w:pPr>
        <w:tabs>
          <w:tab w:val="num" w:pos="1366"/>
        </w:tabs>
        <w:ind w:left="1366" w:hanging="2160"/>
      </w:pPr>
    </w:lvl>
  </w:abstractNum>
  <w:abstractNum w:abstractNumId="58" w15:restartNumberingAfterBreak="0">
    <w:nsid w:val="559A2A3A"/>
    <w:multiLevelType w:val="multilevel"/>
    <w:tmpl w:val="0A28E60C"/>
    <w:styleLink w:val="Style3"/>
    <w:lvl w:ilvl="0">
      <w:start w:val="7"/>
      <w:numFmt w:val="decimal"/>
      <w:lvlText w:val="%1"/>
      <w:lvlJc w:val="left"/>
      <w:pPr>
        <w:tabs>
          <w:tab w:val="num" w:pos="357"/>
        </w:tabs>
        <w:ind w:left="357" w:hanging="754"/>
      </w:pPr>
    </w:lvl>
    <w:lvl w:ilvl="1">
      <w:start w:val="1"/>
      <w:numFmt w:val="decimal"/>
      <w:lvlRestart w:val="0"/>
      <w:lvlText w:val="%1.%2"/>
      <w:lvlJc w:val="left"/>
      <w:pPr>
        <w:tabs>
          <w:tab w:val="num" w:pos="754"/>
        </w:tabs>
        <w:ind w:left="754" w:hanging="754"/>
      </w:pPr>
      <w:rPr>
        <w:b w:val="0"/>
      </w:rPr>
    </w:lvl>
    <w:lvl w:ilvl="2">
      <w:start w:val="1"/>
      <w:numFmt w:val="decimal"/>
      <w:lvlText w:val="%1.%2.%3"/>
      <w:lvlJc w:val="left"/>
      <w:pPr>
        <w:tabs>
          <w:tab w:val="num" w:pos="357"/>
        </w:tabs>
        <w:ind w:left="357" w:hanging="754"/>
      </w:pPr>
    </w:lvl>
    <w:lvl w:ilvl="3">
      <w:start w:val="1"/>
      <w:numFmt w:val="decimal"/>
      <w:lvlText w:val="%1.%2.%3.%4"/>
      <w:lvlJc w:val="left"/>
      <w:pPr>
        <w:tabs>
          <w:tab w:val="num" w:pos="286"/>
        </w:tabs>
        <w:ind w:left="286" w:hanging="1080"/>
      </w:pPr>
    </w:lvl>
    <w:lvl w:ilvl="4">
      <w:start w:val="1"/>
      <w:numFmt w:val="decimal"/>
      <w:lvlText w:val="%1.%2.%3.%4.%5"/>
      <w:lvlJc w:val="left"/>
      <w:pPr>
        <w:tabs>
          <w:tab w:val="num" w:pos="646"/>
        </w:tabs>
        <w:ind w:left="646" w:hanging="1440"/>
      </w:pPr>
    </w:lvl>
    <w:lvl w:ilvl="5">
      <w:start w:val="1"/>
      <w:numFmt w:val="decimal"/>
      <w:lvlText w:val="%1.%2.%3.%4.%5.%6"/>
      <w:lvlJc w:val="left"/>
      <w:pPr>
        <w:tabs>
          <w:tab w:val="num" w:pos="646"/>
        </w:tabs>
        <w:ind w:left="646" w:hanging="1440"/>
      </w:pPr>
    </w:lvl>
    <w:lvl w:ilvl="6">
      <w:start w:val="1"/>
      <w:numFmt w:val="decimal"/>
      <w:lvlText w:val="%1.%2.%3.%4.%5.%6.%7"/>
      <w:lvlJc w:val="left"/>
      <w:pPr>
        <w:tabs>
          <w:tab w:val="num" w:pos="1006"/>
        </w:tabs>
        <w:ind w:left="1006" w:hanging="1800"/>
      </w:pPr>
    </w:lvl>
    <w:lvl w:ilvl="7">
      <w:start w:val="1"/>
      <w:numFmt w:val="decimal"/>
      <w:lvlText w:val="%1.%2.%3.%4.%5.%6.%7.%8"/>
      <w:lvlJc w:val="left"/>
      <w:pPr>
        <w:tabs>
          <w:tab w:val="num" w:pos="1006"/>
        </w:tabs>
        <w:ind w:left="1006" w:hanging="1800"/>
      </w:pPr>
    </w:lvl>
    <w:lvl w:ilvl="8">
      <w:start w:val="1"/>
      <w:numFmt w:val="decimal"/>
      <w:lvlText w:val="%1.%2.%3.%4.%5.%6.%7.%8.%9"/>
      <w:lvlJc w:val="left"/>
      <w:pPr>
        <w:tabs>
          <w:tab w:val="num" w:pos="1366"/>
        </w:tabs>
        <w:ind w:left="1366" w:hanging="2160"/>
      </w:pPr>
    </w:lvl>
  </w:abstractNum>
  <w:abstractNum w:abstractNumId="59" w15:restartNumberingAfterBreak="0">
    <w:nsid w:val="56A40C1F"/>
    <w:multiLevelType w:val="hybridMultilevel"/>
    <w:tmpl w:val="49300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571B706A"/>
    <w:multiLevelType w:val="multilevel"/>
    <w:tmpl w:val="A9D02AC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1" w15:restartNumberingAfterBreak="0">
    <w:nsid w:val="5B38348E"/>
    <w:multiLevelType w:val="multilevel"/>
    <w:tmpl w:val="58648806"/>
    <w:styleLink w:val="Style11"/>
    <w:lvl w:ilvl="0">
      <w:start w:val="1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15:restartNumberingAfterBreak="0">
    <w:nsid w:val="5BD53FE6"/>
    <w:multiLevelType w:val="hybridMultilevel"/>
    <w:tmpl w:val="4C0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9737C5"/>
    <w:multiLevelType w:val="hybridMultilevel"/>
    <w:tmpl w:val="E7C031E4"/>
    <w:lvl w:ilvl="0" w:tplc="71D8F5BC">
      <w:start w:val="1"/>
      <w:numFmt w:val="bullet"/>
      <w:pStyle w:val="10BulletBodytext"/>
      <w:lvlText w:val=""/>
      <w:lvlJc w:val="left"/>
      <w:pPr>
        <w:ind w:left="1211" w:hanging="360"/>
      </w:pPr>
      <w:rPr>
        <w:rFonts w:ascii="Symbol" w:hAnsi="Symbol" w:hint="default"/>
        <w:color w:val="009DDF"/>
      </w:rPr>
    </w:lvl>
    <w:lvl w:ilvl="1" w:tplc="08090019">
      <w:start w:val="1"/>
      <w:numFmt w:val="bullet"/>
      <w:lvlText w:val="o"/>
      <w:lvlJc w:val="left"/>
      <w:pPr>
        <w:ind w:left="2008" w:hanging="360"/>
      </w:pPr>
      <w:rPr>
        <w:rFonts w:ascii="Courier New" w:hAnsi="Courier New" w:hint="default"/>
      </w:rPr>
    </w:lvl>
    <w:lvl w:ilvl="2" w:tplc="0809001B">
      <w:start w:val="1"/>
      <w:numFmt w:val="bullet"/>
      <w:lvlText w:val=""/>
      <w:lvlJc w:val="left"/>
      <w:pPr>
        <w:ind w:left="2728" w:hanging="360"/>
      </w:pPr>
      <w:rPr>
        <w:rFonts w:ascii="Wingdings" w:hAnsi="Wingdings" w:hint="default"/>
      </w:rPr>
    </w:lvl>
    <w:lvl w:ilvl="3" w:tplc="0809000F">
      <w:start w:val="1"/>
      <w:numFmt w:val="bullet"/>
      <w:lvlText w:val=""/>
      <w:lvlJc w:val="left"/>
      <w:pPr>
        <w:ind w:left="3448" w:hanging="360"/>
      </w:pPr>
      <w:rPr>
        <w:rFonts w:ascii="Symbol" w:hAnsi="Symbol" w:hint="default"/>
      </w:rPr>
    </w:lvl>
    <w:lvl w:ilvl="4" w:tplc="08090019">
      <w:start w:val="1"/>
      <w:numFmt w:val="bullet"/>
      <w:lvlText w:val="o"/>
      <w:lvlJc w:val="left"/>
      <w:pPr>
        <w:ind w:left="4168" w:hanging="360"/>
      </w:pPr>
      <w:rPr>
        <w:rFonts w:ascii="Courier New" w:hAnsi="Courier New" w:hint="default"/>
      </w:rPr>
    </w:lvl>
    <w:lvl w:ilvl="5" w:tplc="0809001B">
      <w:start w:val="1"/>
      <w:numFmt w:val="bullet"/>
      <w:lvlText w:val=""/>
      <w:lvlJc w:val="left"/>
      <w:pPr>
        <w:ind w:left="4888" w:hanging="360"/>
      </w:pPr>
      <w:rPr>
        <w:rFonts w:ascii="Wingdings" w:hAnsi="Wingdings" w:hint="default"/>
      </w:rPr>
    </w:lvl>
    <w:lvl w:ilvl="6" w:tplc="0809000F">
      <w:start w:val="1"/>
      <w:numFmt w:val="bullet"/>
      <w:lvlText w:val=""/>
      <w:lvlJc w:val="left"/>
      <w:pPr>
        <w:ind w:left="5608" w:hanging="360"/>
      </w:pPr>
      <w:rPr>
        <w:rFonts w:ascii="Symbol" w:hAnsi="Symbol" w:hint="default"/>
      </w:rPr>
    </w:lvl>
    <w:lvl w:ilvl="7" w:tplc="08090019">
      <w:start w:val="1"/>
      <w:numFmt w:val="bullet"/>
      <w:lvlText w:val="o"/>
      <w:lvlJc w:val="left"/>
      <w:pPr>
        <w:ind w:left="6328" w:hanging="360"/>
      </w:pPr>
      <w:rPr>
        <w:rFonts w:ascii="Courier New" w:hAnsi="Courier New" w:hint="default"/>
      </w:rPr>
    </w:lvl>
    <w:lvl w:ilvl="8" w:tplc="0809001B">
      <w:start w:val="1"/>
      <w:numFmt w:val="bullet"/>
      <w:lvlText w:val=""/>
      <w:lvlJc w:val="left"/>
      <w:pPr>
        <w:ind w:left="7048" w:hanging="360"/>
      </w:pPr>
      <w:rPr>
        <w:rFonts w:ascii="Wingdings" w:hAnsi="Wingdings" w:hint="default"/>
      </w:rPr>
    </w:lvl>
  </w:abstractNum>
  <w:abstractNum w:abstractNumId="64" w15:restartNumberingAfterBreak="0">
    <w:nsid w:val="612D52F5"/>
    <w:multiLevelType w:val="multilevel"/>
    <w:tmpl w:val="0652E58C"/>
    <w:lvl w:ilvl="0">
      <w:start w:val="1"/>
      <w:numFmt w:val="decimal"/>
      <w:pStyle w:val="ChilmarkHeader1"/>
      <w:lvlText w:val="%1."/>
      <w:lvlJc w:val="left"/>
      <w:pPr>
        <w:tabs>
          <w:tab w:val="num" w:pos="737"/>
        </w:tabs>
        <w:ind w:left="737" w:hanging="737"/>
      </w:pPr>
      <w:rPr>
        <w:rFonts w:ascii="Helvetica Neue" w:hAnsi="Helvetica Neue" w:hint="default"/>
        <w:b/>
        <w:bCs/>
        <w:i w:val="0"/>
        <w:iCs w:val="0"/>
        <w:color w:val="DB004C"/>
        <w:sz w:val="36"/>
        <w:szCs w:val="36"/>
      </w:rPr>
    </w:lvl>
    <w:lvl w:ilvl="1">
      <w:start w:val="1"/>
      <w:numFmt w:val="decimal"/>
      <w:pStyle w:val="ChilmarkNumberedText"/>
      <w:lvlText w:val="%1.%2"/>
      <w:lvlJc w:val="left"/>
      <w:pPr>
        <w:tabs>
          <w:tab w:val="num" w:pos="737"/>
        </w:tabs>
        <w:ind w:left="737" w:hanging="737"/>
      </w:pPr>
      <w:rPr>
        <w:rFonts w:ascii="Helvetica Neue" w:hAnsi="Helvetica Neue" w:hint="default"/>
        <w:b w:val="0"/>
        <w:bCs w:val="0"/>
        <w:i w:val="0"/>
        <w:iCs w:val="0"/>
        <w:color w:val="auto"/>
        <w:sz w:val="22"/>
        <w:szCs w:val="22"/>
      </w:rPr>
    </w:lvl>
    <w:lvl w:ilvl="2">
      <w:start w:val="1"/>
      <w:numFmt w:val="decimal"/>
      <w:isLgl/>
      <w:lvlText w:val="%1.%2.%3"/>
      <w:lvlJc w:val="left"/>
      <w:pPr>
        <w:tabs>
          <w:tab w:val="num" w:pos="737"/>
        </w:tabs>
        <w:ind w:left="737" w:hanging="737"/>
      </w:pPr>
      <w:rPr>
        <w:rFonts w:ascii="Helvetica Neue" w:hAnsi="Helvetica Neue" w:hint="default"/>
      </w:rPr>
    </w:lvl>
    <w:lvl w:ilvl="3">
      <w:start w:val="1"/>
      <w:numFmt w:val="decimal"/>
      <w:isLgl/>
      <w:lvlText w:val="%1.%2.%3.%4"/>
      <w:lvlJc w:val="left"/>
      <w:pPr>
        <w:tabs>
          <w:tab w:val="num" w:pos="737"/>
        </w:tabs>
        <w:ind w:left="737" w:hanging="737"/>
      </w:pPr>
      <w:rPr>
        <w:rFonts w:hint="default"/>
      </w:rPr>
    </w:lvl>
    <w:lvl w:ilvl="4">
      <w:start w:val="1"/>
      <w:numFmt w:val="decimal"/>
      <w:isLgl/>
      <w:lvlText w:val="%1.%2.%3.%4.%5"/>
      <w:lvlJc w:val="left"/>
      <w:pPr>
        <w:tabs>
          <w:tab w:val="num" w:pos="1440"/>
        </w:tabs>
        <w:ind w:left="720" w:hanging="720"/>
      </w:pPr>
      <w:rPr>
        <w:rFonts w:hint="default"/>
      </w:rPr>
    </w:lvl>
    <w:lvl w:ilvl="5">
      <w:start w:val="1"/>
      <w:numFmt w:val="decimal"/>
      <w:isLgl/>
      <w:lvlText w:val="%1.%2.%3.%4.%5.%6"/>
      <w:lvlJc w:val="left"/>
      <w:pPr>
        <w:tabs>
          <w:tab w:val="num" w:pos="1800"/>
        </w:tabs>
        <w:ind w:left="1080" w:hanging="1080"/>
      </w:pPr>
      <w:rPr>
        <w:rFonts w:hint="default"/>
      </w:rPr>
    </w:lvl>
    <w:lvl w:ilvl="6">
      <w:start w:val="1"/>
      <w:numFmt w:val="decimal"/>
      <w:isLgl/>
      <w:lvlText w:val="%1.%2.%3.%4.%5.%6.%7"/>
      <w:lvlJc w:val="left"/>
      <w:pPr>
        <w:tabs>
          <w:tab w:val="num" w:pos="2160"/>
        </w:tabs>
        <w:ind w:left="1080" w:hanging="1080"/>
      </w:pPr>
      <w:rPr>
        <w:rFonts w:hint="default"/>
      </w:rPr>
    </w:lvl>
    <w:lvl w:ilvl="7">
      <w:start w:val="1"/>
      <w:numFmt w:val="decimal"/>
      <w:isLgl/>
      <w:lvlText w:val="%1.%2.%3.%4.%5.%6.%7.%8"/>
      <w:lvlJc w:val="left"/>
      <w:pPr>
        <w:tabs>
          <w:tab w:val="num" w:pos="2520"/>
        </w:tabs>
        <w:ind w:left="1440" w:hanging="1440"/>
      </w:pPr>
      <w:rPr>
        <w:rFonts w:hint="default"/>
      </w:rPr>
    </w:lvl>
    <w:lvl w:ilvl="8">
      <w:start w:val="1"/>
      <w:numFmt w:val="decimal"/>
      <w:isLgl/>
      <w:lvlText w:val="%1.%2.%3.%4.%5.%6.%7.%8.%9"/>
      <w:lvlJc w:val="left"/>
      <w:pPr>
        <w:tabs>
          <w:tab w:val="num" w:pos="2880"/>
        </w:tabs>
        <w:ind w:left="1440" w:hanging="1440"/>
      </w:pPr>
      <w:rPr>
        <w:rFonts w:hint="default"/>
      </w:rPr>
    </w:lvl>
  </w:abstractNum>
  <w:abstractNum w:abstractNumId="65" w15:restartNumberingAfterBreak="0">
    <w:nsid w:val="63A20F58"/>
    <w:multiLevelType w:val="hybridMultilevel"/>
    <w:tmpl w:val="AA4E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3EC1A05"/>
    <w:multiLevelType w:val="multilevel"/>
    <w:tmpl w:val="E99242A2"/>
    <w:styleLink w:val="Style15"/>
    <w:lvl w:ilvl="0">
      <w:start w:val="4"/>
      <w:numFmt w:val="decimal"/>
      <w:lvlText w:val="%1"/>
      <w:lvlJc w:val="left"/>
      <w:pPr>
        <w:tabs>
          <w:tab w:val="num" w:pos="357"/>
        </w:tabs>
        <w:ind w:left="357" w:hanging="754"/>
      </w:pPr>
    </w:lvl>
    <w:lvl w:ilvl="1">
      <w:start w:val="22"/>
      <w:numFmt w:val="decimal"/>
      <w:lvlRestart w:val="0"/>
      <w:lvlText w:val="%1.%2"/>
      <w:lvlJc w:val="left"/>
      <w:pPr>
        <w:tabs>
          <w:tab w:val="num" w:pos="754"/>
        </w:tabs>
        <w:ind w:left="754" w:hanging="754"/>
      </w:pPr>
      <w:rPr>
        <w:b w:val="0"/>
      </w:rPr>
    </w:lvl>
    <w:lvl w:ilvl="2">
      <w:start w:val="1"/>
      <w:numFmt w:val="decimal"/>
      <w:lvlText w:val="%1.%2.%3"/>
      <w:lvlJc w:val="left"/>
      <w:pPr>
        <w:tabs>
          <w:tab w:val="num" w:pos="357"/>
        </w:tabs>
        <w:ind w:left="357" w:hanging="754"/>
      </w:pPr>
    </w:lvl>
    <w:lvl w:ilvl="3">
      <w:start w:val="1"/>
      <w:numFmt w:val="decimal"/>
      <w:lvlText w:val="%1.%2.%3.%4"/>
      <w:lvlJc w:val="left"/>
      <w:pPr>
        <w:tabs>
          <w:tab w:val="num" w:pos="286"/>
        </w:tabs>
        <w:ind w:left="286" w:hanging="1080"/>
      </w:pPr>
    </w:lvl>
    <w:lvl w:ilvl="4">
      <w:start w:val="1"/>
      <w:numFmt w:val="decimal"/>
      <w:lvlText w:val="%1.%2.%3.%4.%5"/>
      <w:lvlJc w:val="left"/>
      <w:pPr>
        <w:tabs>
          <w:tab w:val="num" w:pos="646"/>
        </w:tabs>
        <w:ind w:left="646" w:hanging="1440"/>
      </w:pPr>
    </w:lvl>
    <w:lvl w:ilvl="5">
      <w:start w:val="1"/>
      <w:numFmt w:val="decimal"/>
      <w:lvlText w:val="%1.%2.%3.%4.%5.%6"/>
      <w:lvlJc w:val="left"/>
      <w:pPr>
        <w:tabs>
          <w:tab w:val="num" w:pos="646"/>
        </w:tabs>
        <w:ind w:left="646" w:hanging="1440"/>
      </w:pPr>
    </w:lvl>
    <w:lvl w:ilvl="6">
      <w:start w:val="1"/>
      <w:numFmt w:val="decimal"/>
      <w:lvlText w:val="%1.%2.%3.%4.%5.%6.%7"/>
      <w:lvlJc w:val="left"/>
      <w:pPr>
        <w:tabs>
          <w:tab w:val="num" w:pos="1006"/>
        </w:tabs>
        <w:ind w:left="1006" w:hanging="1800"/>
      </w:pPr>
    </w:lvl>
    <w:lvl w:ilvl="7">
      <w:start w:val="1"/>
      <w:numFmt w:val="decimal"/>
      <w:lvlText w:val="%1.%2.%3.%4.%5.%6.%7.%8"/>
      <w:lvlJc w:val="left"/>
      <w:pPr>
        <w:tabs>
          <w:tab w:val="num" w:pos="1006"/>
        </w:tabs>
        <w:ind w:left="1006" w:hanging="1800"/>
      </w:pPr>
    </w:lvl>
    <w:lvl w:ilvl="8">
      <w:start w:val="1"/>
      <w:numFmt w:val="decimal"/>
      <w:lvlText w:val="%1.%2.%3.%4.%5.%6.%7.%8.%9"/>
      <w:lvlJc w:val="left"/>
      <w:pPr>
        <w:tabs>
          <w:tab w:val="num" w:pos="1366"/>
        </w:tabs>
        <w:ind w:left="1366" w:hanging="2160"/>
      </w:pPr>
    </w:lvl>
  </w:abstractNum>
  <w:abstractNum w:abstractNumId="67" w15:restartNumberingAfterBreak="0">
    <w:nsid w:val="659A027C"/>
    <w:multiLevelType w:val="multilevel"/>
    <w:tmpl w:val="3976E6BA"/>
    <w:lvl w:ilvl="0">
      <w:start w:val="1"/>
      <w:numFmt w:val="decimal"/>
      <w:pStyle w:val="ListNumber"/>
      <w:lvlText w:val="%1."/>
      <w:lvlJc w:val="left"/>
      <w:pPr>
        <w:ind w:left="425" w:hanging="425"/>
      </w:pPr>
      <w:rPr>
        <w:rFonts w:hint="default"/>
        <w:b w:val="0"/>
        <w:i w:val="0"/>
        <w:color w:val="auto"/>
        <w:sz w:val="18"/>
        <w:szCs w:val="18"/>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68" w15:restartNumberingAfterBreak="0">
    <w:nsid w:val="686B16DD"/>
    <w:multiLevelType w:val="hybridMultilevel"/>
    <w:tmpl w:val="859E7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406F07"/>
    <w:multiLevelType w:val="multilevel"/>
    <w:tmpl w:val="D6423374"/>
    <w:lvl w:ilvl="0">
      <w:start w:val="1"/>
      <w:numFmt w:val="lowerRoman"/>
      <w:pStyle w:val="ReportNumberedList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6D675731"/>
    <w:multiLevelType w:val="multilevel"/>
    <w:tmpl w:val="962C9B82"/>
    <w:styleLink w:val="Bulletlistreport"/>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6C09E8"/>
    <w:multiLevelType w:val="multilevel"/>
    <w:tmpl w:val="2FFE73D0"/>
    <w:lvl w:ilvl="0">
      <w:start w:val="6"/>
      <w:numFmt w:val="decimal"/>
      <w:lvlText w:val="%1"/>
      <w:lvlJc w:val="left"/>
      <w:pPr>
        <w:ind w:left="360" w:hanging="360"/>
      </w:pPr>
      <w:rPr>
        <w:rFonts w:hint="default"/>
        <w:color w:val="000000"/>
      </w:rPr>
    </w:lvl>
    <w:lvl w:ilvl="1">
      <w:start w:val="1"/>
      <w:numFmt w:val="decimal"/>
      <w:pStyle w:val="Syle111"/>
      <w:lvlText w:val="1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2" w15:restartNumberingAfterBreak="0">
    <w:nsid w:val="707635BF"/>
    <w:multiLevelType w:val="multilevel"/>
    <w:tmpl w:val="84B238F4"/>
    <w:styleLink w:val="Style10"/>
    <w:lvl w:ilvl="0">
      <w:start w:val="1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15:restartNumberingAfterBreak="0">
    <w:nsid w:val="71E93D52"/>
    <w:multiLevelType w:val="hybridMultilevel"/>
    <w:tmpl w:val="6E66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1FC22A3"/>
    <w:multiLevelType w:val="hybridMultilevel"/>
    <w:tmpl w:val="EB5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3AA0CD0"/>
    <w:multiLevelType w:val="hybridMultilevel"/>
    <w:tmpl w:val="9230ACA6"/>
    <w:lvl w:ilvl="0" w:tplc="0F185B2A">
      <w:start w:val="1"/>
      <w:numFmt w:val="decimal"/>
      <w:pStyle w:val="bigseri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6281F5B"/>
    <w:multiLevelType w:val="multilevel"/>
    <w:tmpl w:val="41408F9A"/>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7" w15:restartNumberingAfterBreak="0">
    <w:nsid w:val="77886782"/>
    <w:multiLevelType w:val="multilevel"/>
    <w:tmpl w:val="304AE64E"/>
    <w:lvl w:ilvl="0">
      <w:start w:val="3"/>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78" w15:restartNumberingAfterBreak="0">
    <w:nsid w:val="78F77AEA"/>
    <w:multiLevelType w:val="multilevel"/>
    <w:tmpl w:val="C84A6460"/>
    <w:lvl w:ilvl="0">
      <w:start w:val="1"/>
      <w:numFmt w:val="decimal"/>
      <w:suff w:val="space"/>
      <w:lvlText w:val="Section %1:"/>
      <w:lvlJc w:val="left"/>
      <w:pPr>
        <w:ind w:left="0" w:firstLine="0"/>
      </w:pPr>
      <w:rPr>
        <w:rFonts w:ascii="Calibri" w:hAnsi="Calibri" w:cs="Tahoma" w:hint="default"/>
        <w:b/>
        <w:i w:val="0"/>
        <w:sz w:val="40"/>
        <w:szCs w:val="40"/>
      </w:rPr>
    </w:lvl>
    <w:lvl w:ilvl="1">
      <w:start w:val="1"/>
      <w:numFmt w:val="decimal"/>
      <w:pStyle w:val="smallserial"/>
      <w:lvlText w:val="%2."/>
      <w:lvlJc w:val="left"/>
      <w:pPr>
        <w:tabs>
          <w:tab w:val="num" w:pos="57"/>
        </w:tabs>
        <w:ind w:left="363" w:hanging="363"/>
      </w:pPr>
      <w:rPr>
        <w:rFonts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vertAlign w:val="superscript"/>
        <w:em w:val="none"/>
      </w:rPr>
    </w:lvl>
    <w:lvl w:ilvl="2">
      <w:start w:val="1"/>
      <w:numFmt w:val="decimal"/>
      <w:lvlText w:val="%1.%2.%3"/>
      <w:lvlJc w:val="left"/>
      <w:pPr>
        <w:tabs>
          <w:tab w:val="num" w:pos="360"/>
        </w:tabs>
        <w:ind w:left="284" w:firstLine="0"/>
      </w:pPr>
      <w:rPr>
        <w:rFonts w:hint="default"/>
      </w:rPr>
    </w:lvl>
    <w:lvl w:ilvl="3">
      <w:start w:val="1"/>
      <w:numFmt w:val="decimal"/>
      <w:lvlText w:val="%1.%2.%3.%4."/>
      <w:lvlJc w:val="left"/>
      <w:pPr>
        <w:tabs>
          <w:tab w:val="num" w:pos="360"/>
        </w:tabs>
        <w:ind w:left="284" w:firstLine="0"/>
      </w:pPr>
      <w:rPr>
        <w:rFonts w:hint="default"/>
      </w:rPr>
    </w:lvl>
    <w:lvl w:ilvl="4">
      <w:start w:val="1"/>
      <w:numFmt w:val="decimal"/>
      <w:lvlText w:val="%1.%2.%3.%4.%5."/>
      <w:lvlJc w:val="left"/>
      <w:pPr>
        <w:tabs>
          <w:tab w:val="num" w:pos="360"/>
        </w:tabs>
        <w:ind w:left="284" w:firstLine="0"/>
      </w:pPr>
      <w:rPr>
        <w:rFonts w:hint="default"/>
      </w:rPr>
    </w:lvl>
    <w:lvl w:ilvl="5">
      <w:start w:val="1"/>
      <w:numFmt w:val="decimal"/>
      <w:lvlText w:val="%1.%2.%3.%4.%5.%6."/>
      <w:lvlJc w:val="left"/>
      <w:pPr>
        <w:tabs>
          <w:tab w:val="num" w:pos="360"/>
        </w:tabs>
        <w:ind w:left="284" w:firstLine="0"/>
      </w:pPr>
      <w:rPr>
        <w:rFonts w:hint="default"/>
      </w:rPr>
    </w:lvl>
    <w:lvl w:ilvl="6">
      <w:start w:val="1"/>
      <w:numFmt w:val="decimal"/>
      <w:lvlText w:val="%1.%2.%3.%4.%5.%6.%7."/>
      <w:lvlJc w:val="left"/>
      <w:pPr>
        <w:tabs>
          <w:tab w:val="num" w:pos="360"/>
        </w:tabs>
        <w:ind w:left="284" w:firstLine="0"/>
      </w:pPr>
      <w:rPr>
        <w:rFonts w:hint="default"/>
      </w:rPr>
    </w:lvl>
    <w:lvl w:ilvl="7">
      <w:start w:val="1"/>
      <w:numFmt w:val="decimal"/>
      <w:lvlText w:val="%1.%2.%3.%4.%5.%6.%7.%8."/>
      <w:lvlJc w:val="left"/>
      <w:pPr>
        <w:tabs>
          <w:tab w:val="num" w:pos="360"/>
        </w:tabs>
        <w:ind w:left="284" w:firstLine="0"/>
      </w:pPr>
      <w:rPr>
        <w:rFonts w:hint="default"/>
      </w:rPr>
    </w:lvl>
    <w:lvl w:ilvl="8">
      <w:start w:val="1"/>
      <w:numFmt w:val="decimal"/>
      <w:lvlText w:val="%1.%2.%3.%4.%5.%6.%7.%8.%9."/>
      <w:lvlJc w:val="left"/>
      <w:pPr>
        <w:tabs>
          <w:tab w:val="num" w:pos="360"/>
        </w:tabs>
        <w:ind w:left="284" w:firstLine="0"/>
      </w:pPr>
      <w:rPr>
        <w:rFonts w:hint="default"/>
      </w:rPr>
    </w:lvl>
  </w:abstractNum>
  <w:abstractNum w:abstractNumId="79" w15:restartNumberingAfterBreak="0">
    <w:nsid w:val="7A92179A"/>
    <w:multiLevelType w:val="multilevel"/>
    <w:tmpl w:val="AB5C7E6A"/>
    <w:lvl w:ilvl="0">
      <w:start w:val="1"/>
      <w:numFmt w:val="decimal"/>
      <w:lvlText w:val="%1"/>
      <w:lvlJc w:val="left"/>
      <w:pPr>
        <w:tabs>
          <w:tab w:val="num" w:pos="720"/>
        </w:tabs>
        <w:ind w:left="720" w:hanging="720"/>
      </w:pPr>
      <w:rPr>
        <w:rFonts w:hint="default"/>
      </w:rPr>
    </w:lvl>
    <w:lvl w:ilvl="1">
      <w:start w:val="1"/>
      <w:numFmt w:val="decimal"/>
      <w:lvlRestart w:val="0"/>
      <w:pStyle w:val="Reporttext0"/>
      <w:lvlText w:val="%1.%2"/>
      <w:lvlJc w:val="left"/>
      <w:pPr>
        <w:tabs>
          <w:tab w:val="num" w:pos="720"/>
        </w:tabs>
        <w:ind w:left="720" w:hanging="720"/>
      </w:pPr>
      <w:rPr>
        <w:rFonts w:cs="Times New Roman" w:hint="default"/>
        <w:b w:val="0"/>
        <w:bCs w:val="0"/>
        <w:i w:val="0"/>
        <w:iCs w:val="0"/>
        <w:caps w:val="0"/>
        <w:smallCaps w:val="0"/>
        <w:strike w:val="0"/>
        <w:dstrike w:val="0"/>
        <w:vanish w:val="0"/>
        <w:color w:val="000000"/>
        <w:spacing w:val="0"/>
        <w:position w:val="0"/>
        <w:u w:val="none"/>
        <w:vertAlign w:val="baseline"/>
        <w:em w:val="none"/>
      </w:rPr>
    </w:lvl>
    <w:lvl w:ilvl="2">
      <w:start w:val="1"/>
      <w:numFmt w:val="decimal"/>
      <w:lvlText w:val="%1.%2.%3"/>
      <w:lvlJc w:val="left"/>
      <w:pPr>
        <w:tabs>
          <w:tab w:val="num" w:pos="754"/>
        </w:tabs>
        <w:ind w:left="754" w:hanging="754"/>
      </w:pPr>
      <w:rPr>
        <w:rFonts w:hint="default"/>
      </w:rPr>
    </w:lvl>
    <w:lvl w:ilvl="3">
      <w:start w:val="1"/>
      <w:numFmt w:val="decimal"/>
      <w:lvlText w:val="%1.%2.%3.%4"/>
      <w:lvlJc w:val="left"/>
      <w:pPr>
        <w:tabs>
          <w:tab w:val="num" w:pos="683"/>
        </w:tabs>
        <w:ind w:left="683" w:hanging="1080"/>
      </w:pPr>
      <w:rPr>
        <w:rFonts w:hint="default"/>
      </w:rPr>
    </w:lvl>
    <w:lvl w:ilvl="4">
      <w:start w:val="1"/>
      <w:numFmt w:val="decimal"/>
      <w:lvlText w:val="%1.%2.%3.%4.%5"/>
      <w:lvlJc w:val="left"/>
      <w:pPr>
        <w:tabs>
          <w:tab w:val="num" w:pos="1043"/>
        </w:tabs>
        <w:ind w:left="1043" w:hanging="1440"/>
      </w:pPr>
      <w:rPr>
        <w:rFonts w:hint="default"/>
      </w:rPr>
    </w:lvl>
    <w:lvl w:ilvl="5">
      <w:start w:val="1"/>
      <w:numFmt w:val="decimal"/>
      <w:lvlText w:val="%1.%2.%3.%4.%5.%6"/>
      <w:lvlJc w:val="left"/>
      <w:pPr>
        <w:tabs>
          <w:tab w:val="num" w:pos="1043"/>
        </w:tabs>
        <w:ind w:left="1043" w:hanging="1440"/>
      </w:pPr>
      <w:rPr>
        <w:rFonts w:hint="default"/>
      </w:rPr>
    </w:lvl>
    <w:lvl w:ilvl="6">
      <w:start w:val="1"/>
      <w:numFmt w:val="decimal"/>
      <w:lvlText w:val="%1.%2.%3.%4.%5.%6.%7"/>
      <w:lvlJc w:val="left"/>
      <w:pPr>
        <w:tabs>
          <w:tab w:val="num" w:pos="1403"/>
        </w:tabs>
        <w:ind w:left="1403" w:hanging="1800"/>
      </w:pPr>
      <w:rPr>
        <w:rFonts w:hint="default"/>
      </w:rPr>
    </w:lvl>
    <w:lvl w:ilvl="7">
      <w:start w:val="1"/>
      <w:numFmt w:val="decimal"/>
      <w:lvlText w:val="%1.%2.%3.%4.%5.%6.%7.%8"/>
      <w:lvlJc w:val="left"/>
      <w:pPr>
        <w:tabs>
          <w:tab w:val="num" w:pos="1403"/>
        </w:tabs>
        <w:ind w:left="1403" w:hanging="1800"/>
      </w:pPr>
      <w:rPr>
        <w:rFonts w:hint="default"/>
      </w:rPr>
    </w:lvl>
    <w:lvl w:ilvl="8">
      <w:start w:val="1"/>
      <w:numFmt w:val="decimal"/>
      <w:lvlText w:val="%1.%2.%3.%4.%5.%6.%7.%8.%9"/>
      <w:lvlJc w:val="left"/>
      <w:pPr>
        <w:tabs>
          <w:tab w:val="num" w:pos="1763"/>
        </w:tabs>
        <w:ind w:left="1763" w:hanging="2160"/>
      </w:pPr>
      <w:rPr>
        <w:rFonts w:hint="default"/>
      </w:rPr>
    </w:lvl>
  </w:abstractNum>
  <w:abstractNum w:abstractNumId="80" w15:restartNumberingAfterBreak="0">
    <w:nsid w:val="7AB96F0D"/>
    <w:multiLevelType w:val="multilevel"/>
    <w:tmpl w:val="744630D6"/>
    <w:lvl w:ilvl="0">
      <w:start w:val="1"/>
      <w:numFmt w:val="bullet"/>
      <w:pStyle w:val="Bulletblackplain"/>
      <w:lvlText w:val=""/>
      <w:lvlJc w:val="left"/>
      <w:pPr>
        <w:tabs>
          <w:tab w:val="num" w:pos="794"/>
        </w:tabs>
        <w:ind w:left="1077" w:hanging="283"/>
      </w:pPr>
      <w:rPr>
        <w:rFonts w:ascii="Symbol" w:hAnsi="Symbol" w:hint="default"/>
      </w:rPr>
    </w:lvl>
    <w:lvl w:ilvl="1">
      <w:start w:val="1"/>
      <w:numFmt w:val="bullet"/>
      <w:lvlText w:val="o"/>
      <w:lvlJc w:val="left"/>
      <w:pPr>
        <w:tabs>
          <w:tab w:val="num" w:pos="1078"/>
        </w:tabs>
        <w:ind w:left="1361" w:hanging="283"/>
      </w:pPr>
      <w:rPr>
        <w:rFonts w:ascii="Courier New" w:hAnsi="Courier New" w:hint="default"/>
      </w:rPr>
    </w:lvl>
    <w:lvl w:ilvl="2">
      <w:start w:val="1"/>
      <w:numFmt w:val="bullet"/>
      <w:lvlText w:val=""/>
      <w:lvlJc w:val="left"/>
      <w:pPr>
        <w:tabs>
          <w:tab w:val="num" w:pos="1362"/>
        </w:tabs>
        <w:ind w:left="1645" w:hanging="283"/>
      </w:pPr>
      <w:rPr>
        <w:rFonts w:ascii="Wingdings" w:hAnsi="Wingdings" w:hint="default"/>
      </w:rPr>
    </w:lvl>
    <w:lvl w:ilvl="3">
      <w:start w:val="1"/>
      <w:numFmt w:val="bullet"/>
      <w:lvlText w:val=""/>
      <w:lvlJc w:val="left"/>
      <w:pPr>
        <w:tabs>
          <w:tab w:val="num" w:pos="1646"/>
        </w:tabs>
        <w:ind w:left="1929" w:hanging="283"/>
      </w:pPr>
      <w:rPr>
        <w:rFonts w:ascii="Symbol" w:hAnsi="Symbol" w:hint="default"/>
      </w:rPr>
    </w:lvl>
    <w:lvl w:ilvl="4">
      <w:start w:val="1"/>
      <w:numFmt w:val="bullet"/>
      <w:lvlText w:val="o"/>
      <w:lvlJc w:val="left"/>
      <w:pPr>
        <w:tabs>
          <w:tab w:val="num" w:pos="1930"/>
        </w:tabs>
        <w:ind w:left="2213" w:hanging="283"/>
      </w:pPr>
      <w:rPr>
        <w:rFonts w:ascii="Courier New" w:hAnsi="Courier New" w:hint="default"/>
      </w:rPr>
    </w:lvl>
    <w:lvl w:ilvl="5">
      <w:start w:val="1"/>
      <w:numFmt w:val="bullet"/>
      <w:lvlText w:val=""/>
      <w:lvlJc w:val="left"/>
      <w:pPr>
        <w:tabs>
          <w:tab w:val="num" w:pos="2214"/>
        </w:tabs>
        <w:ind w:left="2497" w:hanging="283"/>
      </w:pPr>
      <w:rPr>
        <w:rFonts w:ascii="Wingdings" w:hAnsi="Wingdings" w:hint="default"/>
      </w:rPr>
    </w:lvl>
    <w:lvl w:ilvl="6">
      <w:start w:val="1"/>
      <w:numFmt w:val="bullet"/>
      <w:lvlText w:val=""/>
      <w:lvlJc w:val="left"/>
      <w:pPr>
        <w:tabs>
          <w:tab w:val="num" w:pos="2498"/>
        </w:tabs>
        <w:ind w:left="2781" w:hanging="283"/>
      </w:pPr>
      <w:rPr>
        <w:rFonts w:ascii="Symbol" w:hAnsi="Symbol" w:hint="default"/>
      </w:rPr>
    </w:lvl>
    <w:lvl w:ilvl="7">
      <w:start w:val="1"/>
      <w:numFmt w:val="bullet"/>
      <w:lvlText w:val="o"/>
      <w:lvlJc w:val="left"/>
      <w:pPr>
        <w:tabs>
          <w:tab w:val="num" w:pos="2782"/>
        </w:tabs>
        <w:ind w:left="3065" w:hanging="283"/>
      </w:pPr>
      <w:rPr>
        <w:rFonts w:ascii="Courier New" w:hAnsi="Courier New" w:hint="default"/>
      </w:rPr>
    </w:lvl>
    <w:lvl w:ilvl="8">
      <w:start w:val="1"/>
      <w:numFmt w:val="bullet"/>
      <w:lvlText w:val=""/>
      <w:lvlJc w:val="left"/>
      <w:pPr>
        <w:tabs>
          <w:tab w:val="num" w:pos="3066"/>
        </w:tabs>
        <w:ind w:left="3349" w:hanging="283"/>
      </w:pPr>
      <w:rPr>
        <w:rFonts w:ascii="Wingdings" w:hAnsi="Wingdings" w:hint="default"/>
      </w:rPr>
    </w:lvl>
  </w:abstractNum>
  <w:abstractNum w:abstractNumId="81" w15:restartNumberingAfterBreak="0">
    <w:nsid w:val="7E030F04"/>
    <w:multiLevelType w:val="hybridMultilevel"/>
    <w:tmpl w:val="620241FA"/>
    <w:lvl w:ilvl="0" w:tplc="C498B1FC">
      <w:start w:val="1"/>
      <w:numFmt w:val="bullet"/>
      <w:pStyle w:val="Numbered"/>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EFD1333"/>
    <w:multiLevelType w:val="multilevel"/>
    <w:tmpl w:val="2B1C45BC"/>
    <w:lvl w:ilvl="0">
      <w:start w:val="1"/>
      <w:numFmt w:val="decimal"/>
      <w:pStyle w:val="F8MainHeading"/>
      <w:isLgl/>
      <w:lvlText w:val="%1"/>
      <w:lvlJc w:val="left"/>
      <w:pPr>
        <w:tabs>
          <w:tab w:val="num" w:pos="576"/>
        </w:tabs>
        <w:ind w:left="576" w:hanging="576"/>
      </w:pPr>
      <w:rPr>
        <w:rFonts w:ascii="Dax-Medium" w:hAnsi="Dax-Medium" w:cs="Times New Roman" w:hint="default"/>
        <w:b/>
        <w:i w:val="0"/>
        <w:caps w:val="0"/>
        <w:color w:val="0000FF"/>
        <w:sz w:val="32"/>
      </w:rPr>
    </w:lvl>
    <w:lvl w:ilvl="1">
      <w:start w:val="1"/>
      <w:numFmt w:val="decimal"/>
      <w:isLgl/>
      <w:lvlText w:val="%2.%1"/>
      <w:lvlJc w:val="left"/>
      <w:pPr>
        <w:tabs>
          <w:tab w:val="num" w:pos="1080"/>
        </w:tabs>
        <w:ind w:left="720" w:hanging="360"/>
      </w:pPr>
      <w:rPr>
        <w:rFonts w:ascii="Verdana" w:hAnsi="Verdana" w:cs="Times New Roman" w:hint="default"/>
        <w:b w:val="0"/>
        <w:i w:val="0"/>
        <w:color w:val="0000FF"/>
        <w:sz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79"/>
  </w:num>
  <w:num w:numId="3">
    <w:abstractNumId w:val="78"/>
  </w:num>
  <w:num w:numId="4">
    <w:abstractNumId w:val="81"/>
  </w:num>
  <w:num w:numId="5">
    <w:abstractNumId w:val="7"/>
  </w:num>
  <w:num w:numId="6">
    <w:abstractNumId w:val="20"/>
  </w:num>
  <w:num w:numId="7">
    <w:abstractNumId w:val="6"/>
  </w:num>
  <w:num w:numId="8">
    <w:abstractNumId w:val="18"/>
  </w:num>
  <w:num w:numId="9">
    <w:abstractNumId w:val="31"/>
  </w:num>
  <w:num w:numId="10">
    <w:abstractNumId w:val="54"/>
  </w:num>
  <w:num w:numId="11">
    <w:abstractNumId w:val="4"/>
  </w:num>
  <w:num w:numId="12">
    <w:abstractNumId w:val="43"/>
  </w:num>
  <w:num w:numId="13">
    <w:abstractNumId w:val="80"/>
  </w:num>
  <w:num w:numId="14">
    <w:abstractNumId w:val="28"/>
  </w:num>
  <w:num w:numId="15">
    <w:abstractNumId w:val="35"/>
  </w:num>
  <w:num w:numId="16">
    <w:abstractNumId w:val="69"/>
  </w:num>
  <w:num w:numId="17">
    <w:abstractNumId w:val="33"/>
  </w:num>
  <w:num w:numId="18">
    <w:abstractNumId w:val="63"/>
  </w:num>
  <w:num w:numId="19">
    <w:abstractNumId w:val="32"/>
  </w:num>
  <w:num w:numId="20">
    <w:abstractNumId w:val="19"/>
  </w:num>
  <w:num w:numId="21">
    <w:abstractNumId w:val="39"/>
  </w:num>
  <w:num w:numId="22">
    <w:abstractNumId w:val="75"/>
  </w:num>
  <w:num w:numId="23">
    <w:abstractNumId w:val="48"/>
  </w:num>
  <w:num w:numId="24">
    <w:abstractNumId w:val="13"/>
  </w:num>
  <w:num w:numId="25">
    <w:abstractNumId w:val="71"/>
  </w:num>
  <w:num w:numId="26">
    <w:abstractNumId w:val="17"/>
  </w:num>
  <w:num w:numId="27">
    <w:abstractNumId w:val="1"/>
  </w:num>
  <w:num w:numId="28">
    <w:abstractNumId w:val="0"/>
  </w:num>
  <w:num w:numId="29">
    <w:abstractNumId w:val="67"/>
  </w:num>
  <w:num w:numId="30">
    <w:abstractNumId w:val="45"/>
  </w:num>
  <w:num w:numId="31">
    <w:abstractNumId w:val="68"/>
  </w:num>
  <w:num w:numId="32">
    <w:abstractNumId w:val="60"/>
  </w:num>
  <w:num w:numId="33">
    <w:abstractNumId w:val="55"/>
  </w:num>
  <w:num w:numId="34">
    <w:abstractNumId w:val="64"/>
  </w:num>
  <w:num w:numId="35">
    <w:abstractNumId w:val="38"/>
  </w:num>
  <w:num w:numId="36">
    <w:abstractNumId w:val="49"/>
  </w:num>
  <w:num w:numId="37">
    <w:abstractNumId w:val="25"/>
  </w:num>
  <w:num w:numId="38">
    <w:abstractNumId w:val="5"/>
  </w:num>
  <w:num w:numId="39">
    <w:abstractNumId w:val="51"/>
  </w:num>
  <w:num w:numId="40">
    <w:abstractNumId w:val="37"/>
  </w:num>
  <w:num w:numId="41">
    <w:abstractNumId w:val="8"/>
  </w:num>
  <w:num w:numId="42">
    <w:abstractNumId w:val="50"/>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82"/>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44"/>
  </w:num>
  <w:num w:numId="47">
    <w:abstractNumId w:val="34"/>
  </w:num>
  <w:num w:numId="48">
    <w:abstractNumId w:val="3"/>
  </w:num>
  <w:num w:numId="49">
    <w:abstractNumId w:val="10"/>
  </w:num>
  <w:num w:numId="50">
    <w:abstractNumId w:val="15"/>
  </w:num>
  <w:num w:numId="51">
    <w:abstractNumId w:val="21"/>
  </w:num>
  <w:num w:numId="52">
    <w:abstractNumId w:val="24"/>
  </w:num>
  <w:num w:numId="53">
    <w:abstractNumId w:val="30"/>
  </w:num>
  <w:num w:numId="54">
    <w:abstractNumId w:val="36"/>
  </w:num>
  <w:num w:numId="55">
    <w:abstractNumId w:val="42"/>
  </w:num>
  <w:num w:numId="56">
    <w:abstractNumId w:val="46"/>
  </w:num>
  <w:num w:numId="57">
    <w:abstractNumId w:val="52"/>
  </w:num>
  <w:num w:numId="58">
    <w:abstractNumId w:val="56"/>
  </w:num>
  <w:num w:numId="59">
    <w:abstractNumId w:val="57"/>
  </w:num>
  <w:num w:numId="60">
    <w:abstractNumId w:val="58"/>
  </w:num>
  <w:num w:numId="61">
    <w:abstractNumId w:val="61"/>
  </w:num>
  <w:num w:numId="62">
    <w:abstractNumId w:val="66"/>
  </w:num>
  <w:num w:numId="63">
    <w:abstractNumId w:val="70"/>
  </w:num>
  <w:num w:numId="64">
    <w:abstractNumId w:val="72"/>
  </w:num>
  <w:num w:numId="65">
    <w:abstractNumId w:val="76"/>
  </w:num>
  <w:num w:numId="66">
    <w:abstractNumId w:val="65"/>
  </w:num>
  <w:num w:numId="67">
    <w:abstractNumId w:val="2"/>
  </w:num>
  <w:num w:numId="68">
    <w:abstractNumId w:val="47"/>
  </w:num>
  <w:num w:numId="69">
    <w:abstractNumId w:val="11"/>
  </w:num>
  <w:num w:numId="70">
    <w:abstractNumId w:val="73"/>
  </w:num>
  <w:num w:numId="71">
    <w:abstractNumId w:val="9"/>
  </w:num>
  <w:num w:numId="72">
    <w:abstractNumId w:val="23"/>
  </w:num>
  <w:num w:numId="73">
    <w:abstractNumId w:val="26"/>
  </w:num>
  <w:num w:numId="74">
    <w:abstractNumId w:val="59"/>
  </w:num>
  <w:num w:numId="75">
    <w:abstractNumId w:val="53"/>
  </w:num>
  <w:num w:numId="76">
    <w:abstractNumId w:val="77"/>
  </w:num>
  <w:num w:numId="77">
    <w:abstractNumId w:val="22"/>
  </w:num>
  <w:num w:numId="78">
    <w:abstractNumId w:val="29"/>
  </w:num>
  <w:num w:numId="79">
    <w:abstractNumId w:val="14"/>
  </w:num>
  <w:num w:numId="80">
    <w:abstractNumId w:val="40"/>
  </w:num>
  <w:num w:numId="81">
    <w:abstractNumId w:val="74"/>
  </w:num>
  <w:num w:numId="82">
    <w:abstractNumId w:val="41"/>
  </w:num>
  <w:num w:numId="83">
    <w:abstractNumId w:val="6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7C"/>
    <w:rsid w:val="00000319"/>
    <w:rsid w:val="0000090E"/>
    <w:rsid w:val="000029CC"/>
    <w:rsid w:val="00003D5F"/>
    <w:rsid w:val="000041C1"/>
    <w:rsid w:val="00005063"/>
    <w:rsid w:val="0000539C"/>
    <w:rsid w:val="00005986"/>
    <w:rsid w:val="00005AD3"/>
    <w:rsid w:val="00005FD4"/>
    <w:rsid w:val="00006267"/>
    <w:rsid w:val="000079FA"/>
    <w:rsid w:val="000119BB"/>
    <w:rsid w:val="00011BA9"/>
    <w:rsid w:val="0001341F"/>
    <w:rsid w:val="0001380B"/>
    <w:rsid w:val="00013929"/>
    <w:rsid w:val="000139BC"/>
    <w:rsid w:val="000140F6"/>
    <w:rsid w:val="0001419D"/>
    <w:rsid w:val="00015207"/>
    <w:rsid w:val="00015403"/>
    <w:rsid w:val="000154F2"/>
    <w:rsid w:val="00015E28"/>
    <w:rsid w:val="00015EB5"/>
    <w:rsid w:val="0001631E"/>
    <w:rsid w:val="000167BB"/>
    <w:rsid w:val="00016A84"/>
    <w:rsid w:val="00016E73"/>
    <w:rsid w:val="0001702F"/>
    <w:rsid w:val="0002058D"/>
    <w:rsid w:val="0002101C"/>
    <w:rsid w:val="00021620"/>
    <w:rsid w:val="0002186A"/>
    <w:rsid w:val="00022535"/>
    <w:rsid w:val="0002262D"/>
    <w:rsid w:val="000230D0"/>
    <w:rsid w:val="00024299"/>
    <w:rsid w:val="00024399"/>
    <w:rsid w:val="00024687"/>
    <w:rsid w:val="000247C9"/>
    <w:rsid w:val="00025310"/>
    <w:rsid w:val="000253BA"/>
    <w:rsid w:val="00025879"/>
    <w:rsid w:val="000261DD"/>
    <w:rsid w:val="000264CC"/>
    <w:rsid w:val="000265C1"/>
    <w:rsid w:val="00026D73"/>
    <w:rsid w:val="00026D9D"/>
    <w:rsid w:val="000302D8"/>
    <w:rsid w:val="00030918"/>
    <w:rsid w:val="00030B64"/>
    <w:rsid w:val="00031074"/>
    <w:rsid w:val="000310AB"/>
    <w:rsid w:val="0003145B"/>
    <w:rsid w:val="00031668"/>
    <w:rsid w:val="0003185B"/>
    <w:rsid w:val="00031B0F"/>
    <w:rsid w:val="00031DA2"/>
    <w:rsid w:val="000329E8"/>
    <w:rsid w:val="00032A59"/>
    <w:rsid w:val="00032DA6"/>
    <w:rsid w:val="00033C62"/>
    <w:rsid w:val="00033D94"/>
    <w:rsid w:val="00033ECE"/>
    <w:rsid w:val="000342B9"/>
    <w:rsid w:val="00034655"/>
    <w:rsid w:val="000347D2"/>
    <w:rsid w:val="000354C5"/>
    <w:rsid w:val="00037BE1"/>
    <w:rsid w:val="00037CED"/>
    <w:rsid w:val="00037E99"/>
    <w:rsid w:val="00040D25"/>
    <w:rsid w:val="000412BF"/>
    <w:rsid w:val="00041566"/>
    <w:rsid w:val="000418D0"/>
    <w:rsid w:val="00041B21"/>
    <w:rsid w:val="00041EB7"/>
    <w:rsid w:val="00042B9B"/>
    <w:rsid w:val="00043AEC"/>
    <w:rsid w:val="00043D5A"/>
    <w:rsid w:val="00044241"/>
    <w:rsid w:val="000443C4"/>
    <w:rsid w:val="00044928"/>
    <w:rsid w:val="00046635"/>
    <w:rsid w:val="00046DE7"/>
    <w:rsid w:val="00047257"/>
    <w:rsid w:val="000479D0"/>
    <w:rsid w:val="00047A51"/>
    <w:rsid w:val="00047E0B"/>
    <w:rsid w:val="00050922"/>
    <w:rsid w:val="0005098F"/>
    <w:rsid w:val="000518CB"/>
    <w:rsid w:val="000519AB"/>
    <w:rsid w:val="00051A44"/>
    <w:rsid w:val="0005294F"/>
    <w:rsid w:val="000529BB"/>
    <w:rsid w:val="00052AA2"/>
    <w:rsid w:val="00054403"/>
    <w:rsid w:val="0005452D"/>
    <w:rsid w:val="00054588"/>
    <w:rsid w:val="0005490F"/>
    <w:rsid w:val="0005553D"/>
    <w:rsid w:val="0005589C"/>
    <w:rsid w:val="000558EE"/>
    <w:rsid w:val="00055D1E"/>
    <w:rsid w:val="0005681F"/>
    <w:rsid w:val="00056935"/>
    <w:rsid w:val="00056A08"/>
    <w:rsid w:val="00056B52"/>
    <w:rsid w:val="00056B7D"/>
    <w:rsid w:val="000571AA"/>
    <w:rsid w:val="000573BE"/>
    <w:rsid w:val="00060393"/>
    <w:rsid w:val="00060A62"/>
    <w:rsid w:val="00060B6C"/>
    <w:rsid w:val="0006145C"/>
    <w:rsid w:val="00061791"/>
    <w:rsid w:val="0006196C"/>
    <w:rsid w:val="00061A05"/>
    <w:rsid w:val="00061B7E"/>
    <w:rsid w:val="00061D9E"/>
    <w:rsid w:val="0006272C"/>
    <w:rsid w:val="000629AE"/>
    <w:rsid w:val="0006331C"/>
    <w:rsid w:val="00063383"/>
    <w:rsid w:val="00064379"/>
    <w:rsid w:val="00064455"/>
    <w:rsid w:val="00064465"/>
    <w:rsid w:val="00064AA9"/>
    <w:rsid w:val="00064E5F"/>
    <w:rsid w:val="00065487"/>
    <w:rsid w:val="00065E40"/>
    <w:rsid w:val="00066C74"/>
    <w:rsid w:val="00067904"/>
    <w:rsid w:val="0007167E"/>
    <w:rsid w:val="000716B8"/>
    <w:rsid w:val="00071866"/>
    <w:rsid w:val="000719E8"/>
    <w:rsid w:val="00071DA1"/>
    <w:rsid w:val="0007207F"/>
    <w:rsid w:val="000721E6"/>
    <w:rsid w:val="00072372"/>
    <w:rsid w:val="000723CA"/>
    <w:rsid w:val="0007241E"/>
    <w:rsid w:val="0007262E"/>
    <w:rsid w:val="000728D0"/>
    <w:rsid w:val="00073187"/>
    <w:rsid w:val="00073924"/>
    <w:rsid w:val="0007446E"/>
    <w:rsid w:val="00074756"/>
    <w:rsid w:val="0007496E"/>
    <w:rsid w:val="00074A16"/>
    <w:rsid w:val="000757DE"/>
    <w:rsid w:val="000762CA"/>
    <w:rsid w:val="000767A1"/>
    <w:rsid w:val="000777C6"/>
    <w:rsid w:val="00080005"/>
    <w:rsid w:val="00080099"/>
    <w:rsid w:val="00080852"/>
    <w:rsid w:val="000809A5"/>
    <w:rsid w:val="00080C0D"/>
    <w:rsid w:val="00080F5F"/>
    <w:rsid w:val="0008193D"/>
    <w:rsid w:val="0008266A"/>
    <w:rsid w:val="0008323F"/>
    <w:rsid w:val="00083E1A"/>
    <w:rsid w:val="00083FA4"/>
    <w:rsid w:val="000844DF"/>
    <w:rsid w:val="000847E1"/>
    <w:rsid w:val="00084905"/>
    <w:rsid w:val="00084E08"/>
    <w:rsid w:val="000864F8"/>
    <w:rsid w:val="00086CA7"/>
    <w:rsid w:val="000872C7"/>
    <w:rsid w:val="000872F3"/>
    <w:rsid w:val="0009074E"/>
    <w:rsid w:val="000912FC"/>
    <w:rsid w:val="00091AFE"/>
    <w:rsid w:val="0009247C"/>
    <w:rsid w:val="0009267A"/>
    <w:rsid w:val="00092959"/>
    <w:rsid w:val="00093B75"/>
    <w:rsid w:val="00093F6A"/>
    <w:rsid w:val="0009538B"/>
    <w:rsid w:val="000966C0"/>
    <w:rsid w:val="00096CBF"/>
    <w:rsid w:val="00097C02"/>
    <w:rsid w:val="000A1337"/>
    <w:rsid w:val="000A16D3"/>
    <w:rsid w:val="000A24DC"/>
    <w:rsid w:val="000A2E88"/>
    <w:rsid w:val="000A4507"/>
    <w:rsid w:val="000A51DB"/>
    <w:rsid w:val="000A5357"/>
    <w:rsid w:val="000A554A"/>
    <w:rsid w:val="000A57A9"/>
    <w:rsid w:val="000A78FB"/>
    <w:rsid w:val="000B0B05"/>
    <w:rsid w:val="000B1108"/>
    <w:rsid w:val="000B18AA"/>
    <w:rsid w:val="000B1A84"/>
    <w:rsid w:val="000B1CAE"/>
    <w:rsid w:val="000B1D8F"/>
    <w:rsid w:val="000B1DA8"/>
    <w:rsid w:val="000B1EDF"/>
    <w:rsid w:val="000B2283"/>
    <w:rsid w:val="000B2AD3"/>
    <w:rsid w:val="000B2B09"/>
    <w:rsid w:val="000B337E"/>
    <w:rsid w:val="000B36A3"/>
    <w:rsid w:val="000B4E94"/>
    <w:rsid w:val="000B5ED6"/>
    <w:rsid w:val="000B601D"/>
    <w:rsid w:val="000B70E0"/>
    <w:rsid w:val="000B7164"/>
    <w:rsid w:val="000B7D9A"/>
    <w:rsid w:val="000C0474"/>
    <w:rsid w:val="000C053E"/>
    <w:rsid w:val="000C0CEA"/>
    <w:rsid w:val="000C11C9"/>
    <w:rsid w:val="000C2328"/>
    <w:rsid w:val="000C2970"/>
    <w:rsid w:val="000C30DD"/>
    <w:rsid w:val="000C310B"/>
    <w:rsid w:val="000C40A3"/>
    <w:rsid w:val="000C4F68"/>
    <w:rsid w:val="000C66F8"/>
    <w:rsid w:val="000C6EC9"/>
    <w:rsid w:val="000C78CD"/>
    <w:rsid w:val="000C7AA5"/>
    <w:rsid w:val="000D0257"/>
    <w:rsid w:val="000D030A"/>
    <w:rsid w:val="000D15B2"/>
    <w:rsid w:val="000D1A3D"/>
    <w:rsid w:val="000D4716"/>
    <w:rsid w:val="000D4CA2"/>
    <w:rsid w:val="000D56A2"/>
    <w:rsid w:val="000D6295"/>
    <w:rsid w:val="000D6582"/>
    <w:rsid w:val="000D708C"/>
    <w:rsid w:val="000D70D2"/>
    <w:rsid w:val="000D753E"/>
    <w:rsid w:val="000D760D"/>
    <w:rsid w:val="000E0020"/>
    <w:rsid w:val="000E0C20"/>
    <w:rsid w:val="000E0CB1"/>
    <w:rsid w:val="000E11FA"/>
    <w:rsid w:val="000E19EE"/>
    <w:rsid w:val="000E23D7"/>
    <w:rsid w:val="000E29F3"/>
    <w:rsid w:val="000E2C62"/>
    <w:rsid w:val="000E3DE3"/>
    <w:rsid w:val="000E3F09"/>
    <w:rsid w:val="000E3FD6"/>
    <w:rsid w:val="000E479E"/>
    <w:rsid w:val="000E5894"/>
    <w:rsid w:val="000E6B90"/>
    <w:rsid w:val="000E75D9"/>
    <w:rsid w:val="000E7821"/>
    <w:rsid w:val="000F011D"/>
    <w:rsid w:val="000F041F"/>
    <w:rsid w:val="000F0E15"/>
    <w:rsid w:val="000F1301"/>
    <w:rsid w:val="000F29F6"/>
    <w:rsid w:val="000F3E77"/>
    <w:rsid w:val="000F41C6"/>
    <w:rsid w:val="000F440D"/>
    <w:rsid w:val="000F4420"/>
    <w:rsid w:val="000F5007"/>
    <w:rsid w:val="000F58DA"/>
    <w:rsid w:val="000F5B9A"/>
    <w:rsid w:val="000F5D77"/>
    <w:rsid w:val="000F6707"/>
    <w:rsid w:val="000F6E9D"/>
    <w:rsid w:val="000F77CE"/>
    <w:rsid w:val="000F7A05"/>
    <w:rsid w:val="001008DE"/>
    <w:rsid w:val="001009E9"/>
    <w:rsid w:val="00101152"/>
    <w:rsid w:val="001012BC"/>
    <w:rsid w:val="001012E2"/>
    <w:rsid w:val="0010164B"/>
    <w:rsid w:val="00102014"/>
    <w:rsid w:val="00102615"/>
    <w:rsid w:val="001027CC"/>
    <w:rsid w:val="00102BFC"/>
    <w:rsid w:val="0010340A"/>
    <w:rsid w:val="00103457"/>
    <w:rsid w:val="00103D96"/>
    <w:rsid w:val="00103F4B"/>
    <w:rsid w:val="00104336"/>
    <w:rsid w:val="00104445"/>
    <w:rsid w:val="00105396"/>
    <w:rsid w:val="00105560"/>
    <w:rsid w:val="001055FF"/>
    <w:rsid w:val="00106F07"/>
    <w:rsid w:val="00107D8E"/>
    <w:rsid w:val="00110428"/>
    <w:rsid w:val="00110639"/>
    <w:rsid w:val="001112C2"/>
    <w:rsid w:val="001113FB"/>
    <w:rsid w:val="00111A5C"/>
    <w:rsid w:val="00111AB7"/>
    <w:rsid w:val="00113462"/>
    <w:rsid w:val="00113491"/>
    <w:rsid w:val="00113E9E"/>
    <w:rsid w:val="0011472D"/>
    <w:rsid w:val="001155DF"/>
    <w:rsid w:val="001158A4"/>
    <w:rsid w:val="00116084"/>
    <w:rsid w:val="0011608D"/>
    <w:rsid w:val="00117BD0"/>
    <w:rsid w:val="00122660"/>
    <w:rsid w:val="001227C6"/>
    <w:rsid w:val="00122CBC"/>
    <w:rsid w:val="00122CD7"/>
    <w:rsid w:val="00122D75"/>
    <w:rsid w:val="001231B3"/>
    <w:rsid w:val="001236FF"/>
    <w:rsid w:val="00123D64"/>
    <w:rsid w:val="00123E9D"/>
    <w:rsid w:val="00123F7D"/>
    <w:rsid w:val="001241D9"/>
    <w:rsid w:val="00124468"/>
    <w:rsid w:val="00124474"/>
    <w:rsid w:val="00124599"/>
    <w:rsid w:val="001245F3"/>
    <w:rsid w:val="00125758"/>
    <w:rsid w:val="0012585E"/>
    <w:rsid w:val="00126209"/>
    <w:rsid w:val="001265AB"/>
    <w:rsid w:val="00126A08"/>
    <w:rsid w:val="00126A43"/>
    <w:rsid w:val="001274AF"/>
    <w:rsid w:val="00130538"/>
    <w:rsid w:val="001306E5"/>
    <w:rsid w:val="001311A9"/>
    <w:rsid w:val="00131B74"/>
    <w:rsid w:val="00131F71"/>
    <w:rsid w:val="001331CC"/>
    <w:rsid w:val="001334C2"/>
    <w:rsid w:val="0013385D"/>
    <w:rsid w:val="001338EB"/>
    <w:rsid w:val="00133DD8"/>
    <w:rsid w:val="001341FF"/>
    <w:rsid w:val="001352F3"/>
    <w:rsid w:val="00136950"/>
    <w:rsid w:val="00137220"/>
    <w:rsid w:val="00140E1D"/>
    <w:rsid w:val="0014104A"/>
    <w:rsid w:val="0014109C"/>
    <w:rsid w:val="001421EF"/>
    <w:rsid w:val="001426C4"/>
    <w:rsid w:val="001426E4"/>
    <w:rsid w:val="00142A6E"/>
    <w:rsid w:val="00142BFD"/>
    <w:rsid w:val="001437E2"/>
    <w:rsid w:val="00143F9D"/>
    <w:rsid w:val="00145D15"/>
    <w:rsid w:val="00145DC2"/>
    <w:rsid w:val="00145E28"/>
    <w:rsid w:val="0014766E"/>
    <w:rsid w:val="00147E27"/>
    <w:rsid w:val="00147FB1"/>
    <w:rsid w:val="00150A83"/>
    <w:rsid w:val="00150EC1"/>
    <w:rsid w:val="001515BA"/>
    <w:rsid w:val="0015168C"/>
    <w:rsid w:val="001520DC"/>
    <w:rsid w:val="00152DFC"/>
    <w:rsid w:val="001537C5"/>
    <w:rsid w:val="00153A21"/>
    <w:rsid w:val="001549B3"/>
    <w:rsid w:val="0015506E"/>
    <w:rsid w:val="001556C9"/>
    <w:rsid w:val="00155B26"/>
    <w:rsid w:val="00156FA2"/>
    <w:rsid w:val="0016020A"/>
    <w:rsid w:val="00161B3F"/>
    <w:rsid w:val="00161EE9"/>
    <w:rsid w:val="001623CE"/>
    <w:rsid w:val="00162F31"/>
    <w:rsid w:val="0016413F"/>
    <w:rsid w:val="0016546C"/>
    <w:rsid w:val="001662C8"/>
    <w:rsid w:val="00166EE7"/>
    <w:rsid w:val="00167819"/>
    <w:rsid w:val="00167BBE"/>
    <w:rsid w:val="001702D3"/>
    <w:rsid w:val="001702DE"/>
    <w:rsid w:val="0017073C"/>
    <w:rsid w:val="001712D0"/>
    <w:rsid w:val="001712FB"/>
    <w:rsid w:val="00171B89"/>
    <w:rsid w:val="0017212A"/>
    <w:rsid w:val="0017285B"/>
    <w:rsid w:val="00172F56"/>
    <w:rsid w:val="001738EB"/>
    <w:rsid w:val="001743DE"/>
    <w:rsid w:val="00174809"/>
    <w:rsid w:val="00175099"/>
    <w:rsid w:val="001753ED"/>
    <w:rsid w:val="0017563D"/>
    <w:rsid w:val="00175695"/>
    <w:rsid w:val="0017637C"/>
    <w:rsid w:val="0017639B"/>
    <w:rsid w:val="00177020"/>
    <w:rsid w:val="001775D9"/>
    <w:rsid w:val="00177D13"/>
    <w:rsid w:val="0018056A"/>
    <w:rsid w:val="00180AE3"/>
    <w:rsid w:val="00180BF2"/>
    <w:rsid w:val="00181140"/>
    <w:rsid w:val="0018116E"/>
    <w:rsid w:val="001814CE"/>
    <w:rsid w:val="00182375"/>
    <w:rsid w:val="001827C4"/>
    <w:rsid w:val="00182834"/>
    <w:rsid w:val="00183268"/>
    <w:rsid w:val="00184583"/>
    <w:rsid w:val="001851B2"/>
    <w:rsid w:val="00185967"/>
    <w:rsid w:val="00185A18"/>
    <w:rsid w:val="001865A6"/>
    <w:rsid w:val="00186A5E"/>
    <w:rsid w:val="0018736A"/>
    <w:rsid w:val="00187913"/>
    <w:rsid w:val="00187958"/>
    <w:rsid w:val="0019008E"/>
    <w:rsid w:val="001901A5"/>
    <w:rsid w:val="001910E1"/>
    <w:rsid w:val="001913F0"/>
    <w:rsid w:val="00191760"/>
    <w:rsid w:val="0019245C"/>
    <w:rsid w:val="00193204"/>
    <w:rsid w:val="0019415B"/>
    <w:rsid w:val="001948A9"/>
    <w:rsid w:val="00194A19"/>
    <w:rsid w:val="001955A2"/>
    <w:rsid w:val="00195937"/>
    <w:rsid w:val="00196C0B"/>
    <w:rsid w:val="001976DA"/>
    <w:rsid w:val="001A0278"/>
    <w:rsid w:val="001A064C"/>
    <w:rsid w:val="001A0A2C"/>
    <w:rsid w:val="001A0D50"/>
    <w:rsid w:val="001A0ECF"/>
    <w:rsid w:val="001A1428"/>
    <w:rsid w:val="001A21B1"/>
    <w:rsid w:val="001A289C"/>
    <w:rsid w:val="001A296C"/>
    <w:rsid w:val="001A3BBE"/>
    <w:rsid w:val="001A4650"/>
    <w:rsid w:val="001A4E76"/>
    <w:rsid w:val="001A58AE"/>
    <w:rsid w:val="001A5F1C"/>
    <w:rsid w:val="001A60D0"/>
    <w:rsid w:val="001B00FB"/>
    <w:rsid w:val="001B1624"/>
    <w:rsid w:val="001B1C29"/>
    <w:rsid w:val="001B21ED"/>
    <w:rsid w:val="001B2E7D"/>
    <w:rsid w:val="001B3D72"/>
    <w:rsid w:val="001B3DBB"/>
    <w:rsid w:val="001B4B1A"/>
    <w:rsid w:val="001B5285"/>
    <w:rsid w:val="001B5936"/>
    <w:rsid w:val="001B5E76"/>
    <w:rsid w:val="001B5FF0"/>
    <w:rsid w:val="001B6828"/>
    <w:rsid w:val="001B79A7"/>
    <w:rsid w:val="001B7E1B"/>
    <w:rsid w:val="001C23EE"/>
    <w:rsid w:val="001C255E"/>
    <w:rsid w:val="001C2ADA"/>
    <w:rsid w:val="001C2F54"/>
    <w:rsid w:val="001C3153"/>
    <w:rsid w:val="001C38CC"/>
    <w:rsid w:val="001C3A11"/>
    <w:rsid w:val="001C4047"/>
    <w:rsid w:val="001C4660"/>
    <w:rsid w:val="001C47D7"/>
    <w:rsid w:val="001C47DD"/>
    <w:rsid w:val="001C64A5"/>
    <w:rsid w:val="001C697F"/>
    <w:rsid w:val="001C6AF0"/>
    <w:rsid w:val="001C6DD6"/>
    <w:rsid w:val="001C7F95"/>
    <w:rsid w:val="001D0756"/>
    <w:rsid w:val="001D0C38"/>
    <w:rsid w:val="001D1243"/>
    <w:rsid w:val="001D271D"/>
    <w:rsid w:val="001D2B91"/>
    <w:rsid w:val="001D2BD2"/>
    <w:rsid w:val="001D4285"/>
    <w:rsid w:val="001D5A88"/>
    <w:rsid w:val="001D6E9E"/>
    <w:rsid w:val="001D7033"/>
    <w:rsid w:val="001D740B"/>
    <w:rsid w:val="001D7620"/>
    <w:rsid w:val="001D7A31"/>
    <w:rsid w:val="001D7E18"/>
    <w:rsid w:val="001E139B"/>
    <w:rsid w:val="001E2233"/>
    <w:rsid w:val="001E223A"/>
    <w:rsid w:val="001E274E"/>
    <w:rsid w:val="001E2904"/>
    <w:rsid w:val="001E3D9D"/>
    <w:rsid w:val="001E6004"/>
    <w:rsid w:val="001E731D"/>
    <w:rsid w:val="001E760A"/>
    <w:rsid w:val="001F07BD"/>
    <w:rsid w:val="001F1363"/>
    <w:rsid w:val="001F23E0"/>
    <w:rsid w:val="001F2595"/>
    <w:rsid w:val="001F2BB6"/>
    <w:rsid w:val="001F2F43"/>
    <w:rsid w:val="001F32EE"/>
    <w:rsid w:val="001F3B70"/>
    <w:rsid w:val="001F3F9D"/>
    <w:rsid w:val="001F42CE"/>
    <w:rsid w:val="001F5BB4"/>
    <w:rsid w:val="001F73D3"/>
    <w:rsid w:val="001F77E2"/>
    <w:rsid w:val="001F7B09"/>
    <w:rsid w:val="0020051A"/>
    <w:rsid w:val="0020178A"/>
    <w:rsid w:val="00202F53"/>
    <w:rsid w:val="00203D2C"/>
    <w:rsid w:val="00204769"/>
    <w:rsid w:val="002059C9"/>
    <w:rsid w:val="002059F4"/>
    <w:rsid w:val="0020672D"/>
    <w:rsid w:val="002072B7"/>
    <w:rsid w:val="00207B54"/>
    <w:rsid w:val="00207FCC"/>
    <w:rsid w:val="002107C6"/>
    <w:rsid w:val="00210CD3"/>
    <w:rsid w:val="0021175E"/>
    <w:rsid w:val="002118BA"/>
    <w:rsid w:val="0021197F"/>
    <w:rsid w:val="00211993"/>
    <w:rsid w:val="00212903"/>
    <w:rsid w:val="002135F4"/>
    <w:rsid w:val="00213F1B"/>
    <w:rsid w:val="002143DA"/>
    <w:rsid w:val="0021454E"/>
    <w:rsid w:val="002149CA"/>
    <w:rsid w:val="0021569A"/>
    <w:rsid w:val="002173F3"/>
    <w:rsid w:val="00217928"/>
    <w:rsid w:val="00217AEA"/>
    <w:rsid w:val="0022006C"/>
    <w:rsid w:val="00220249"/>
    <w:rsid w:val="0022074A"/>
    <w:rsid w:val="00220A17"/>
    <w:rsid w:val="00220A8A"/>
    <w:rsid w:val="00220F54"/>
    <w:rsid w:val="00221B18"/>
    <w:rsid w:val="002222BC"/>
    <w:rsid w:val="002222DC"/>
    <w:rsid w:val="00222D98"/>
    <w:rsid w:val="0022401B"/>
    <w:rsid w:val="00224319"/>
    <w:rsid w:val="002243FE"/>
    <w:rsid w:val="00225404"/>
    <w:rsid w:val="0022545E"/>
    <w:rsid w:val="0022570A"/>
    <w:rsid w:val="00225D44"/>
    <w:rsid w:val="00226679"/>
    <w:rsid w:val="002266DA"/>
    <w:rsid w:val="0022694C"/>
    <w:rsid w:val="00226D38"/>
    <w:rsid w:val="0022732F"/>
    <w:rsid w:val="00227E15"/>
    <w:rsid w:val="00230BD8"/>
    <w:rsid w:val="00230E42"/>
    <w:rsid w:val="002311C1"/>
    <w:rsid w:val="002315B7"/>
    <w:rsid w:val="002317E7"/>
    <w:rsid w:val="002317FC"/>
    <w:rsid w:val="002322B0"/>
    <w:rsid w:val="00232B34"/>
    <w:rsid w:val="0023330C"/>
    <w:rsid w:val="00233535"/>
    <w:rsid w:val="00233849"/>
    <w:rsid w:val="0023389D"/>
    <w:rsid w:val="00235B52"/>
    <w:rsid w:val="00236F24"/>
    <w:rsid w:val="002379FF"/>
    <w:rsid w:val="00240AF0"/>
    <w:rsid w:val="002415F6"/>
    <w:rsid w:val="00241893"/>
    <w:rsid w:val="00241BC2"/>
    <w:rsid w:val="00242918"/>
    <w:rsid w:val="002429F7"/>
    <w:rsid w:val="002431B2"/>
    <w:rsid w:val="00243312"/>
    <w:rsid w:val="00243A09"/>
    <w:rsid w:val="00243D4E"/>
    <w:rsid w:val="0024404C"/>
    <w:rsid w:val="00244104"/>
    <w:rsid w:val="002442B1"/>
    <w:rsid w:val="002454B4"/>
    <w:rsid w:val="00245713"/>
    <w:rsid w:val="00245D53"/>
    <w:rsid w:val="00246012"/>
    <w:rsid w:val="00246897"/>
    <w:rsid w:val="002468DF"/>
    <w:rsid w:val="002472D2"/>
    <w:rsid w:val="002474EF"/>
    <w:rsid w:val="0024780E"/>
    <w:rsid w:val="00250124"/>
    <w:rsid w:val="002519A8"/>
    <w:rsid w:val="002541F7"/>
    <w:rsid w:val="00255514"/>
    <w:rsid w:val="00256024"/>
    <w:rsid w:val="002561D6"/>
    <w:rsid w:val="00256944"/>
    <w:rsid w:val="002569F6"/>
    <w:rsid w:val="00256BF4"/>
    <w:rsid w:val="00256EB7"/>
    <w:rsid w:val="00256FAE"/>
    <w:rsid w:val="002574BF"/>
    <w:rsid w:val="00260B8B"/>
    <w:rsid w:val="002613BC"/>
    <w:rsid w:val="002618F8"/>
    <w:rsid w:val="0026192C"/>
    <w:rsid w:val="002638F6"/>
    <w:rsid w:val="00263E7B"/>
    <w:rsid w:val="0026401F"/>
    <w:rsid w:val="00265358"/>
    <w:rsid w:val="00265930"/>
    <w:rsid w:val="00265E11"/>
    <w:rsid w:val="0026620A"/>
    <w:rsid w:val="00266C59"/>
    <w:rsid w:val="00267663"/>
    <w:rsid w:val="0027045D"/>
    <w:rsid w:val="002714A1"/>
    <w:rsid w:val="00271634"/>
    <w:rsid w:val="00271FB8"/>
    <w:rsid w:val="00272AB0"/>
    <w:rsid w:val="00272D1B"/>
    <w:rsid w:val="00273BAF"/>
    <w:rsid w:val="0027441A"/>
    <w:rsid w:val="00274A20"/>
    <w:rsid w:val="00275905"/>
    <w:rsid w:val="00275C89"/>
    <w:rsid w:val="00275DEF"/>
    <w:rsid w:val="00276001"/>
    <w:rsid w:val="002763C5"/>
    <w:rsid w:val="00276994"/>
    <w:rsid w:val="002773A1"/>
    <w:rsid w:val="002777DD"/>
    <w:rsid w:val="00280351"/>
    <w:rsid w:val="002803CE"/>
    <w:rsid w:val="00280AF4"/>
    <w:rsid w:val="00280C70"/>
    <w:rsid w:val="00281231"/>
    <w:rsid w:val="002814C9"/>
    <w:rsid w:val="002814DF"/>
    <w:rsid w:val="002815CD"/>
    <w:rsid w:val="00281632"/>
    <w:rsid w:val="00282A18"/>
    <w:rsid w:val="00282EFB"/>
    <w:rsid w:val="0028338B"/>
    <w:rsid w:val="00283F54"/>
    <w:rsid w:val="00283F68"/>
    <w:rsid w:val="00285079"/>
    <w:rsid w:val="0028521C"/>
    <w:rsid w:val="00285841"/>
    <w:rsid w:val="00285A3A"/>
    <w:rsid w:val="002861ED"/>
    <w:rsid w:val="00286256"/>
    <w:rsid w:val="00286446"/>
    <w:rsid w:val="00287615"/>
    <w:rsid w:val="00287646"/>
    <w:rsid w:val="002879A2"/>
    <w:rsid w:val="00287C52"/>
    <w:rsid w:val="00290F8B"/>
    <w:rsid w:val="0029138F"/>
    <w:rsid w:val="00291595"/>
    <w:rsid w:val="0029244B"/>
    <w:rsid w:val="002937E1"/>
    <w:rsid w:val="00293FFD"/>
    <w:rsid w:val="00294686"/>
    <w:rsid w:val="00295143"/>
    <w:rsid w:val="002958FF"/>
    <w:rsid w:val="00296330"/>
    <w:rsid w:val="0029674B"/>
    <w:rsid w:val="002968A6"/>
    <w:rsid w:val="00296A76"/>
    <w:rsid w:val="002970D2"/>
    <w:rsid w:val="00297344"/>
    <w:rsid w:val="002A0274"/>
    <w:rsid w:val="002A057E"/>
    <w:rsid w:val="002A0F79"/>
    <w:rsid w:val="002A153B"/>
    <w:rsid w:val="002A1CD4"/>
    <w:rsid w:val="002A2842"/>
    <w:rsid w:val="002A291A"/>
    <w:rsid w:val="002A2E5E"/>
    <w:rsid w:val="002A34EC"/>
    <w:rsid w:val="002A358B"/>
    <w:rsid w:val="002A454E"/>
    <w:rsid w:val="002A485B"/>
    <w:rsid w:val="002A4B91"/>
    <w:rsid w:val="002A4BFA"/>
    <w:rsid w:val="002A558B"/>
    <w:rsid w:val="002A5932"/>
    <w:rsid w:val="002A649C"/>
    <w:rsid w:val="002A6610"/>
    <w:rsid w:val="002A6CE8"/>
    <w:rsid w:val="002A7000"/>
    <w:rsid w:val="002A7499"/>
    <w:rsid w:val="002B05B5"/>
    <w:rsid w:val="002B0673"/>
    <w:rsid w:val="002B0CA6"/>
    <w:rsid w:val="002B0F08"/>
    <w:rsid w:val="002B158F"/>
    <w:rsid w:val="002B166A"/>
    <w:rsid w:val="002B1809"/>
    <w:rsid w:val="002B2B2A"/>
    <w:rsid w:val="002B406F"/>
    <w:rsid w:val="002B4377"/>
    <w:rsid w:val="002B44D6"/>
    <w:rsid w:val="002B4675"/>
    <w:rsid w:val="002B4846"/>
    <w:rsid w:val="002B4E3C"/>
    <w:rsid w:val="002B4E79"/>
    <w:rsid w:val="002B51F2"/>
    <w:rsid w:val="002B6A2E"/>
    <w:rsid w:val="002B733F"/>
    <w:rsid w:val="002C0162"/>
    <w:rsid w:val="002C0F68"/>
    <w:rsid w:val="002C1220"/>
    <w:rsid w:val="002C12DC"/>
    <w:rsid w:val="002C1467"/>
    <w:rsid w:val="002C17D0"/>
    <w:rsid w:val="002C1818"/>
    <w:rsid w:val="002C1877"/>
    <w:rsid w:val="002C2486"/>
    <w:rsid w:val="002C26B6"/>
    <w:rsid w:val="002C48F5"/>
    <w:rsid w:val="002C49ED"/>
    <w:rsid w:val="002C4C93"/>
    <w:rsid w:val="002C5436"/>
    <w:rsid w:val="002C5A9C"/>
    <w:rsid w:val="002C62B9"/>
    <w:rsid w:val="002C63C8"/>
    <w:rsid w:val="002C657A"/>
    <w:rsid w:val="002D01FF"/>
    <w:rsid w:val="002D0AFD"/>
    <w:rsid w:val="002D0BA7"/>
    <w:rsid w:val="002D11CF"/>
    <w:rsid w:val="002D144F"/>
    <w:rsid w:val="002D1DE4"/>
    <w:rsid w:val="002D29EE"/>
    <w:rsid w:val="002D2C0E"/>
    <w:rsid w:val="002D4692"/>
    <w:rsid w:val="002D4937"/>
    <w:rsid w:val="002D49FA"/>
    <w:rsid w:val="002D5488"/>
    <w:rsid w:val="002D5BF0"/>
    <w:rsid w:val="002D60B3"/>
    <w:rsid w:val="002D66B4"/>
    <w:rsid w:val="002D6C96"/>
    <w:rsid w:val="002D715A"/>
    <w:rsid w:val="002D7584"/>
    <w:rsid w:val="002D76A7"/>
    <w:rsid w:val="002D7926"/>
    <w:rsid w:val="002D7D42"/>
    <w:rsid w:val="002E023A"/>
    <w:rsid w:val="002E0335"/>
    <w:rsid w:val="002E0B06"/>
    <w:rsid w:val="002E1AE0"/>
    <w:rsid w:val="002E1AED"/>
    <w:rsid w:val="002E217F"/>
    <w:rsid w:val="002E2B12"/>
    <w:rsid w:val="002E3794"/>
    <w:rsid w:val="002E4348"/>
    <w:rsid w:val="002E483D"/>
    <w:rsid w:val="002E4991"/>
    <w:rsid w:val="002E4D77"/>
    <w:rsid w:val="002E5C08"/>
    <w:rsid w:val="002E5CE8"/>
    <w:rsid w:val="002E625D"/>
    <w:rsid w:val="002E6B1A"/>
    <w:rsid w:val="002E6DFE"/>
    <w:rsid w:val="002F0C3D"/>
    <w:rsid w:val="002F108D"/>
    <w:rsid w:val="002F1454"/>
    <w:rsid w:val="002F1F7E"/>
    <w:rsid w:val="002F2983"/>
    <w:rsid w:val="002F2E3A"/>
    <w:rsid w:val="002F2EEC"/>
    <w:rsid w:val="002F315C"/>
    <w:rsid w:val="002F4792"/>
    <w:rsid w:val="002F4E07"/>
    <w:rsid w:val="002F4E70"/>
    <w:rsid w:val="002F539C"/>
    <w:rsid w:val="002F66ED"/>
    <w:rsid w:val="002F7229"/>
    <w:rsid w:val="002F7861"/>
    <w:rsid w:val="00300421"/>
    <w:rsid w:val="00300AD2"/>
    <w:rsid w:val="003015A4"/>
    <w:rsid w:val="00301C80"/>
    <w:rsid w:val="00302926"/>
    <w:rsid w:val="00302A12"/>
    <w:rsid w:val="00302EB9"/>
    <w:rsid w:val="003034C5"/>
    <w:rsid w:val="0030371C"/>
    <w:rsid w:val="00303DBF"/>
    <w:rsid w:val="00304312"/>
    <w:rsid w:val="0030479D"/>
    <w:rsid w:val="003047A5"/>
    <w:rsid w:val="0030537D"/>
    <w:rsid w:val="00306238"/>
    <w:rsid w:val="0030681C"/>
    <w:rsid w:val="0030691A"/>
    <w:rsid w:val="00307707"/>
    <w:rsid w:val="00310BE0"/>
    <w:rsid w:val="00311349"/>
    <w:rsid w:val="00311BAE"/>
    <w:rsid w:val="00312AD3"/>
    <w:rsid w:val="003137A8"/>
    <w:rsid w:val="00313D93"/>
    <w:rsid w:val="00314135"/>
    <w:rsid w:val="003148CA"/>
    <w:rsid w:val="00314D73"/>
    <w:rsid w:val="00315AA5"/>
    <w:rsid w:val="00315CB8"/>
    <w:rsid w:val="00315CEB"/>
    <w:rsid w:val="00316C2D"/>
    <w:rsid w:val="003175E3"/>
    <w:rsid w:val="00317737"/>
    <w:rsid w:val="00317FC0"/>
    <w:rsid w:val="0032069E"/>
    <w:rsid w:val="003209D0"/>
    <w:rsid w:val="003236EB"/>
    <w:rsid w:val="003245CD"/>
    <w:rsid w:val="003250C8"/>
    <w:rsid w:val="00325404"/>
    <w:rsid w:val="003259D8"/>
    <w:rsid w:val="00326AE3"/>
    <w:rsid w:val="00326B08"/>
    <w:rsid w:val="00326B4D"/>
    <w:rsid w:val="003278E2"/>
    <w:rsid w:val="003301CF"/>
    <w:rsid w:val="0033047F"/>
    <w:rsid w:val="0033075B"/>
    <w:rsid w:val="00330985"/>
    <w:rsid w:val="00330A02"/>
    <w:rsid w:val="00330A48"/>
    <w:rsid w:val="00330DB6"/>
    <w:rsid w:val="00331A0A"/>
    <w:rsid w:val="003329D1"/>
    <w:rsid w:val="00332B8B"/>
    <w:rsid w:val="00332D77"/>
    <w:rsid w:val="00332DA8"/>
    <w:rsid w:val="00332E5F"/>
    <w:rsid w:val="00333516"/>
    <w:rsid w:val="00333805"/>
    <w:rsid w:val="00333EFC"/>
    <w:rsid w:val="00334159"/>
    <w:rsid w:val="003343C4"/>
    <w:rsid w:val="003343D3"/>
    <w:rsid w:val="0033451F"/>
    <w:rsid w:val="00335C13"/>
    <w:rsid w:val="003361AD"/>
    <w:rsid w:val="003367CD"/>
    <w:rsid w:val="003369C0"/>
    <w:rsid w:val="00336A1D"/>
    <w:rsid w:val="00336E82"/>
    <w:rsid w:val="00340831"/>
    <w:rsid w:val="0034086E"/>
    <w:rsid w:val="003428E8"/>
    <w:rsid w:val="00342C6E"/>
    <w:rsid w:val="00343012"/>
    <w:rsid w:val="003432F6"/>
    <w:rsid w:val="00343C55"/>
    <w:rsid w:val="003441DD"/>
    <w:rsid w:val="003453DE"/>
    <w:rsid w:val="003458E3"/>
    <w:rsid w:val="00345C47"/>
    <w:rsid w:val="00345C56"/>
    <w:rsid w:val="00346981"/>
    <w:rsid w:val="003469FB"/>
    <w:rsid w:val="00346D76"/>
    <w:rsid w:val="00347748"/>
    <w:rsid w:val="003477B0"/>
    <w:rsid w:val="00350BD4"/>
    <w:rsid w:val="00351053"/>
    <w:rsid w:val="00351B2F"/>
    <w:rsid w:val="00351D71"/>
    <w:rsid w:val="00351F0C"/>
    <w:rsid w:val="00351FC3"/>
    <w:rsid w:val="0035435B"/>
    <w:rsid w:val="003551DF"/>
    <w:rsid w:val="003555C8"/>
    <w:rsid w:val="00356497"/>
    <w:rsid w:val="003566FA"/>
    <w:rsid w:val="00356F8F"/>
    <w:rsid w:val="00357711"/>
    <w:rsid w:val="00357898"/>
    <w:rsid w:val="00360BF4"/>
    <w:rsid w:val="00361989"/>
    <w:rsid w:val="00361BEC"/>
    <w:rsid w:val="00361FA9"/>
    <w:rsid w:val="00363B58"/>
    <w:rsid w:val="00363FED"/>
    <w:rsid w:val="00364CF8"/>
    <w:rsid w:val="00365061"/>
    <w:rsid w:val="00365158"/>
    <w:rsid w:val="00365606"/>
    <w:rsid w:val="00365BF8"/>
    <w:rsid w:val="00366412"/>
    <w:rsid w:val="00366E2B"/>
    <w:rsid w:val="003675A7"/>
    <w:rsid w:val="00367EA2"/>
    <w:rsid w:val="00370622"/>
    <w:rsid w:val="00370F87"/>
    <w:rsid w:val="00371547"/>
    <w:rsid w:val="0037178D"/>
    <w:rsid w:val="003724E4"/>
    <w:rsid w:val="00373143"/>
    <w:rsid w:val="00374307"/>
    <w:rsid w:val="00374436"/>
    <w:rsid w:val="00374518"/>
    <w:rsid w:val="00374D38"/>
    <w:rsid w:val="00376AEB"/>
    <w:rsid w:val="00377CA5"/>
    <w:rsid w:val="003800E8"/>
    <w:rsid w:val="003806F6"/>
    <w:rsid w:val="0038081C"/>
    <w:rsid w:val="00380A9F"/>
    <w:rsid w:val="00380B18"/>
    <w:rsid w:val="00380DC8"/>
    <w:rsid w:val="00381DE9"/>
    <w:rsid w:val="003827A9"/>
    <w:rsid w:val="00382C91"/>
    <w:rsid w:val="003837B5"/>
    <w:rsid w:val="00384CC0"/>
    <w:rsid w:val="003851F9"/>
    <w:rsid w:val="003864D6"/>
    <w:rsid w:val="00386D05"/>
    <w:rsid w:val="00386F3B"/>
    <w:rsid w:val="003871EA"/>
    <w:rsid w:val="00390317"/>
    <w:rsid w:val="00390366"/>
    <w:rsid w:val="00390AFF"/>
    <w:rsid w:val="00390D26"/>
    <w:rsid w:val="00391349"/>
    <w:rsid w:val="00391833"/>
    <w:rsid w:val="003929EE"/>
    <w:rsid w:val="00392DAC"/>
    <w:rsid w:val="00394BA5"/>
    <w:rsid w:val="00396598"/>
    <w:rsid w:val="00396C67"/>
    <w:rsid w:val="00397442"/>
    <w:rsid w:val="003976E1"/>
    <w:rsid w:val="003A06C3"/>
    <w:rsid w:val="003A077F"/>
    <w:rsid w:val="003A0BA9"/>
    <w:rsid w:val="003A1194"/>
    <w:rsid w:val="003A1303"/>
    <w:rsid w:val="003A18F4"/>
    <w:rsid w:val="003A1DBF"/>
    <w:rsid w:val="003A20CE"/>
    <w:rsid w:val="003A2863"/>
    <w:rsid w:val="003A38E5"/>
    <w:rsid w:val="003A3C65"/>
    <w:rsid w:val="003A4C15"/>
    <w:rsid w:val="003A4EDF"/>
    <w:rsid w:val="003A51B4"/>
    <w:rsid w:val="003A54B8"/>
    <w:rsid w:val="003A56C5"/>
    <w:rsid w:val="003A5A36"/>
    <w:rsid w:val="003A7326"/>
    <w:rsid w:val="003A7394"/>
    <w:rsid w:val="003A795F"/>
    <w:rsid w:val="003A7A10"/>
    <w:rsid w:val="003A7C30"/>
    <w:rsid w:val="003B1401"/>
    <w:rsid w:val="003B1805"/>
    <w:rsid w:val="003B198B"/>
    <w:rsid w:val="003B25A8"/>
    <w:rsid w:val="003B37EA"/>
    <w:rsid w:val="003B3A4B"/>
    <w:rsid w:val="003B3EE2"/>
    <w:rsid w:val="003B4211"/>
    <w:rsid w:val="003B473A"/>
    <w:rsid w:val="003B47F6"/>
    <w:rsid w:val="003B4A15"/>
    <w:rsid w:val="003B57C9"/>
    <w:rsid w:val="003B5A79"/>
    <w:rsid w:val="003B5AB4"/>
    <w:rsid w:val="003B61B8"/>
    <w:rsid w:val="003B6301"/>
    <w:rsid w:val="003B6369"/>
    <w:rsid w:val="003B7C7F"/>
    <w:rsid w:val="003C0232"/>
    <w:rsid w:val="003C0D09"/>
    <w:rsid w:val="003C0DCC"/>
    <w:rsid w:val="003C25B9"/>
    <w:rsid w:val="003C2C60"/>
    <w:rsid w:val="003C359B"/>
    <w:rsid w:val="003C4E40"/>
    <w:rsid w:val="003C50F4"/>
    <w:rsid w:val="003C5266"/>
    <w:rsid w:val="003C5D51"/>
    <w:rsid w:val="003C61BF"/>
    <w:rsid w:val="003C6946"/>
    <w:rsid w:val="003C6C7D"/>
    <w:rsid w:val="003C6CE8"/>
    <w:rsid w:val="003C73A3"/>
    <w:rsid w:val="003C7AF4"/>
    <w:rsid w:val="003C7D33"/>
    <w:rsid w:val="003D03BE"/>
    <w:rsid w:val="003D06DC"/>
    <w:rsid w:val="003D16C5"/>
    <w:rsid w:val="003D21A1"/>
    <w:rsid w:val="003D3134"/>
    <w:rsid w:val="003D3AB1"/>
    <w:rsid w:val="003D47F0"/>
    <w:rsid w:val="003D4C31"/>
    <w:rsid w:val="003D56E9"/>
    <w:rsid w:val="003D5961"/>
    <w:rsid w:val="003D6524"/>
    <w:rsid w:val="003D6568"/>
    <w:rsid w:val="003D6772"/>
    <w:rsid w:val="003D68D4"/>
    <w:rsid w:val="003D6949"/>
    <w:rsid w:val="003D6DB5"/>
    <w:rsid w:val="003D6F10"/>
    <w:rsid w:val="003D7676"/>
    <w:rsid w:val="003D7B05"/>
    <w:rsid w:val="003D7E78"/>
    <w:rsid w:val="003D7F19"/>
    <w:rsid w:val="003E0093"/>
    <w:rsid w:val="003E0173"/>
    <w:rsid w:val="003E054E"/>
    <w:rsid w:val="003E08ED"/>
    <w:rsid w:val="003E1B1F"/>
    <w:rsid w:val="003E3A23"/>
    <w:rsid w:val="003E3A49"/>
    <w:rsid w:val="003E4093"/>
    <w:rsid w:val="003E4207"/>
    <w:rsid w:val="003E4217"/>
    <w:rsid w:val="003E45F7"/>
    <w:rsid w:val="003E473E"/>
    <w:rsid w:val="003E4A83"/>
    <w:rsid w:val="003E6962"/>
    <w:rsid w:val="003E77AA"/>
    <w:rsid w:val="003E7CBD"/>
    <w:rsid w:val="003F0DCA"/>
    <w:rsid w:val="003F0DEC"/>
    <w:rsid w:val="003F0E7C"/>
    <w:rsid w:val="003F20C9"/>
    <w:rsid w:val="003F23CC"/>
    <w:rsid w:val="003F25CA"/>
    <w:rsid w:val="003F28FF"/>
    <w:rsid w:val="003F3490"/>
    <w:rsid w:val="003F34C2"/>
    <w:rsid w:val="003F3DE5"/>
    <w:rsid w:val="003F4296"/>
    <w:rsid w:val="003F4B3A"/>
    <w:rsid w:val="003F4BBD"/>
    <w:rsid w:val="003F76CE"/>
    <w:rsid w:val="003F787F"/>
    <w:rsid w:val="00400D73"/>
    <w:rsid w:val="00400F5B"/>
    <w:rsid w:val="0040138E"/>
    <w:rsid w:val="00401847"/>
    <w:rsid w:val="0040201E"/>
    <w:rsid w:val="00402304"/>
    <w:rsid w:val="00402573"/>
    <w:rsid w:val="004027AB"/>
    <w:rsid w:val="004032D5"/>
    <w:rsid w:val="00404761"/>
    <w:rsid w:val="00404790"/>
    <w:rsid w:val="00405237"/>
    <w:rsid w:val="00406CE0"/>
    <w:rsid w:val="004100B6"/>
    <w:rsid w:val="0041154B"/>
    <w:rsid w:val="0041172E"/>
    <w:rsid w:val="00411D8B"/>
    <w:rsid w:val="00411EDA"/>
    <w:rsid w:val="004121E9"/>
    <w:rsid w:val="004122C8"/>
    <w:rsid w:val="00412B97"/>
    <w:rsid w:val="00413F12"/>
    <w:rsid w:val="00414106"/>
    <w:rsid w:val="00414456"/>
    <w:rsid w:val="00414DD1"/>
    <w:rsid w:val="0041535B"/>
    <w:rsid w:val="004155BD"/>
    <w:rsid w:val="00415758"/>
    <w:rsid w:val="00416556"/>
    <w:rsid w:val="00417233"/>
    <w:rsid w:val="004178E2"/>
    <w:rsid w:val="004202B6"/>
    <w:rsid w:val="004229CD"/>
    <w:rsid w:val="00423316"/>
    <w:rsid w:val="004236AA"/>
    <w:rsid w:val="0042420E"/>
    <w:rsid w:val="0042499E"/>
    <w:rsid w:val="00424FCF"/>
    <w:rsid w:val="004252C3"/>
    <w:rsid w:val="00427E16"/>
    <w:rsid w:val="00427FCE"/>
    <w:rsid w:val="0043035A"/>
    <w:rsid w:val="004303B9"/>
    <w:rsid w:val="00430F71"/>
    <w:rsid w:val="0043143F"/>
    <w:rsid w:val="004319CE"/>
    <w:rsid w:val="0043203C"/>
    <w:rsid w:val="0043223E"/>
    <w:rsid w:val="00432414"/>
    <w:rsid w:val="0043339C"/>
    <w:rsid w:val="0043390B"/>
    <w:rsid w:val="004342D2"/>
    <w:rsid w:val="00434945"/>
    <w:rsid w:val="00434B27"/>
    <w:rsid w:val="00434BEE"/>
    <w:rsid w:val="0043515F"/>
    <w:rsid w:val="00435CCB"/>
    <w:rsid w:val="00435E57"/>
    <w:rsid w:val="0043601C"/>
    <w:rsid w:val="00436D66"/>
    <w:rsid w:val="00437108"/>
    <w:rsid w:val="00437ADE"/>
    <w:rsid w:val="00440D76"/>
    <w:rsid w:val="00440D78"/>
    <w:rsid w:val="00441C27"/>
    <w:rsid w:val="004427A9"/>
    <w:rsid w:val="00442E64"/>
    <w:rsid w:val="004434C4"/>
    <w:rsid w:val="004446B8"/>
    <w:rsid w:val="00445B7D"/>
    <w:rsid w:val="00446349"/>
    <w:rsid w:val="00446A91"/>
    <w:rsid w:val="004476BC"/>
    <w:rsid w:val="00450022"/>
    <w:rsid w:val="004504CC"/>
    <w:rsid w:val="00451439"/>
    <w:rsid w:val="004518B8"/>
    <w:rsid w:val="00451A27"/>
    <w:rsid w:val="00452AAB"/>
    <w:rsid w:val="00453687"/>
    <w:rsid w:val="00453CAD"/>
    <w:rsid w:val="0045499A"/>
    <w:rsid w:val="00454CEA"/>
    <w:rsid w:val="00454E38"/>
    <w:rsid w:val="00454E5A"/>
    <w:rsid w:val="004556B4"/>
    <w:rsid w:val="00456580"/>
    <w:rsid w:val="0045675F"/>
    <w:rsid w:val="00456DCD"/>
    <w:rsid w:val="00456E7B"/>
    <w:rsid w:val="00457933"/>
    <w:rsid w:val="00457A4A"/>
    <w:rsid w:val="00457BEA"/>
    <w:rsid w:val="0046219E"/>
    <w:rsid w:val="00462217"/>
    <w:rsid w:val="00462A31"/>
    <w:rsid w:val="00463BE1"/>
    <w:rsid w:val="004647E3"/>
    <w:rsid w:val="00464A41"/>
    <w:rsid w:val="004657E8"/>
    <w:rsid w:val="00466447"/>
    <w:rsid w:val="00466BF7"/>
    <w:rsid w:val="00466F43"/>
    <w:rsid w:val="00467280"/>
    <w:rsid w:val="00467B2D"/>
    <w:rsid w:val="00470084"/>
    <w:rsid w:val="004720E9"/>
    <w:rsid w:val="00472EF7"/>
    <w:rsid w:val="00473243"/>
    <w:rsid w:val="004747D5"/>
    <w:rsid w:val="00475843"/>
    <w:rsid w:val="00477E4B"/>
    <w:rsid w:val="004806C2"/>
    <w:rsid w:val="004809E7"/>
    <w:rsid w:val="004819AB"/>
    <w:rsid w:val="00481D6A"/>
    <w:rsid w:val="00482573"/>
    <w:rsid w:val="004829BE"/>
    <w:rsid w:val="00482D8B"/>
    <w:rsid w:val="004832E0"/>
    <w:rsid w:val="0048356F"/>
    <w:rsid w:val="0048512B"/>
    <w:rsid w:val="00485AEE"/>
    <w:rsid w:val="0048622F"/>
    <w:rsid w:val="00486D3A"/>
    <w:rsid w:val="004875A9"/>
    <w:rsid w:val="004879C1"/>
    <w:rsid w:val="004903B4"/>
    <w:rsid w:val="0049058B"/>
    <w:rsid w:val="00490BE8"/>
    <w:rsid w:val="00490D0A"/>
    <w:rsid w:val="00490EBD"/>
    <w:rsid w:val="00491452"/>
    <w:rsid w:val="00491B0B"/>
    <w:rsid w:val="004922DE"/>
    <w:rsid w:val="004927EC"/>
    <w:rsid w:val="00493528"/>
    <w:rsid w:val="004941E6"/>
    <w:rsid w:val="004951EF"/>
    <w:rsid w:val="00495AB5"/>
    <w:rsid w:val="00495C34"/>
    <w:rsid w:val="00495DF3"/>
    <w:rsid w:val="00495F16"/>
    <w:rsid w:val="004966E0"/>
    <w:rsid w:val="004967A0"/>
    <w:rsid w:val="00496C91"/>
    <w:rsid w:val="00497560"/>
    <w:rsid w:val="004A0600"/>
    <w:rsid w:val="004A1440"/>
    <w:rsid w:val="004A1CBB"/>
    <w:rsid w:val="004A219C"/>
    <w:rsid w:val="004A2E4E"/>
    <w:rsid w:val="004A3B6C"/>
    <w:rsid w:val="004A3FA7"/>
    <w:rsid w:val="004A411F"/>
    <w:rsid w:val="004A4B10"/>
    <w:rsid w:val="004A4C15"/>
    <w:rsid w:val="004A4D2C"/>
    <w:rsid w:val="004A4EF1"/>
    <w:rsid w:val="004A5462"/>
    <w:rsid w:val="004A630E"/>
    <w:rsid w:val="004A6783"/>
    <w:rsid w:val="004A68F8"/>
    <w:rsid w:val="004A6F94"/>
    <w:rsid w:val="004A6FC4"/>
    <w:rsid w:val="004A6FC6"/>
    <w:rsid w:val="004B0821"/>
    <w:rsid w:val="004B0C30"/>
    <w:rsid w:val="004B0E40"/>
    <w:rsid w:val="004B16F6"/>
    <w:rsid w:val="004B1F87"/>
    <w:rsid w:val="004B2372"/>
    <w:rsid w:val="004B280C"/>
    <w:rsid w:val="004B376E"/>
    <w:rsid w:val="004B407B"/>
    <w:rsid w:val="004B4FE3"/>
    <w:rsid w:val="004B50CE"/>
    <w:rsid w:val="004B561C"/>
    <w:rsid w:val="004B564A"/>
    <w:rsid w:val="004B5AC9"/>
    <w:rsid w:val="004B6467"/>
    <w:rsid w:val="004B6495"/>
    <w:rsid w:val="004B6636"/>
    <w:rsid w:val="004B6737"/>
    <w:rsid w:val="004B6DFF"/>
    <w:rsid w:val="004B7C9E"/>
    <w:rsid w:val="004C03AF"/>
    <w:rsid w:val="004C0BB2"/>
    <w:rsid w:val="004C1584"/>
    <w:rsid w:val="004C2587"/>
    <w:rsid w:val="004C29A1"/>
    <w:rsid w:val="004C2B4A"/>
    <w:rsid w:val="004C2B5B"/>
    <w:rsid w:val="004C334E"/>
    <w:rsid w:val="004C350A"/>
    <w:rsid w:val="004C49B9"/>
    <w:rsid w:val="004C4A40"/>
    <w:rsid w:val="004C4E25"/>
    <w:rsid w:val="004C4E5C"/>
    <w:rsid w:val="004C6018"/>
    <w:rsid w:val="004C7406"/>
    <w:rsid w:val="004D0D9B"/>
    <w:rsid w:val="004D0E7A"/>
    <w:rsid w:val="004D0FA6"/>
    <w:rsid w:val="004D19E9"/>
    <w:rsid w:val="004D229F"/>
    <w:rsid w:val="004D30C8"/>
    <w:rsid w:val="004D3413"/>
    <w:rsid w:val="004D38AB"/>
    <w:rsid w:val="004D4398"/>
    <w:rsid w:val="004D43A3"/>
    <w:rsid w:val="004D4C55"/>
    <w:rsid w:val="004D6852"/>
    <w:rsid w:val="004D6B30"/>
    <w:rsid w:val="004D72AA"/>
    <w:rsid w:val="004D7496"/>
    <w:rsid w:val="004D7F42"/>
    <w:rsid w:val="004E0104"/>
    <w:rsid w:val="004E03A8"/>
    <w:rsid w:val="004E0D8C"/>
    <w:rsid w:val="004E0E8E"/>
    <w:rsid w:val="004E111A"/>
    <w:rsid w:val="004E1CD3"/>
    <w:rsid w:val="004E20E9"/>
    <w:rsid w:val="004E27D6"/>
    <w:rsid w:val="004E285C"/>
    <w:rsid w:val="004E28EF"/>
    <w:rsid w:val="004E2BED"/>
    <w:rsid w:val="004E33C8"/>
    <w:rsid w:val="004E3AD6"/>
    <w:rsid w:val="004E3CEE"/>
    <w:rsid w:val="004E4ECF"/>
    <w:rsid w:val="004E50F6"/>
    <w:rsid w:val="004E5E81"/>
    <w:rsid w:val="004E60D6"/>
    <w:rsid w:val="004E6D10"/>
    <w:rsid w:val="004E71C7"/>
    <w:rsid w:val="004E7576"/>
    <w:rsid w:val="004E7BF0"/>
    <w:rsid w:val="004F08F9"/>
    <w:rsid w:val="004F25C2"/>
    <w:rsid w:val="004F3917"/>
    <w:rsid w:val="004F4105"/>
    <w:rsid w:val="004F4917"/>
    <w:rsid w:val="004F4C4B"/>
    <w:rsid w:val="004F4ECA"/>
    <w:rsid w:val="004F5153"/>
    <w:rsid w:val="004F554C"/>
    <w:rsid w:val="004F59C5"/>
    <w:rsid w:val="004F59CD"/>
    <w:rsid w:val="004F63D3"/>
    <w:rsid w:val="004F6444"/>
    <w:rsid w:val="004F7D2A"/>
    <w:rsid w:val="00500398"/>
    <w:rsid w:val="00500957"/>
    <w:rsid w:val="00500F01"/>
    <w:rsid w:val="0050148D"/>
    <w:rsid w:val="00501F04"/>
    <w:rsid w:val="0050267B"/>
    <w:rsid w:val="00503316"/>
    <w:rsid w:val="0050475F"/>
    <w:rsid w:val="00504FFF"/>
    <w:rsid w:val="005052D6"/>
    <w:rsid w:val="00506AC8"/>
    <w:rsid w:val="00506C80"/>
    <w:rsid w:val="005070EC"/>
    <w:rsid w:val="00507A77"/>
    <w:rsid w:val="00511064"/>
    <w:rsid w:val="0051147D"/>
    <w:rsid w:val="005114DF"/>
    <w:rsid w:val="00512209"/>
    <w:rsid w:val="005127F9"/>
    <w:rsid w:val="005129FB"/>
    <w:rsid w:val="00513118"/>
    <w:rsid w:val="00514801"/>
    <w:rsid w:val="00514A89"/>
    <w:rsid w:val="00514B0A"/>
    <w:rsid w:val="005150AE"/>
    <w:rsid w:val="0051572E"/>
    <w:rsid w:val="0051629E"/>
    <w:rsid w:val="00516543"/>
    <w:rsid w:val="00517A80"/>
    <w:rsid w:val="00517CDE"/>
    <w:rsid w:val="00520299"/>
    <w:rsid w:val="00520550"/>
    <w:rsid w:val="0052057A"/>
    <w:rsid w:val="0052065C"/>
    <w:rsid w:val="005225DC"/>
    <w:rsid w:val="005228DA"/>
    <w:rsid w:val="00522D99"/>
    <w:rsid w:val="00523232"/>
    <w:rsid w:val="00523396"/>
    <w:rsid w:val="005236CC"/>
    <w:rsid w:val="00523A6B"/>
    <w:rsid w:val="00523C4E"/>
    <w:rsid w:val="005243F6"/>
    <w:rsid w:val="00524CAE"/>
    <w:rsid w:val="005250F5"/>
    <w:rsid w:val="005256CE"/>
    <w:rsid w:val="005259C3"/>
    <w:rsid w:val="005261E2"/>
    <w:rsid w:val="005262CC"/>
    <w:rsid w:val="005265F1"/>
    <w:rsid w:val="005305AC"/>
    <w:rsid w:val="005308FC"/>
    <w:rsid w:val="00530F86"/>
    <w:rsid w:val="0053164A"/>
    <w:rsid w:val="0053412A"/>
    <w:rsid w:val="00534C42"/>
    <w:rsid w:val="00535602"/>
    <w:rsid w:val="00535B5D"/>
    <w:rsid w:val="00535D49"/>
    <w:rsid w:val="00535EAB"/>
    <w:rsid w:val="00536F49"/>
    <w:rsid w:val="00537DCE"/>
    <w:rsid w:val="005401EB"/>
    <w:rsid w:val="005403F2"/>
    <w:rsid w:val="005404C6"/>
    <w:rsid w:val="00540A41"/>
    <w:rsid w:val="00541543"/>
    <w:rsid w:val="0054165D"/>
    <w:rsid w:val="00541788"/>
    <w:rsid w:val="00541E9D"/>
    <w:rsid w:val="00541F14"/>
    <w:rsid w:val="00542DF0"/>
    <w:rsid w:val="00542F1F"/>
    <w:rsid w:val="00543789"/>
    <w:rsid w:val="00543A63"/>
    <w:rsid w:val="00543F31"/>
    <w:rsid w:val="0054406C"/>
    <w:rsid w:val="0054441D"/>
    <w:rsid w:val="005446ED"/>
    <w:rsid w:val="00544756"/>
    <w:rsid w:val="00544AD0"/>
    <w:rsid w:val="00544D6E"/>
    <w:rsid w:val="00545FC0"/>
    <w:rsid w:val="0054693D"/>
    <w:rsid w:val="00547C01"/>
    <w:rsid w:val="005501E1"/>
    <w:rsid w:val="00550FFD"/>
    <w:rsid w:val="0055181D"/>
    <w:rsid w:val="005518DA"/>
    <w:rsid w:val="00551AC1"/>
    <w:rsid w:val="005529F1"/>
    <w:rsid w:val="00552CAE"/>
    <w:rsid w:val="00552CFE"/>
    <w:rsid w:val="00553163"/>
    <w:rsid w:val="00553236"/>
    <w:rsid w:val="00553680"/>
    <w:rsid w:val="00554888"/>
    <w:rsid w:val="005553C2"/>
    <w:rsid w:val="005563D5"/>
    <w:rsid w:val="0055697E"/>
    <w:rsid w:val="00557185"/>
    <w:rsid w:val="005574BD"/>
    <w:rsid w:val="005575F4"/>
    <w:rsid w:val="00557C07"/>
    <w:rsid w:val="00560277"/>
    <w:rsid w:val="0056103C"/>
    <w:rsid w:val="0056157C"/>
    <w:rsid w:val="005625B5"/>
    <w:rsid w:val="00563A0D"/>
    <w:rsid w:val="0056421D"/>
    <w:rsid w:val="00564304"/>
    <w:rsid w:val="00565569"/>
    <w:rsid w:val="0056696B"/>
    <w:rsid w:val="00566D31"/>
    <w:rsid w:val="0056751F"/>
    <w:rsid w:val="00567700"/>
    <w:rsid w:val="00570218"/>
    <w:rsid w:val="0057132C"/>
    <w:rsid w:val="00571E13"/>
    <w:rsid w:val="00572BD2"/>
    <w:rsid w:val="00573349"/>
    <w:rsid w:val="005736D8"/>
    <w:rsid w:val="00573CC1"/>
    <w:rsid w:val="005742FB"/>
    <w:rsid w:val="00574A4F"/>
    <w:rsid w:val="005752B6"/>
    <w:rsid w:val="0057539C"/>
    <w:rsid w:val="00575D17"/>
    <w:rsid w:val="00575DC7"/>
    <w:rsid w:val="005761E1"/>
    <w:rsid w:val="00576315"/>
    <w:rsid w:val="00576383"/>
    <w:rsid w:val="00577351"/>
    <w:rsid w:val="00577F07"/>
    <w:rsid w:val="00580BDD"/>
    <w:rsid w:val="005811C8"/>
    <w:rsid w:val="005811CD"/>
    <w:rsid w:val="00581BEA"/>
    <w:rsid w:val="005822F9"/>
    <w:rsid w:val="005833C6"/>
    <w:rsid w:val="005833D8"/>
    <w:rsid w:val="00583654"/>
    <w:rsid w:val="00584B73"/>
    <w:rsid w:val="00585B52"/>
    <w:rsid w:val="005864B4"/>
    <w:rsid w:val="005866F6"/>
    <w:rsid w:val="0058770D"/>
    <w:rsid w:val="00587C84"/>
    <w:rsid w:val="0059016F"/>
    <w:rsid w:val="00590AAB"/>
    <w:rsid w:val="00590EB6"/>
    <w:rsid w:val="0059111C"/>
    <w:rsid w:val="0059118F"/>
    <w:rsid w:val="00592220"/>
    <w:rsid w:val="005923AA"/>
    <w:rsid w:val="005926C3"/>
    <w:rsid w:val="00592B8E"/>
    <w:rsid w:val="00592CBE"/>
    <w:rsid w:val="00594280"/>
    <w:rsid w:val="00595641"/>
    <w:rsid w:val="005956F9"/>
    <w:rsid w:val="005978EA"/>
    <w:rsid w:val="00597F98"/>
    <w:rsid w:val="005A0201"/>
    <w:rsid w:val="005A0A1D"/>
    <w:rsid w:val="005A0C91"/>
    <w:rsid w:val="005A16A5"/>
    <w:rsid w:val="005A1DC9"/>
    <w:rsid w:val="005A20D5"/>
    <w:rsid w:val="005A2BAF"/>
    <w:rsid w:val="005A2E42"/>
    <w:rsid w:val="005A3239"/>
    <w:rsid w:val="005A3D86"/>
    <w:rsid w:val="005A47D1"/>
    <w:rsid w:val="005A49B5"/>
    <w:rsid w:val="005A565F"/>
    <w:rsid w:val="005A6357"/>
    <w:rsid w:val="005A7943"/>
    <w:rsid w:val="005B0764"/>
    <w:rsid w:val="005B0C6B"/>
    <w:rsid w:val="005B1BD4"/>
    <w:rsid w:val="005B2506"/>
    <w:rsid w:val="005B25B2"/>
    <w:rsid w:val="005B26B9"/>
    <w:rsid w:val="005B2A4E"/>
    <w:rsid w:val="005B2DCC"/>
    <w:rsid w:val="005B345E"/>
    <w:rsid w:val="005B367B"/>
    <w:rsid w:val="005B44C5"/>
    <w:rsid w:val="005B45D7"/>
    <w:rsid w:val="005B4A86"/>
    <w:rsid w:val="005B4BA4"/>
    <w:rsid w:val="005B4C5E"/>
    <w:rsid w:val="005B6221"/>
    <w:rsid w:val="005B6432"/>
    <w:rsid w:val="005B6DD6"/>
    <w:rsid w:val="005B6F81"/>
    <w:rsid w:val="005B731A"/>
    <w:rsid w:val="005C00F1"/>
    <w:rsid w:val="005C041E"/>
    <w:rsid w:val="005C30A1"/>
    <w:rsid w:val="005C37CE"/>
    <w:rsid w:val="005C437A"/>
    <w:rsid w:val="005C43E6"/>
    <w:rsid w:val="005C5F0B"/>
    <w:rsid w:val="005C6C95"/>
    <w:rsid w:val="005C71AC"/>
    <w:rsid w:val="005C7240"/>
    <w:rsid w:val="005C7BA6"/>
    <w:rsid w:val="005D0853"/>
    <w:rsid w:val="005D0B9B"/>
    <w:rsid w:val="005D3529"/>
    <w:rsid w:val="005D494E"/>
    <w:rsid w:val="005D5416"/>
    <w:rsid w:val="005D6A21"/>
    <w:rsid w:val="005D6E45"/>
    <w:rsid w:val="005D7552"/>
    <w:rsid w:val="005E02D4"/>
    <w:rsid w:val="005E081F"/>
    <w:rsid w:val="005E093E"/>
    <w:rsid w:val="005E1F83"/>
    <w:rsid w:val="005E2CEE"/>
    <w:rsid w:val="005E30B5"/>
    <w:rsid w:val="005E342A"/>
    <w:rsid w:val="005E37EB"/>
    <w:rsid w:val="005E4264"/>
    <w:rsid w:val="005E606D"/>
    <w:rsid w:val="005E6512"/>
    <w:rsid w:val="005E675F"/>
    <w:rsid w:val="005E68BC"/>
    <w:rsid w:val="005E6F55"/>
    <w:rsid w:val="005E7156"/>
    <w:rsid w:val="005E74EF"/>
    <w:rsid w:val="005E7631"/>
    <w:rsid w:val="005F0547"/>
    <w:rsid w:val="005F0B5E"/>
    <w:rsid w:val="005F0C9B"/>
    <w:rsid w:val="005F19F9"/>
    <w:rsid w:val="005F2725"/>
    <w:rsid w:val="005F28B4"/>
    <w:rsid w:val="005F2E23"/>
    <w:rsid w:val="005F364D"/>
    <w:rsid w:val="005F3C17"/>
    <w:rsid w:val="005F47CD"/>
    <w:rsid w:val="005F54E8"/>
    <w:rsid w:val="005F69D7"/>
    <w:rsid w:val="005F7A0B"/>
    <w:rsid w:val="005F7BBF"/>
    <w:rsid w:val="006001B1"/>
    <w:rsid w:val="006001F6"/>
    <w:rsid w:val="00600280"/>
    <w:rsid w:val="0060076C"/>
    <w:rsid w:val="00600992"/>
    <w:rsid w:val="00600BB4"/>
    <w:rsid w:val="0060127D"/>
    <w:rsid w:val="00601F21"/>
    <w:rsid w:val="006026F8"/>
    <w:rsid w:val="00602C1B"/>
    <w:rsid w:val="0060302D"/>
    <w:rsid w:val="006035A6"/>
    <w:rsid w:val="00604363"/>
    <w:rsid w:val="00604886"/>
    <w:rsid w:val="00604F68"/>
    <w:rsid w:val="006054BD"/>
    <w:rsid w:val="00605ACA"/>
    <w:rsid w:val="00605EB0"/>
    <w:rsid w:val="00606418"/>
    <w:rsid w:val="006066E3"/>
    <w:rsid w:val="00606801"/>
    <w:rsid w:val="00607F94"/>
    <w:rsid w:val="006109C3"/>
    <w:rsid w:val="0061163F"/>
    <w:rsid w:val="006128D0"/>
    <w:rsid w:val="00612A3A"/>
    <w:rsid w:val="00612DF2"/>
    <w:rsid w:val="00613095"/>
    <w:rsid w:val="006136B3"/>
    <w:rsid w:val="00613C42"/>
    <w:rsid w:val="00613D7C"/>
    <w:rsid w:val="00615732"/>
    <w:rsid w:val="00617BBB"/>
    <w:rsid w:val="00620FE9"/>
    <w:rsid w:val="00623594"/>
    <w:rsid w:val="006235EA"/>
    <w:rsid w:val="0062382A"/>
    <w:rsid w:val="00623DDF"/>
    <w:rsid w:val="00623EDD"/>
    <w:rsid w:val="00624491"/>
    <w:rsid w:val="0062454E"/>
    <w:rsid w:val="00624C1B"/>
    <w:rsid w:val="00624CC0"/>
    <w:rsid w:val="0062589C"/>
    <w:rsid w:val="0062624D"/>
    <w:rsid w:val="006264EA"/>
    <w:rsid w:val="006266A8"/>
    <w:rsid w:val="00626E88"/>
    <w:rsid w:val="00627355"/>
    <w:rsid w:val="00627BAD"/>
    <w:rsid w:val="00630F8F"/>
    <w:rsid w:val="00631285"/>
    <w:rsid w:val="006315A3"/>
    <w:rsid w:val="00632032"/>
    <w:rsid w:val="0063232C"/>
    <w:rsid w:val="00632E02"/>
    <w:rsid w:val="006331B0"/>
    <w:rsid w:val="006342B5"/>
    <w:rsid w:val="0063448D"/>
    <w:rsid w:val="00634C8C"/>
    <w:rsid w:val="006353A0"/>
    <w:rsid w:val="0063577D"/>
    <w:rsid w:val="00636067"/>
    <w:rsid w:val="00636859"/>
    <w:rsid w:val="00637A0F"/>
    <w:rsid w:val="00637C27"/>
    <w:rsid w:val="00640249"/>
    <w:rsid w:val="00640580"/>
    <w:rsid w:val="00640F8B"/>
    <w:rsid w:val="0064152D"/>
    <w:rsid w:val="00641D57"/>
    <w:rsid w:val="006429F2"/>
    <w:rsid w:val="0064329A"/>
    <w:rsid w:val="00644B6A"/>
    <w:rsid w:val="006459C6"/>
    <w:rsid w:val="006467AE"/>
    <w:rsid w:val="006502DF"/>
    <w:rsid w:val="006509C9"/>
    <w:rsid w:val="00651634"/>
    <w:rsid w:val="00651835"/>
    <w:rsid w:val="00652588"/>
    <w:rsid w:val="00653263"/>
    <w:rsid w:val="00653317"/>
    <w:rsid w:val="00653FAF"/>
    <w:rsid w:val="00654108"/>
    <w:rsid w:val="00654FEE"/>
    <w:rsid w:val="006550C5"/>
    <w:rsid w:val="00655828"/>
    <w:rsid w:val="00656282"/>
    <w:rsid w:val="00656671"/>
    <w:rsid w:val="006568A8"/>
    <w:rsid w:val="00657036"/>
    <w:rsid w:val="00657095"/>
    <w:rsid w:val="00660033"/>
    <w:rsid w:val="00661A1E"/>
    <w:rsid w:val="00661C74"/>
    <w:rsid w:val="0066211A"/>
    <w:rsid w:val="006622A1"/>
    <w:rsid w:val="00662C4D"/>
    <w:rsid w:val="00664123"/>
    <w:rsid w:val="0066416F"/>
    <w:rsid w:val="006647D0"/>
    <w:rsid w:val="006651CF"/>
    <w:rsid w:val="00665801"/>
    <w:rsid w:val="00665BCE"/>
    <w:rsid w:val="00665C9E"/>
    <w:rsid w:val="00665D0F"/>
    <w:rsid w:val="006665A4"/>
    <w:rsid w:val="00666BE2"/>
    <w:rsid w:val="00667172"/>
    <w:rsid w:val="0066770A"/>
    <w:rsid w:val="00667881"/>
    <w:rsid w:val="0067030D"/>
    <w:rsid w:val="00670530"/>
    <w:rsid w:val="00670733"/>
    <w:rsid w:val="006707E4"/>
    <w:rsid w:val="00670E8A"/>
    <w:rsid w:val="0067176B"/>
    <w:rsid w:val="00671D5F"/>
    <w:rsid w:val="00671DC9"/>
    <w:rsid w:val="006725FC"/>
    <w:rsid w:val="0067324C"/>
    <w:rsid w:val="00673557"/>
    <w:rsid w:val="00673FA3"/>
    <w:rsid w:val="00674EA1"/>
    <w:rsid w:val="006755DE"/>
    <w:rsid w:val="006761D8"/>
    <w:rsid w:val="00676861"/>
    <w:rsid w:val="00676E45"/>
    <w:rsid w:val="00677094"/>
    <w:rsid w:val="006773DF"/>
    <w:rsid w:val="0067799A"/>
    <w:rsid w:val="00677E5A"/>
    <w:rsid w:val="006800E5"/>
    <w:rsid w:val="006828FE"/>
    <w:rsid w:val="00682FF7"/>
    <w:rsid w:val="00683208"/>
    <w:rsid w:val="0068330B"/>
    <w:rsid w:val="00683BB2"/>
    <w:rsid w:val="00683DA9"/>
    <w:rsid w:val="0068443A"/>
    <w:rsid w:val="006855E1"/>
    <w:rsid w:val="00685B2F"/>
    <w:rsid w:val="00685D61"/>
    <w:rsid w:val="00686336"/>
    <w:rsid w:val="0068644C"/>
    <w:rsid w:val="00686DB1"/>
    <w:rsid w:val="006873A5"/>
    <w:rsid w:val="006873E5"/>
    <w:rsid w:val="006875C5"/>
    <w:rsid w:val="0068766C"/>
    <w:rsid w:val="00687B0E"/>
    <w:rsid w:val="00687EA2"/>
    <w:rsid w:val="006903A5"/>
    <w:rsid w:val="006904C8"/>
    <w:rsid w:val="0069065E"/>
    <w:rsid w:val="00690818"/>
    <w:rsid w:val="00690932"/>
    <w:rsid w:val="00692BCF"/>
    <w:rsid w:val="00692BF8"/>
    <w:rsid w:val="00693161"/>
    <w:rsid w:val="006940F7"/>
    <w:rsid w:val="00694397"/>
    <w:rsid w:val="006943F8"/>
    <w:rsid w:val="00694CA8"/>
    <w:rsid w:val="006957BC"/>
    <w:rsid w:val="00695920"/>
    <w:rsid w:val="00695DA9"/>
    <w:rsid w:val="00696D7C"/>
    <w:rsid w:val="00697AB8"/>
    <w:rsid w:val="006A08DB"/>
    <w:rsid w:val="006A0E6B"/>
    <w:rsid w:val="006A19AA"/>
    <w:rsid w:val="006A31CE"/>
    <w:rsid w:val="006A33F6"/>
    <w:rsid w:val="006A45DC"/>
    <w:rsid w:val="006A491F"/>
    <w:rsid w:val="006A536D"/>
    <w:rsid w:val="006A5AAF"/>
    <w:rsid w:val="006A6087"/>
    <w:rsid w:val="006A6348"/>
    <w:rsid w:val="006A7BFD"/>
    <w:rsid w:val="006A7EDB"/>
    <w:rsid w:val="006B0964"/>
    <w:rsid w:val="006B0FC2"/>
    <w:rsid w:val="006B151D"/>
    <w:rsid w:val="006B1962"/>
    <w:rsid w:val="006B2616"/>
    <w:rsid w:val="006B27A1"/>
    <w:rsid w:val="006B2D9E"/>
    <w:rsid w:val="006B2E20"/>
    <w:rsid w:val="006B3D7D"/>
    <w:rsid w:val="006B4ADC"/>
    <w:rsid w:val="006B5149"/>
    <w:rsid w:val="006B5755"/>
    <w:rsid w:val="006B65C5"/>
    <w:rsid w:val="006B6A67"/>
    <w:rsid w:val="006B6CF6"/>
    <w:rsid w:val="006B6D69"/>
    <w:rsid w:val="006B7C82"/>
    <w:rsid w:val="006C0E68"/>
    <w:rsid w:val="006C1045"/>
    <w:rsid w:val="006C2637"/>
    <w:rsid w:val="006C30DB"/>
    <w:rsid w:val="006C312D"/>
    <w:rsid w:val="006C3831"/>
    <w:rsid w:val="006C424A"/>
    <w:rsid w:val="006C453A"/>
    <w:rsid w:val="006C45CB"/>
    <w:rsid w:val="006C5CED"/>
    <w:rsid w:val="006C60B7"/>
    <w:rsid w:val="006C65BB"/>
    <w:rsid w:val="006C68B2"/>
    <w:rsid w:val="006C7425"/>
    <w:rsid w:val="006C7580"/>
    <w:rsid w:val="006C764B"/>
    <w:rsid w:val="006C76AA"/>
    <w:rsid w:val="006C7F57"/>
    <w:rsid w:val="006D0026"/>
    <w:rsid w:val="006D022C"/>
    <w:rsid w:val="006D0B12"/>
    <w:rsid w:val="006D11B6"/>
    <w:rsid w:val="006D1D8B"/>
    <w:rsid w:val="006D20CD"/>
    <w:rsid w:val="006D3745"/>
    <w:rsid w:val="006D3D16"/>
    <w:rsid w:val="006D3F8F"/>
    <w:rsid w:val="006D4132"/>
    <w:rsid w:val="006D5606"/>
    <w:rsid w:val="006D60D4"/>
    <w:rsid w:val="006D6451"/>
    <w:rsid w:val="006D6929"/>
    <w:rsid w:val="006D77C7"/>
    <w:rsid w:val="006E0D37"/>
    <w:rsid w:val="006E0DD2"/>
    <w:rsid w:val="006E10F8"/>
    <w:rsid w:val="006E110C"/>
    <w:rsid w:val="006E1941"/>
    <w:rsid w:val="006E211C"/>
    <w:rsid w:val="006E23B9"/>
    <w:rsid w:val="006E3493"/>
    <w:rsid w:val="006E3BFE"/>
    <w:rsid w:val="006E4458"/>
    <w:rsid w:val="006E4C16"/>
    <w:rsid w:val="006E6A5F"/>
    <w:rsid w:val="006E7153"/>
    <w:rsid w:val="006E7D5A"/>
    <w:rsid w:val="006F0372"/>
    <w:rsid w:val="006F17DF"/>
    <w:rsid w:val="006F1FE2"/>
    <w:rsid w:val="006F2363"/>
    <w:rsid w:val="006F25A8"/>
    <w:rsid w:val="006F2628"/>
    <w:rsid w:val="006F3A16"/>
    <w:rsid w:val="006F3B02"/>
    <w:rsid w:val="006F4098"/>
    <w:rsid w:val="006F4F01"/>
    <w:rsid w:val="006F52D6"/>
    <w:rsid w:val="006F5EB3"/>
    <w:rsid w:val="006F6280"/>
    <w:rsid w:val="006F6E88"/>
    <w:rsid w:val="006F7203"/>
    <w:rsid w:val="006F7C0F"/>
    <w:rsid w:val="0070012F"/>
    <w:rsid w:val="00700148"/>
    <w:rsid w:val="007012C6"/>
    <w:rsid w:val="00702371"/>
    <w:rsid w:val="007026A7"/>
    <w:rsid w:val="007027EB"/>
    <w:rsid w:val="00702B75"/>
    <w:rsid w:val="007048E2"/>
    <w:rsid w:val="00705DA2"/>
    <w:rsid w:val="00706F17"/>
    <w:rsid w:val="00707780"/>
    <w:rsid w:val="007079CA"/>
    <w:rsid w:val="00710498"/>
    <w:rsid w:val="00710637"/>
    <w:rsid w:val="00710746"/>
    <w:rsid w:val="00711AD9"/>
    <w:rsid w:val="007126C9"/>
    <w:rsid w:val="00712A09"/>
    <w:rsid w:val="00713CB9"/>
    <w:rsid w:val="00713F28"/>
    <w:rsid w:val="00714143"/>
    <w:rsid w:val="00715A77"/>
    <w:rsid w:val="0071689A"/>
    <w:rsid w:val="0071691D"/>
    <w:rsid w:val="007175FC"/>
    <w:rsid w:val="00720919"/>
    <w:rsid w:val="00720BED"/>
    <w:rsid w:val="00721D2B"/>
    <w:rsid w:val="00721EA3"/>
    <w:rsid w:val="00722289"/>
    <w:rsid w:val="007236BD"/>
    <w:rsid w:val="00723840"/>
    <w:rsid w:val="00723E96"/>
    <w:rsid w:val="00724C6C"/>
    <w:rsid w:val="00724FE1"/>
    <w:rsid w:val="0072584C"/>
    <w:rsid w:val="00725DCD"/>
    <w:rsid w:val="00725E60"/>
    <w:rsid w:val="0072680E"/>
    <w:rsid w:val="0072684E"/>
    <w:rsid w:val="00727629"/>
    <w:rsid w:val="00727A34"/>
    <w:rsid w:val="00727DFB"/>
    <w:rsid w:val="00730356"/>
    <w:rsid w:val="00730717"/>
    <w:rsid w:val="00730A24"/>
    <w:rsid w:val="00730AE5"/>
    <w:rsid w:val="00730DB7"/>
    <w:rsid w:val="00730F11"/>
    <w:rsid w:val="00731370"/>
    <w:rsid w:val="00731BC2"/>
    <w:rsid w:val="007324AA"/>
    <w:rsid w:val="0073265A"/>
    <w:rsid w:val="007332D0"/>
    <w:rsid w:val="007339C1"/>
    <w:rsid w:val="0073412C"/>
    <w:rsid w:val="00734EBE"/>
    <w:rsid w:val="0073615E"/>
    <w:rsid w:val="0073657E"/>
    <w:rsid w:val="007365B1"/>
    <w:rsid w:val="007367E5"/>
    <w:rsid w:val="007373CB"/>
    <w:rsid w:val="00737826"/>
    <w:rsid w:val="007401E9"/>
    <w:rsid w:val="007407CF"/>
    <w:rsid w:val="00740CD4"/>
    <w:rsid w:val="00742234"/>
    <w:rsid w:val="007430EF"/>
    <w:rsid w:val="00743ABC"/>
    <w:rsid w:val="007446CC"/>
    <w:rsid w:val="00744B78"/>
    <w:rsid w:val="00744DA4"/>
    <w:rsid w:val="00744F8C"/>
    <w:rsid w:val="0074529C"/>
    <w:rsid w:val="00745822"/>
    <w:rsid w:val="007460EE"/>
    <w:rsid w:val="007464F2"/>
    <w:rsid w:val="0074682B"/>
    <w:rsid w:val="0074704D"/>
    <w:rsid w:val="007500C5"/>
    <w:rsid w:val="00750BF6"/>
    <w:rsid w:val="00751A5F"/>
    <w:rsid w:val="007524CA"/>
    <w:rsid w:val="00752D6E"/>
    <w:rsid w:val="00752EF1"/>
    <w:rsid w:val="00752FF8"/>
    <w:rsid w:val="007534DC"/>
    <w:rsid w:val="00753BFE"/>
    <w:rsid w:val="00753D63"/>
    <w:rsid w:val="0075414F"/>
    <w:rsid w:val="00754466"/>
    <w:rsid w:val="0075463D"/>
    <w:rsid w:val="007549DE"/>
    <w:rsid w:val="00755EE2"/>
    <w:rsid w:val="007560C8"/>
    <w:rsid w:val="00756167"/>
    <w:rsid w:val="00756D6B"/>
    <w:rsid w:val="00757116"/>
    <w:rsid w:val="0075729B"/>
    <w:rsid w:val="00760310"/>
    <w:rsid w:val="00760908"/>
    <w:rsid w:val="00760C85"/>
    <w:rsid w:val="00760EA3"/>
    <w:rsid w:val="00761BB6"/>
    <w:rsid w:val="00761D76"/>
    <w:rsid w:val="00762BED"/>
    <w:rsid w:val="00763D20"/>
    <w:rsid w:val="007654E2"/>
    <w:rsid w:val="007666DB"/>
    <w:rsid w:val="00766E83"/>
    <w:rsid w:val="00766F76"/>
    <w:rsid w:val="00767320"/>
    <w:rsid w:val="0076796D"/>
    <w:rsid w:val="00767CCC"/>
    <w:rsid w:val="00770828"/>
    <w:rsid w:val="00770876"/>
    <w:rsid w:val="007713A1"/>
    <w:rsid w:val="00771E6E"/>
    <w:rsid w:val="0077246D"/>
    <w:rsid w:val="00772725"/>
    <w:rsid w:val="00773F90"/>
    <w:rsid w:val="0077746B"/>
    <w:rsid w:val="007775C5"/>
    <w:rsid w:val="00777A26"/>
    <w:rsid w:val="00780E90"/>
    <w:rsid w:val="007819F9"/>
    <w:rsid w:val="00781B36"/>
    <w:rsid w:val="00781D8D"/>
    <w:rsid w:val="007823A8"/>
    <w:rsid w:val="0078284A"/>
    <w:rsid w:val="007833F6"/>
    <w:rsid w:val="0078351D"/>
    <w:rsid w:val="00785015"/>
    <w:rsid w:val="00785471"/>
    <w:rsid w:val="00785AF6"/>
    <w:rsid w:val="0078683F"/>
    <w:rsid w:val="00786D33"/>
    <w:rsid w:val="00787683"/>
    <w:rsid w:val="00787EF5"/>
    <w:rsid w:val="007900FD"/>
    <w:rsid w:val="00791440"/>
    <w:rsid w:val="007919A3"/>
    <w:rsid w:val="00791AC6"/>
    <w:rsid w:val="0079216B"/>
    <w:rsid w:val="00792999"/>
    <w:rsid w:val="00792A71"/>
    <w:rsid w:val="00793739"/>
    <w:rsid w:val="007946C6"/>
    <w:rsid w:val="00795000"/>
    <w:rsid w:val="00796036"/>
    <w:rsid w:val="007976A1"/>
    <w:rsid w:val="007A0724"/>
    <w:rsid w:val="007A122B"/>
    <w:rsid w:val="007A189C"/>
    <w:rsid w:val="007A21A3"/>
    <w:rsid w:val="007A4BC1"/>
    <w:rsid w:val="007A5380"/>
    <w:rsid w:val="007A5D2A"/>
    <w:rsid w:val="007A781F"/>
    <w:rsid w:val="007A79D6"/>
    <w:rsid w:val="007A7E12"/>
    <w:rsid w:val="007B072D"/>
    <w:rsid w:val="007B12F4"/>
    <w:rsid w:val="007B1610"/>
    <w:rsid w:val="007B1920"/>
    <w:rsid w:val="007B21C6"/>
    <w:rsid w:val="007B2DA8"/>
    <w:rsid w:val="007B31AF"/>
    <w:rsid w:val="007B35D5"/>
    <w:rsid w:val="007B36AE"/>
    <w:rsid w:val="007B514C"/>
    <w:rsid w:val="007B6E8F"/>
    <w:rsid w:val="007B6F74"/>
    <w:rsid w:val="007B7701"/>
    <w:rsid w:val="007C01F7"/>
    <w:rsid w:val="007C03F7"/>
    <w:rsid w:val="007C07B0"/>
    <w:rsid w:val="007C0E68"/>
    <w:rsid w:val="007C1805"/>
    <w:rsid w:val="007C26A0"/>
    <w:rsid w:val="007C2891"/>
    <w:rsid w:val="007C34D5"/>
    <w:rsid w:val="007C37CC"/>
    <w:rsid w:val="007C40F3"/>
    <w:rsid w:val="007C44D6"/>
    <w:rsid w:val="007C44D7"/>
    <w:rsid w:val="007C4F19"/>
    <w:rsid w:val="007C5032"/>
    <w:rsid w:val="007C534B"/>
    <w:rsid w:val="007C57AF"/>
    <w:rsid w:val="007C6B9F"/>
    <w:rsid w:val="007C7C65"/>
    <w:rsid w:val="007D158C"/>
    <w:rsid w:val="007D22BB"/>
    <w:rsid w:val="007D28B3"/>
    <w:rsid w:val="007D381F"/>
    <w:rsid w:val="007D41BE"/>
    <w:rsid w:val="007D5E66"/>
    <w:rsid w:val="007D6115"/>
    <w:rsid w:val="007D6180"/>
    <w:rsid w:val="007D6659"/>
    <w:rsid w:val="007D6A79"/>
    <w:rsid w:val="007D6AC0"/>
    <w:rsid w:val="007D6D31"/>
    <w:rsid w:val="007D79C1"/>
    <w:rsid w:val="007D7D0E"/>
    <w:rsid w:val="007E0F1C"/>
    <w:rsid w:val="007E0F2D"/>
    <w:rsid w:val="007E0F51"/>
    <w:rsid w:val="007E33FD"/>
    <w:rsid w:val="007E3C21"/>
    <w:rsid w:val="007E3FD6"/>
    <w:rsid w:val="007E476C"/>
    <w:rsid w:val="007E4DC4"/>
    <w:rsid w:val="007E4FEC"/>
    <w:rsid w:val="007E5580"/>
    <w:rsid w:val="007E5674"/>
    <w:rsid w:val="007E5F4B"/>
    <w:rsid w:val="007E6AEB"/>
    <w:rsid w:val="007E79B8"/>
    <w:rsid w:val="007E7FE8"/>
    <w:rsid w:val="007F23C7"/>
    <w:rsid w:val="007F2446"/>
    <w:rsid w:val="007F2593"/>
    <w:rsid w:val="007F25C6"/>
    <w:rsid w:val="007F2F11"/>
    <w:rsid w:val="007F2F86"/>
    <w:rsid w:val="007F383F"/>
    <w:rsid w:val="007F38F5"/>
    <w:rsid w:val="007F47E4"/>
    <w:rsid w:val="007F4DC5"/>
    <w:rsid w:val="007F6971"/>
    <w:rsid w:val="007F6FB0"/>
    <w:rsid w:val="007F7CF1"/>
    <w:rsid w:val="008005C3"/>
    <w:rsid w:val="008008F0"/>
    <w:rsid w:val="00801E08"/>
    <w:rsid w:val="008021BC"/>
    <w:rsid w:val="008026C5"/>
    <w:rsid w:val="00802C8A"/>
    <w:rsid w:val="00802DBB"/>
    <w:rsid w:val="00803034"/>
    <w:rsid w:val="00803157"/>
    <w:rsid w:val="00803D1C"/>
    <w:rsid w:val="00803EDB"/>
    <w:rsid w:val="008043B7"/>
    <w:rsid w:val="00805892"/>
    <w:rsid w:val="00805AC3"/>
    <w:rsid w:val="00805E81"/>
    <w:rsid w:val="00806475"/>
    <w:rsid w:val="00806696"/>
    <w:rsid w:val="00807434"/>
    <w:rsid w:val="0081008C"/>
    <w:rsid w:val="008110A6"/>
    <w:rsid w:val="0081256C"/>
    <w:rsid w:val="00814A98"/>
    <w:rsid w:val="0081592F"/>
    <w:rsid w:val="0081607E"/>
    <w:rsid w:val="0081701D"/>
    <w:rsid w:val="00820F6F"/>
    <w:rsid w:val="008214F2"/>
    <w:rsid w:val="00822588"/>
    <w:rsid w:val="008228E3"/>
    <w:rsid w:val="00822DDA"/>
    <w:rsid w:val="00822E21"/>
    <w:rsid w:val="00822F8C"/>
    <w:rsid w:val="008233AA"/>
    <w:rsid w:val="00824AAA"/>
    <w:rsid w:val="008250F1"/>
    <w:rsid w:val="008252C0"/>
    <w:rsid w:val="0082549D"/>
    <w:rsid w:val="008263C6"/>
    <w:rsid w:val="00826AF2"/>
    <w:rsid w:val="00827A98"/>
    <w:rsid w:val="0083146A"/>
    <w:rsid w:val="00831E25"/>
    <w:rsid w:val="0083297F"/>
    <w:rsid w:val="008338EC"/>
    <w:rsid w:val="0083468B"/>
    <w:rsid w:val="00834770"/>
    <w:rsid w:val="00834E88"/>
    <w:rsid w:val="00835E17"/>
    <w:rsid w:val="00835ECC"/>
    <w:rsid w:val="0083712D"/>
    <w:rsid w:val="00837409"/>
    <w:rsid w:val="00842CE4"/>
    <w:rsid w:val="00843751"/>
    <w:rsid w:val="0084480A"/>
    <w:rsid w:val="00845025"/>
    <w:rsid w:val="008450F0"/>
    <w:rsid w:val="0084584A"/>
    <w:rsid w:val="00845EAA"/>
    <w:rsid w:val="008467B0"/>
    <w:rsid w:val="008469E3"/>
    <w:rsid w:val="00847424"/>
    <w:rsid w:val="008476B8"/>
    <w:rsid w:val="00847B5E"/>
    <w:rsid w:val="0085023B"/>
    <w:rsid w:val="0085035A"/>
    <w:rsid w:val="00850964"/>
    <w:rsid w:val="00850A4F"/>
    <w:rsid w:val="008511D0"/>
    <w:rsid w:val="0085190F"/>
    <w:rsid w:val="00851EE0"/>
    <w:rsid w:val="008521D8"/>
    <w:rsid w:val="008522DC"/>
    <w:rsid w:val="008525E3"/>
    <w:rsid w:val="008527B0"/>
    <w:rsid w:val="0085281C"/>
    <w:rsid w:val="0085390E"/>
    <w:rsid w:val="00854704"/>
    <w:rsid w:val="00854F5F"/>
    <w:rsid w:val="00855240"/>
    <w:rsid w:val="008552E5"/>
    <w:rsid w:val="00855ED5"/>
    <w:rsid w:val="008566EC"/>
    <w:rsid w:val="00856A18"/>
    <w:rsid w:val="0085756F"/>
    <w:rsid w:val="00860D5E"/>
    <w:rsid w:val="0086145B"/>
    <w:rsid w:val="008636FE"/>
    <w:rsid w:val="00864220"/>
    <w:rsid w:val="0086441D"/>
    <w:rsid w:val="00864E04"/>
    <w:rsid w:val="00865177"/>
    <w:rsid w:val="00866995"/>
    <w:rsid w:val="00866A7E"/>
    <w:rsid w:val="00867406"/>
    <w:rsid w:val="008679D9"/>
    <w:rsid w:val="008703DC"/>
    <w:rsid w:val="008706F3"/>
    <w:rsid w:val="00870F2B"/>
    <w:rsid w:val="0087113B"/>
    <w:rsid w:val="00872799"/>
    <w:rsid w:val="008727B7"/>
    <w:rsid w:val="0087286D"/>
    <w:rsid w:val="00872A4A"/>
    <w:rsid w:val="0087318F"/>
    <w:rsid w:val="0087389F"/>
    <w:rsid w:val="0087423F"/>
    <w:rsid w:val="008745CC"/>
    <w:rsid w:val="00874B78"/>
    <w:rsid w:val="0087538F"/>
    <w:rsid w:val="0087578E"/>
    <w:rsid w:val="00876DB8"/>
    <w:rsid w:val="0087707F"/>
    <w:rsid w:val="00877169"/>
    <w:rsid w:val="00877668"/>
    <w:rsid w:val="00877DAB"/>
    <w:rsid w:val="00880FFD"/>
    <w:rsid w:val="00881493"/>
    <w:rsid w:val="008820D2"/>
    <w:rsid w:val="00883948"/>
    <w:rsid w:val="008845F1"/>
    <w:rsid w:val="00884DB3"/>
    <w:rsid w:val="0088576D"/>
    <w:rsid w:val="00886414"/>
    <w:rsid w:val="0088793A"/>
    <w:rsid w:val="00887BAE"/>
    <w:rsid w:val="00890B52"/>
    <w:rsid w:val="008917DB"/>
    <w:rsid w:val="00892B7C"/>
    <w:rsid w:val="0089354E"/>
    <w:rsid w:val="00893C51"/>
    <w:rsid w:val="00894714"/>
    <w:rsid w:val="00895491"/>
    <w:rsid w:val="0089644F"/>
    <w:rsid w:val="00897083"/>
    <w:rsid w:val="00897535"/>
    <w:rsid w:val="008A0466"/>
    <w:rsid w:val="008A0C8D"/>
    <w:rsid w:val="008A14C8"/>
    <w:rsid w:val="008A2142"/>
    <w:rsid w:val="008A215B"/>
    <w:rsid w:val="008A273A"/>
    <w:rsid w:val="008A2C3E"/>
    <w:rsid w:val="008A4CAB"/>
    <w:rsid w:val="008A527B"/>
    <w:rsid w:val="008A61EA"/>
    <w:rsid w:val="008A64C2"/>
    <w:rsid w:val="008A6892"/>
    <w:rsid w:val="008A6D21"/>
    <w:rsid w:val="008A7062"/>
    <w:rsid w:val="008A711E"/>
    <w:rsid w:val="008A736F"/>
    <w:rsid w:val="008A7530"/>
    <w:rsid w:val="008A7C8F"/>
    <w:rsid w:val="008B14B1"/>
    <w:rsid w:val="008B16C6"/>
    <w:rsid w:val="008B1BC0"/>
    <w:rsid w:val="008B2A2D"/>
    <w:rsid w:val="008B2C29"/>
    <w:rsid w:val="008B3519"/>
    <w:rsid w:val="008B3F8D"/>
    <w:rsid w:val="008B40CD"/>
    <w:rsid w:val="008B4472"/>
    <w:rsid w:val="008B4792"/>
    <w:rsid w:val="008B5152"/>
    <w:rsid w:val="008B5243"/>
    <w:rsid w:val="008B5636"/>
    <w:rsid w:val="008B56C0"/>
    <w:rsid w:val="008B5D7E"/>
    <w:rsid w:val="008B78A1"/>
    <w:rsid w:val="008C0645"/>
    <w:rsid w:val="008C0767"/>
    <w:rsid w:val="008C133F"/>
    <w:rsid w:val="008C21B8"/>
    <w:rsid w:val="008C2F06"/>
    <w:rsid w:val="008C3783"/>
    <w:rsid w:val="008C399E"/>
    <w:rsid w:val="008C425B"/>
    <w:rsid w:val="008C4CCE"/>
    <w:rsid w:val="008C4D78"/>
    <w:rsid w:val="008C5021"/>
    <w:rsid w:val="008C5171"/>
    <w:rsid w:val="008C52F0"/>
    <w:rsid w:val="008C544C"/>
    <w:rsid w:val="008C6304"/>
    <w:rsid w:val="008C6BAD"/>
    <w:rsid w:val="008C6EB8"/>
    <w:rsid w:val="008C7D44"/>
    <w:rsid w:val="008C7F83"/>
    <w:rsid w:val="008D0530"/>
    <w:rsid w:val="008D1D17"/>
    <w:rsid w:val="008D2562"/>
    <w:rsid w:val="008D4088"/>
    <w:rsid w:val="008D4A27"/>
    <w:rsid w:val="008D5D7F"/>
    <w:rsid w:val="008D60C9"/>
    <w:rsid w:val="008D6BE7"/>
    <w:rsid w:val="008D6C15"/>
    <w:rsid w:val="008D7085"/>
    <w:rsid w:val="008D7800"/>
    <w:rsid w:val="008D7B38"/>
    <w:rsid w:val="008D7EBE"/>
    <w:rsid w:val="008E04BE"/>
    <w:rsid w:val="008E0F51"/>
    <w:rsid w:val="008E0F88"/>
    <w:rsid w:val="008E1C93"/>
    <w:rsid w:val="008E2D13"/>
    <w:rsid w:val="008E35C2"/>
    <w:rsid w:val="008E3FEB"/>
    <w:rsid w:val="008E48E3"/>
    <w:rsid w:val="008E648B"/>
    <w:rsid w:val="008E6C17"/>
    <w:rsid w:val="008E7156"/>
    <w:rsid w:val="008F17F5"/>
    <w:rsid w:val="008F1B62"/>
    <w:rsid w:val="008F2A00"/>
    <w:rsid w:val="008F331D"/>
    <w:rsid w:val="008F3339"/>
    <w:rsid w:val="008F3E1A"/>
    <w:rsid w:val="008F3FAE"/>
    <w:rsid w:val="008F4A48"/>
    <w:rsid w:val="008F6965"/>
    <w:rsid w:val="008F6EDD"/>
    <w:rsid w:val="008F73AF"/>
    <w:rsid w:val="008F77E8"/>
    <w:rsid w:val="008F7929"/>
    <w:rsid w:val="008F7C4D"/>
    <w:rsid w:val="008F7C65"/>
    <w:rsid w:val="00900651"/>
    <w:rsid w:val="00900DCC"/>
    <w:rsid w:val="00901C74"/>
    <w:rsid w:val="00901CD6"/>
    <w:rsid w:val="00902221"/>
    <w:rsid w:val="00902324"/>
    <w:rsid w:val="00902EBC"/>
    <w:rsid w:val="00903CCE"/>
    <w:rsid w:val="00903E55"/>
    <w:rsid w:val="00903E8D"/>
    <w:rsid w:val="00904237"/>
    <w:rsid w:val="00905CD5"/>
    <w:rsid w:val="00905E5A"/>
    <w:rsid w:val="00906240"/>
    <w:rsid w:val="0091047D"/>
    <w:rsid w:val="00910D96"/>
    <w:rsid w:val="00911003"/>
    <w:rsid w:val="009121D8"/>
    <w:rsid w:val="00912314"/>
    <w:rsid w:val="0091292C"/>
    <w:rsid w:val="00912AF4"/>
    <w:rsid w:val="00912DC4"/>
    <w:rsid w:val="00912E54"/>
    <w:rsid w:val="009140F4"/>
    <w:rsid w:val="00914D06"/>
    <w:rsid w:val="00916FE0"/>
    <w:rsid w:val="00920112"/>
    <w:rsid w:val="00920448"/>
    <w:rsid w:val="00921319"/>
    <w:rsid w:val="009220A8"/>
    <w:rsid w:val="009233C9"/>
    <w:rsid w:val="009234D4"/>
    <w:rsid w:val="0092459F"/>
    <w:rsid w:val="009251BA"/>
    <w:rsid w:val="00925F4D"/>
    <w:rsid w:val="00927640"/>
    <w:rsid w:val="009304F7"/>
    <w:rsid w:val="009306A5"/>
    <w:rsid w:val="00930FC5"/>
    <w:rsid w:val="009315BC"/>
    <w:rsid w:val="00931A4F"/>
    <w:rsid w:val="00931AE7"/>
    <w:rsid w:val="00931B91"/>
    <w:rsid w:val="0093207F"/>
    <w:rsid w:val="00933035"/>
    <w:rsid w:val="009334AE"/>
    <w:rsid w:val="009339DB"/>
    <w:rsid w:val="00933D42"/>
    <w:rsid w:val="009349F0"/>
    <w:rsid w:val="00935182"/>
    <w:rsid w:val="00935B07"/>
    <w:rsid w:val="0093605F"/>
    <w:rsid w:val="009360E2"/>
    <w:rsid w:val="009369BC"/>
    <w:rsid w:val="00936DEB"/>
    <w:rsid w:val="0093743B"/>
    <w:rsid w:val="00937A73"/>
    <w:rsid w:val="0094079E"/>
    <w:rsid w:val="00941247"/>
    <w:rsid w:val="0094223B"/>
    <w:rsid w:val="009426B9"/>
    <w:rsid w:val="00943904"/>
    <w:rsid w:val="00943A29"/>
    <w:rsid w:val="00943DED"/>
    <w:rsid w:val="00944390"/>
    <w:rsid w:val="00944428"/>
    <w:rsid w:val="009445B7"/>
    <w:rsid w:val="00944AEA"/>
    <w:rsid w:val="00944EFB"/>
    <w:rsid w:val="0094588D"/>
    <w:rsid w:val="00946AB9"/>
    <w:rsid w:val="0094704E"/>
    <w:rsid w:val="00947134"/>
    <w:rsid w:val="009502AC"/>
    <w:rsid w:val="0095136C"/>
    <w:rsid w:val="009519AC"/>
    <w:rsid w:val="00951AEC"/>
    <w:rsid w:val="009520C5"/>
    <w:rsid w:val="00953259"/>
    <w:rsid w:val="00953C9E"/>
    <w:rsid w:val="00954042"/>
    <w:rsid w:val="00954270"/>
    <w:rsid w:val="0095437E"/>
    <w:rsid w:val="00954472"/>
    <w:rsid w:val="009547BC"/>
    <w:rsid w:val="00955605"/>
    <w:rsid w:val="0095565B"/>
    <w:rsid w:val="0095598D"/>
    <w:rsid w:val="009561C5"/>
    <w:rsid w:val="009568E1"/>
    <w:rsid w:val="009569A0"/>
    <w:rsid w:val="009601E2"/>
    <w:rsid w:val="00960E01"/>
    <w:rsid w:val="00961267"/>
    <w:rsid w:val="00961643"/>
    <w:rsid w:val="00961DBA"/>
    <w:rsid w:val="00962E82"/>
    <w:rsid w:val="00962FAF"/>
    <w:rsid w:val="009634F2"/>
    <w:rsid w:val="009646AA"/>
    <w:rsid w:val="009657B5"/>
    <w:rsid w:val="00966547"/>
    <w:rsid w:val="009668E4"/>
    <w:rsid w:val="00966D78"/>
    <w:rsid w:val="00967076"/>
    <w:rsid w:val="009671FD"/>
    <w:rsid w:val="00967EFC"/>
    <w:rsid w:val="00970043"/>
    <w:rsid w:val="00970405"/>
    <w:rsid w:val="0097043B"/>
    <w:rsid w:val="009704C7"/>
    <w:rsid w:val="0097080F"/>
    <w:rsid w:val="00970C30"/>
    <w:rsid w:val="00970C91"/>
    <w:rsid w:val="0097171A"/>
    <w:rsid w:val="00971836"/>
    <w:rsid w:val="00971F27"/>
    <w:rsid w:val="00971FAD"/>
    <w:rsid w:val="00972496"/>
    <w:rsid w:val="009724C6"/>
    <w:rsid w:val="00973C9F"/>
    <w:rsid w:val="00974301"/>
    <w:rsid w:val="0097460A"/>
    <w:rsid w:val="009748DF"/>
    <w:rsid w:val="00974B25"/>
    <w:rsid w:val="009750AC"/>
    <w:rsid w:val="00975444"/>
    <w:rsid w:val="009762D2"/>
    <w:rsid w:val="009765B9"/>
    <w:rsid w:val="00977D1C"/>
    <w:rsid w:val="009801FD"/>
    <w:rsid w:val="00980C78"/>
    <w:rsid w:val="00981FA1"/>
    <w:rsid w:val="00983E9A"/>
    <w:rsid w:val="009848F4"/>
    <w:rsid w:val="0098536E"/>
    <w:rsid w:val="00985CC4"/>
    <w:rsid w:val="00986601"/>
    <w:rsid w:val="00986E0B"/>
    <w:rsid w:val="0098701C"/>
    <w:rsid w:val="00987087"/>
    <w:rsid w:val="00987D24"/>
    <w:rsid w:val="009900D5"/>
    <w:rsid w:val="009902EF"/>
    <w:rsid w:val="00990863"/>
    <w:rsid w:val="00992910"/>
    <w:rsid w:val="00992BA8"/>
    <w:rsid w:val="0099320F"/>
    <w:rsid w:val="00993425"/>
    <w:rsid w:val="00993CA8"/>
    <w:rsid w:val="0099410D"/>
    <w:rsid w:val="0099600E"/>
    <w:rsid w:val="009A01F8"/>
    <w:rsid w:val="009A18BB"/>
    <w:rsid w:val="009A2BEA"/>
    <w:rsid w:val="009A390E"/>
    <w:rsid w:val="009A3D55"/>
    <w:rsid w:val="009A3E7E"/>
    <w:rsid w:val="009A3F50"/>
    <w:rsid w:val="009A4462"/>
    <w:rsid w:val="009A44B9"/>
    <w:rsid w:val="009A473B"/>
    <w:rsid w:val="009A479D"/>
    <w:rsid w:val="009A4DAB"/>
    <w:rsid w:val="009A550E"/>
    <w:rsid w:val="009A5EE8"/>
    <w:rsid w:val="009A625A"/>
    <w:rsid w:val="009A6E8C"/>
    <w:rsid w:val="009A6FCE"/>
    <w:rsid w:val="009A74B4"/>
    <w:rsid w:val="009A7865"/>
    <w:rsid w:val="009A7A35"/>
    <w:rsid w:val="009B009D"/>
    <w:rsid w:val="009B182C"/>
    <w:rsid w:val="009B1851"/>
    <w:rsid w:val="009B2824"/>
    <w:rsid w:val="009B2853"/>
    <w:rsid w:val="009B2C05"/>
    <w:rsid w:val="009B32B3"/>
    <w:rsid w:val="009B3634"/>
    <w:rsid w:val="009B390E"/>
    <w:rsid w:val="009B3B4A"/>
    <w:rsid w:val="009B56A8"/>
    <w:rsid w:val="009B587D"/>
    <w:rsid w:val="009B67E7"/>
    <w:rsid w:val="009B6896"/>
    <w:rsid w:val="009B68C6"/>
    <w:rsid w:val="009C0DB6"/>
    <w:rsid w:val="009C1BE7"/>
    <w:rsid w:val="009C1EF1"/>
    <w:rsid w:val="009C39EF"/>
    <w:rsid w:val="009C3D78"/>
    <w:rsid w:val="009C4451"/>
    <w:rsid w:val="009C4C63"/>
    <w:rsid w:val="009C4D81"/>
    <w:rsid w:val="009C5081"/>
    <w:rsid w:val="009C5823"/>
    <w:rsid w:val="009C599F"/>
    <w:rsid w:val="009C5A9B"/>
    <w:rsid w:val="009C5CE8"/>
    <w:rsid w:val="009C5DC6"/>
    <w:rsid w:val="009C5E54"/>
    <w:rsid w:val="009C622C"/>
    <w:rsid w:val="009C62FC"/>
    <w:rsid w:val="009C67A4"/>
    <w:rsid w:val="009C68B4"/>
    <w:rsid w:val="009C75B2"/>
    <w:rsid w:val="009D0717"/>
    <w:rsid w:val="009D0A38"/>
    <w:rsid w:val="009D1088"/>
    <w:rsid w:val="009D1449"/>
    <w:rsid w:val="009D1547"/>
    <w:rsid w:val="009D1DD4"/>
    <w:rsid w:val="009D2937"/>
    <w:rsid w:val="009D304D"/>
    <w:rsid w:val="009D3DA9"/>
    <w:rsid w:val="009D65FB"/>
    <w:rsid w:val="009D76D4"/>
    <w:rsid w:val="009D7D9D"/>
    <w:rsid w:val="009E0C91"/>
    <w:rsid w:val="009E14CD"/>
    <w:rsid w:val="009E155A"/>
    <w:rsid w:val="009E1FA4"/>
    <w:rsid w:val="009E25F6"/>
    <w:rsid w:val="009E3FD0"/>
    <w:rsid w:val="009E4B2B"/>
    <w:rsid w:val="009E527B"/>
    <w:rsid w:val="009E5B8C"/>
    <w:rsid w:val="009E5C7C"/>
    <w:rsid w:val="009E5F02"/>
    <w:rsid w:val="009E5FF4"/>
    <w:rsid w:val="009E60A6"/>
    <w:rsid w:val="009E6241"/>
    <w:rsid w:val="009E675F"/>
    <w:rsid w:val="009E6992"/>
    <w:rsid w:val="009F067C"/>
    <w:rsid w:val="009F0FB6"/>
    <w:rsid w:val="009F1539"/>
    <w:rsid w:val="009F22FC"/>
    <w:rsid w:val="009F2715"/>
    <w:rsid w:val="009F3185"/>
    <w:rsid w:val="009F3234"/>
    <w:rsid w:val="009F342B"/>
    <w:rsid w:val="009F386B"/>
    <w:rsid w:val="009F3A45"/>
    <w:rsid w:val="009F4650"/>
    <w:rsid w:val="009F5151"/>
    <w:rsid w:val="009F5316"/>
    <w:rsid w:val="009F5511"/>
    <w:rsid w:val="009F646C"/>
    <w:rsid w:val="009F73F3"/>
    <w:rsid w:val="009F762A"/>
    <w:rsid w:val="009F76AD"/>
    <w:rsid w:val="009F7B14"/>
    <w:rsid w:val="00A0037D"/>
    <w:rsid w:val="00A0096E"/>
    <w:rsid w:val="00A00981"/>
    <w:rsid w:val="00A015EE"/>
    <w:rsid w:val="00A0185D"/>
    <w:rsid w:val="00A027C7"/>
    <w:rsid w:val="00A02976"/>
    <w:rsid w:val="00A02A59"/>
    <w:rsid w:val="00A034BA"/>
    <w:rsid w:val="00A034CE"/>
    <w:rsid w:val="00A034E2"/>
    <w:rsid w:val="00A04733"/>
    <w:rsid w:val="00A0497D"/>
    <w:rsid w:val="00A0510C"/>
    <w:rsid w:val="00A10711"/>
    <w:rsid w:val="00A1074E"/>
    <w:rsid w:val="00A117A0"/>
    <w:rsid w:val="00A11F24"/>
    <w:rsid w:val="00A12E08"/>
    <w:rsid w:val="00A132DC"/>
    <w:rsid w:val="00A13F00"/>
    <w:rsid w:val="00A14DA5"/>
    <w:rsid w:val="00A14FB7"/>
    <w:rsid w:val="00A15F53"/>
    <w:rsid w:val="00A16727"/>
    <w:rsid w:val="00A1677F"/>
    <w:rsid w:val="00A16A9A"/>
    <w:rsid w:val="00A17900"/>
    <w:rsid w:val="00A20101"/>
    <w:rsid w:val="00A21139"/>
    <w:rsid w:val="00A21D0A"/>
    <w:rsid w:val="00A22CFE"/>
    <w:rsid w:val="00A232F8"/>
    <w:rsid w:val="00A23F83"/>
    <w:rsid w:val="00A240B2"/>
    <w:rsid w:val="00A24F84"/>
    <w:rsid w:val="00A256E3"/>
    <w:rsid w:val="00A258C3"/>
    <w:rsid w:val="00A25F94"/>
    <w:rsid w:val="00A26C5B"/>
    <w:rsid w:val="00A27615"/>
    <w:rsid w:val="00A303C3"/>
    <w:rsid w:val="00A30998"/>
    <w:rsid w:val="00A31DBE"/>
    <w:rsid w:val="00A32FF3"/>
    <w:rsid w:val="00A33574"/>
    <w:rsid w:val="00A33921"/>
    <w:rsid w:val="00A33F18"/>
    <w:rsid w:val="00A3491D"/>
    <w:rsid w:val="00A35A27"/>
    <w:rsid w:val="00A35BEF"/>
    <w:rsid w:val="00A362A3"/>
    <w:rsid w:val="00A3632A"/>
    <w:rsid w:val="00A36E0A"/>
    <w:rsid w:val="00A36FA2"/>
    <w:rsid w:val="00A3705F"/>
    <w:rsid w:val="00A37352"/>
    <w:rsid w:val="00A37BFF"/>
    <w:rsid w:val="00A401E7"/>
    <w:rsid w:val="00A404ED"/>
    <w:rsid w:val="00A4091B"/>
    <w:rsid w:val="00A4103B"/>
    <w:rsid w:val="00A41684"/>
    <w:rsid w:val="00A42072"/>
    <w:rsid w:val="00A4208C"/>
    <w:rsid w:val="00A4288A"/>
    <w:rsid w:val="00A42E46"/>
    <w:rsid w:val="00A44398"/>
    <w:rsid w:val="00A44B17"/>
    <w:rsid w:val="00A44CF1"/>
    <w:rsid w:val="00A4575A"/>
    <w:rsid w:val="00A46B9F"/>
    <w:rsid w:val="00A47815"/>
    <w:rsid w:val="00A5048E"/>
    <w:rsid w:val="00A50E0E"/>
    <w:rsid w:val="00A51022"/>
    <w:rsid w:val="00A5109A"/>
    <w:rsid w:val="00A5236B"/>
    <w:rsid w:val="00A52D4F"/>
    <w:rsid w:val="00A5327E"/>
    <w:rsid w:val="00A5354E"/>
    <w:rsid w:val="00A55BE3"/>
    <w:rsid w:val="00A569FB"/>
    <w:rsid w:val="00A56D36"/>
    <w:rsid w:val="00A5767E"/>
    <w:rsid w:val="00A576CB"/>
    <w:rsid w:val="00A57A15"/>
    <w:rsid w:val="00A57B1A"/>
    <w:rsid w:val="00A60A7A"/>
    <w:rsid w:val="00A613E4"/>
    <w:rsid w:val="00A635A8"/>
    <w:rsid w:val="00A6371E"/>
    <w:rsid w:val="00A63E39"/>
    <w:rsid w:val="00A644F5"/>
    <w:rsid w:val="00A64AF3"/>
    <w:rsid w:val="00A64F96"/>
    <w:rsid w:val="00A65F1C"/>
    <w:rsid w:val="00A6655E"/>
    <w:rsid w:val="00A702EE"/>
    <w:rsid w:val="00A7217C"/>
    <w:rsid w:val="00A735E6"/>
    <w:rsid w:val="00A73817"/>
    <w:rsid w:val="00A740BB"/>
    <w:rsid w:val="00A744C9"/>
    <w:rsid w:val="00A74BFF"/>
    <w:rsid w:val="00A756BA"/>
    <w:rsid w:val="00A75AE1"/>
    <w:rsid w:val="00A75F08"/>
    <w:rsid w:val="00A761B2"/>
    <w:rsid w:val="00A761BE"/>
    <w:rsid w:val="00A76654"/>
    <w:rsid w:val="00A76931"/>
    <w:rsid w:val="00A776E6"/>
    <w:rsid w:val="00A801FB"/>
    <w:rsid w:val="00A80F5D"/>
    <w:rsid w:val="00A83015"/>
    <w:rsid w:val="00A83E09"/>
    <w:rsid w:val="00A8434B"/>
    <w:rsid w:val="00A855DD"/>
    <w:rsid w:val="00A85DB2"/>
    <w:rsid w:val="00A86FB6"/>
    <w:rsid w:val="00A87B81"/>
    <w:rsid w:val="00A87D77"/>
    <w:rsid w:val="00A87EE1"/>
    <w:rsid w:val="00A90E77"/>
    <w:rsid w:val="00A92EA3"/>
    <w:rsid w:val="00A948C0"/>
    <w:rsid w:val="00A957E0"/>
    <w:rsid w:val="00A95839"/>
    <w:rsid w:val="00A96072"/>
    <w:rsid w:val="00A967CB"/>
    <w:rsid w:val="00A968A4"/>
    <w:rsid w:val="00A968B7"/>
    <w:rsid w:val="00A96DDF"/>
    <w:rsid w:val="00A96F93"/>
    <w:rsid w:val="00A97949"/>
    <w:rsid w:val="00AA0FA6"/>
    <w:rsid w:val="00AA184C"/>
    <w:rsid w:val="00AA1EAB"/>
    <w:rsid w:val="00AA225C"/>
    <w:rsid w:val="00AA2B8B"/>
    <w:rsid w:val="00AA36A0"/>
    <w:rsid w:val="00AA3856"/>
    <w:rsid w:val="00AA3A0C"/>
    <w:rsid w:val="00AA4421"/>
    <w:rsid w:val="00AA46C6"/>
    <w:rsid w:val="00AA4A5F"/>
    <w:rsid w:val="00AA5265"/>
    <w:rsid w:val="00AA5C70"/>
    <w:rsid w:val="00AA605C"/>
    <w:rsid w:val="00AA64D0"/>
    <w:rsid w:val="00AA6916"/>
    <w:rsid w:val="00AA6A3B"/>
    <w:rsid w:val="00AA769E"/>
    <w:rsid w:val="00AA7771"/>
    <w:rsid w:val="00AB0FD1"/>
    <w:rsid w:val="00AB11DE"/>
    <w:rsid w:val="00AB1823"/>
    <w:rsid w:val="00AB310B"/>
    <w:rsid w:val="00AB345B"/>
    <w:rsid w:val="00AB3B57"/>
    <w:rsid w:val="00AB3E1F"/>
    <w:rsid w:val="00AB4BDC"/>
    <w:rsid w:val="00AB5C5E"/>
    <w:rsid w:val="00AB5E53"/>
    <w:rsid w:val="00AB635F"/>
    <w:rsid w:val="00AB7271"/>
    <w:rsid w:val="00AB74FD"/>
    <w:rsid w:val="00AB789F"/>
    <w:rsid w:val="00AB78F9"/>
    <w:rsid w:val="00AC0824"/>
    <w:rsid w:val="00AC0D42"/>
    <w:rsid w:val="00AC1924"/>
    <w:rsid w:val="00AC1FBC"/>
    <w:rsid w:val="00AC32E9"/>
    <w:rsid w:val="00AC371C"/>
    <w:rsid w:val="00AC39AE"/>
    <w:rsid w:val="00AC4368"/>
    <w:rsid w:val="00AC4DED"/>
    <w:rsid w:val="00AC54B3"/>
    <w:rsid w:val="00AC5ADA"/>
    <w:rsid w:val="00AC62E3"/>
    <w:rsid w:val="00AC6472"/>
    <w:rsid w:val="00AC6AD3"/>
    <w:rsid w:val="00AC6F46"/>
    <w:rsid w:val="00AC6FC8"/>
    <w:rsid w:val="00AC7B06"/>
    <w:rsid w:val="00AC7E62"/>
    <w:rsid w:val="00AC7EBD"/>
    <w:rsid w:val="00AD13D0"/>
    <w:rsid w:val="00AD1C38"/>
    <w:rsid w:val="00AD29A6"/>
    <w:rsid w:val="00AD32AE"/>
    <w:rsid w:val="00AD3FE3"/>
    <w:rsid w:val="00AD46FB"/>
    <w:rsid w:val="00AD525D"/>
    <w:rsid w:val="00AD6FF9"/>
    <w:rsid w:val="00AD7A4F"/>
    <w:rsid w:val="00AD7C08"/>
    <w:rsid w:val="00AD7E89"/>
    <w:rsid w:val="00AE0AE7"/>
    <w:rsid w:val="00AE1032"/>
    <w:rsid w:val="00AE15FC"/>
    <w:rsid w:val="00AE1E86"/>
    <w:rsid w:val="00AE20BD"/>
    <w:rsid w:val="00AE2117"/>
    <w:rsid w:val="00AE3828"/>
    <w:rsid w:val="00AE3E15"/>
    <w:rsid w:val="00AE47BE"/>
    <w:rsid w:val="00AE511B"/>
    <w:rsid w:val="00AE5637"/>
    <w:rsid w:val="00AE565C"/>
    <w:rsid w:val="00AE5C84"/>
    <w:rsid w:val="00AE5F86"/>
    <w:rsid w:val="00AE603D"/>
    <w:rsid w:val="00AE6263"/>
    <w:rsid w:val="00AE689C"/>
    <w:rsid w:val="00AE72A0"/>
    <w:rsid w:val="00AE792C"/>
    <w:rsid w:val="00AF0520"/>
    <w:rsid w:val="00AF0631"/>
    <w:rsid w:val="00AF102E"/>
    <w:rsid w:val="00AF139C"/>
    <w:rsid w:val="00AF162E"/>
    <w:rsid w:val="00AF1C28"/>
    <w:rsid w:val="00AF24A6"/>
    <w:rsid w:val="00AF34F1"/>
    <w:rsid w:val="00AF352C"/>
    <w:rsid w:val="00AF394D"/>
    <w:rsid w:val="00AF3ECF"/>
    <w:rsid w:val="00AF4628"/>
    <w:rsid w:val="00AF46A0"/>
    <w:rsid w:val="00AF48BA"/>
    <w:rsid w:val="00AF503F"/>
    <w:rsid w:val="00AF55E0"/>
    <w:rsid w:val="00AF604D"/>
    <w:rsid w:val="00AF61F5"/>
    <w:rsid w:val="00AF6F18"/>
    <w:rsid w:val="00B00045"/>
    <w:rsid w:val="00B00226"/>
    <w:rsid w:val="00B006A2"/>
    <w:rsid w:val="00B00B8D"/>
    <w:rsid w:val="00B02B98"/>
    <w:rsid w:val="00B0307C"/>
    <w:rsid w:val="00B031AF"/>
    <w:rsid w:val="00B03392"/>
    <w:rsid w:val="00B033C2"/>
    <w:rsid w:val="00B03949"/>
    <w:rsid w:val="00B04214"/>
    <w:rsid w:val="00B044FE"/>
    <w:rsid w:val="00B046CC"/>
    <w:rsid w:val="00B04B85"/>
    <w:rsid w:val="00B04D8E"/>
    <w:rsid w:val="00B062E9"/>
    <w:rsid w:val="00B0679A"/>
    <w:rsid w:val="00B06809"/>
    <w:rsid w:val="00B0697C"/>
    <w:rsid w:val="00B06F13"/>
    <w:rsid w:val="00B07291"/>
    <w:rsid w:val="00B10552"/>
    <w:rsid w:val="00B1119E"/>
    <w:rsid w:val="00B114F0"/>
    <w:rsid w:val="00B1175F"/>
    <w:rsid w:val="00B139D2"/>
    <w:rsid w:val="00B13B29"/>
    <w:rsid w:val="00B1498F"/>
    <w:rsid w:val="00B154F0"/>
    <w:rsid w:val="00B15538"/>
    <w:rsid w:val="00B15687"/>
    <w:rsid w:val="00B16C98"/>
    <w:rsid w:val="00B21374"/>
    <w:rsid w:val="00B214AE"/>
    <w:rsid w:val="00B21987"/>
    <w:rsid w:val="00B21FA4"/>
    <w:rsid w:val="00B221B1"/>
    <w:rsid w:val="00B22EEB"/>
    <w:rsid w:val="00B23688"/>
    <w:rsid w:val="00B2488D"/>
    <w:rsid w:val="00B24E2B"/>
    <w:rsid w:val="00B25BA6"/>
    <w:rsid w:val="00B25E45"/>
    <w:rsid w:val="00B26664"/>
    <w:rsid w:val="00B266FA"/>
    <w:rsid w:val="00B26C01"/>
    <w:rsid w:val="00B26E0A"/>
    <w:rsid w:val="00B274FD"/>
    <w:rsid w:val="00B30622"/>
    <w:rsid w:val="00B30804"/>
    <w:rsid w:val="00B30C52"/>
    <w:rsid w:val="00B30F4D"/>
    <w:rsid w:val="00B3174E"/>
    <w:rsid w:val="00B31CE7"/>
    <w:rsid w:val="00B3293D"/>
    <w:rsid w:val="00B32A65"/>
    <w:rsid w:val="00B33483"/>
    <w:rsid w:val="00B33E3E"/>
    <w:rsid w:val="00B344E4"/>
    <w:rsid w:val="00B34920"/>
    <w:rsid w:val="00B34D03"/>
    <w:rsid w:val="00B34DC4"/>
    <w:rsid w:val="00B35255"/>
    <w:rsid w:val="00B36143"/>
    <w:rsid w:val="00B40ACD"/>
    <w:rsid w:val="00B40DE0"/>
    <w:rsid w:val="00B40E96"/>
    <w:rsid w:val="00B40F83"/>
    <w:rsid w:val="00B411D4"/>
    <w:rsid w:val="00B41277"/>
    <w:rsid w:val="00B416D0"/>
    <w:rsid w:val="00B430A3"/>
    <w:rsid w:val="00B43E7D"/>
    <w:rsid w:val="00B44020"/>
    <w:rsid w:val="00B44536"/>
    <w:rsid w:val="00B449F5"/>
    <w:rsid w:val="00B4684C"/>
    <w:rsid w:val="00B46BA4"/>
    <w:rsid w:val="00B47187"/>
    <w:rsid w:val="00B47388"/>
    <w:rsid w:val="00B474CF"/>
    <w:rsid w:val="00B50491"/>
    <w:rsid w:val="00B50817"/>
    <w:rsid w:val="00B5197F"/>
    <w:rsid w:val="00B520C3"/>
    <w:rsid w:val="00B5216A"/>
    <w:rsid w:val="00B526D1"/>
    <w:rsid w:val="00B533E0"/>
    <w:rsid w:val="00B5440E"/>
    <w:rsid w:val="00B54DCD"/>
    <w:rsid w:val="00B55BF3"/>
    <w:rsid w:val="00B55D7F"/>
    <w:rsid w:val="00B5740F"/>
    <w:rsid w:val="00B5796D"/>
    <w:rsid w:val="00B57C2A"/>
    <w:rsid w:val="00B6002C"/>
    <w:rsid w:val="00B6130F"/>
    <w:rsid w:val="00B625DB"/>
    <w:rsid w:val="00B625F0"/>
    <w:rsid w:val="00B62EEB"/>
    <w:rsid w:val="00B63206"/>
    <w:rsid w:val="00B63B6D"/>
    <w:rsid w:val="00B63C15"/>
    <w:rsid w:val="00B64177"/>
    <w:rsid w:val="00B64522"/>
    <w:rsid w:val="00B65498"/>
    <w:rsid w:val="00B66C3F"/>
    <w:rsid w:val="00B67105"/>
    <w:rsid w:val="00B675AC"/>
    <w:rsid w:val="00B706F9"/>
    <w:rsid w:val="00B7150A"/>
    <w:rsid w:val="00B719EA"/>
    <w:rsid w:val="00B722C9"/>
    <w:rsid w:val="00B73054"/>
    <w:rsid w:val="00B73249"/>
    <w:rsid w:val="00B7405A"/>
    <w:rsid w:val="00B74EC2"/>
    <w:rsid w:val="00B753B3"/>
    <w:rsid w:val="00B76221"/>
    <w:rsid w:val="00B76639"/>
    <w:rsid w:val="00B76C7A"/>
    <w:rsid w:val="00B76E9B"/>
    <w:rsid w:val="00B801DA"/>
    <w:rsid w:val="00B82438"/>
    <w:rsid w:val="00B8351E"/>
    <w:rsid w:val="00B83524"/>
    <w:rsid w:val="00B84AE8"/>
    <w:rsid w:val="00B84CA8"/>
    <w:rsid w:val="00B86177"/>
    <w:rsid w:val="00B86501"/>
    <w:rsid w:val="00B86BF5"/>
    <w:rsid w:val="00B86E46"/>
    <w:rsid w:val="00B87155"/>
    <w:rsid w:val="00B871EA"/>
    <w:rsid w:val="00B907BF"/>
    <w:rsid w:val="00B90880"/>
    <w:rsid w:val="00B9113E"/>
    <w:rsid w:val="00B9129F"/>
    <w:rsid w:val="00B92319"/>
    <w:rsid w:val="00B92CA6"/>
    <w:rsid w:val="00B930AD"/>
    <w:rsid w:val="00B94F2F"/>
    <w:rsid w:val="00B9511C"/>
    <w:rsid w:val="00B953E3"/>
    <w:rsid w:val="00B95609"/>
    <w:rsid w:val="00B959D5"/>
    <w:rsid w:val="00B95C08"/>
    <w:rsid w:val="00B9610B"/>
    <w:rsid w:val="00B969B4"/>
    <w:rsid w:val="00B9721D"/>
    <w:rsid w:val="00B97373"/>
    <w:rsid w:val="00B97E3A"/>
    <w:rsid w:val="00B97F12"/>
    <w:rsid w:val="00BA0024"/>
    <w:rsid w:val="00BA148C"/>
    <w:rsid w:val="00BA15E9"/>
    <w:rsid w:val="00BA1F56"/>
    <w:rsid w:val="00BA25C3"/>
    <w:rsid w:val="00BA35D2"/>
    <w:rsid w:val="00BA3764"/>
    <w:rsid w:val="00BA3844"/>
    <w:rsid w:val="00BA3E67"/>
    <w:rsid w:val="00BA4695"/>
    <w:rsid w:val="00BA482C"/>
    <w:rsid w:val="00BA49C2"/>
    <w:rsid w:val="00BA5529"/>
    <w:rsid w:val="00BA5603"/>
    <w:rsid w:val="00BA579B"/>
    <w:rsid w:val="00BA623D"/>
    <w:rsid w:val="00BB04D5"/>
    <w:rsid w:val="00BB09CD"/>
    <w:rsid w:val="00BB0B48"/>
    <w:rsid w:val="00BB1157"/>
    <w:rsid w:val="00BB12A7"/>
    <w:rsid w:val="00BB1493"/>
    <w:rsid w:val="00BB1FB0"/>
    <w:rsid w:val="00BB1FBD"/>
    <w:rsid w:val="00BB281D"/>
    <w:rsid w:val="00BB2A9C"/>
    <w:rsid w:val="00BB2A9D"/>
    <w:rsid w:val="00BB3AFC"/>
    <w:rsid w:val="00BB4411"/>
    <w:rsid w:val="00BB5667"/>
    <w:rsid w:val="00BB5AEF"/>
    <w:rsid w:val="00BB6084"/>
    <w:rsid w:val="00BB6341"/>
    <w:rsid w:val="00BB6899"/>
    <w:rsid w:val="00BB6BBC"/>
    <w:rsid w:val="00BB6F36"/>
    <w:rsid w:val="00BB7038"/>
    <w:rsid w:val="00BB7CD0"/>
    <w:rsid w:val="00BB7D77"/>
    <w:rsid w:val="00BC1431"/>
    <w:rsid w:val="00BC14F5"/>
    <w:rsid w:val="00BC2326"/>
    <w:rsid w:val="00BC2640"/>
    <w:rsid w:val="00BC3259"/>
    <w:rsid w:val="00BC3E07"/>
    <w:rsid w:val="00BC4C0F"/>
    <w:rsid w:val="00BC564C"/>
    <w:rsid w:val="00BC5F35"/>
    <w:rsid w:val="00BC6C4D"/>
    <w:rsid w:val="00BC6EC1"/>
    <w:rsid w:val="00BC6EDA"/>
    <w:rsid w:val="00BC7015"/>
    <w:rsid w:val="00BC7176"/>
    <w:rsid w:val="00BC7754"/>
    <w:rsid w:val="00BC799C"/>
    <w:rsid w:val="00BC7C15"/>
    <w:rsid w:val="00BC7FA8"/>
    <w:rsid w:val="00BD1381"/>
    <w:rsid w:val="00BD1618"/>
    <w:rsid w:val="00BD1A37"/>
    <w:rsid w:val="00BD3F5D"/>
    <w:rsid w:val="00BD58F8"/>
    <w:rsid w:val="00BD67C9"/>
    <w:rsid w:val="00BD72C7"/>
    <w:rsid w:val="00BD7347"/>
    <w:rsid w:val="00BD77FE"/>
    <w:rsid w:val="00BD7E55"/>
    <w:rsid w:val="00BE0D96"/>
    <w:rsid w:val="00BE1EC7"/>
    <w:rsid w:val="00BE36D4"/>
    <w:rsid w:val="00BE39CF"/>
    <w:rsid w:val="00BE39E9"/>
    <w:rsid w:val="00BE442E"/>
    <w:rsid w:val="00BE44D1"/>
    <w:rsid w:val="00BE4BCA"/>
    <w:rsid w:val="00BE4C13"/>
    <w:rsid w:val="00BE5057"/>
    <w:rsid w:val="00BE5704"/>
    <w:rsid w:val="00BE5EF9"/>
    <w:rsid w:val="00BE6024"/>
    <w:rsid w:val="00BE61FB"/>
    <w:rsid w:val="00BE6850"/>
    <w:rsid w:val="00BE75F4"/>
    <w:rsid w:val="00BE7F76"/>
    <w:rsid w:val="00BF0BD0"/>
    <w:rsid w:val="00BF0F34"/>
    <w:rsid w:val="00BF1FDE"/>
    <w:rsid w:val="00BF29D9"/>
    <w:rsid w:val="00BF2BB2"/>
    <w:rsid w:val="00BF2BEC"/>
    <w:rsid w:val="00BF378B"/>
    <w:rsid w:val="00BF3985"/>
    <w:rsid w:val="00BF40C6"/>
    <w:rsid w:val="00BF54B8"/>
    <w:rsid w:val="00BF5769"/>
    <w:rsid w:val="00BF6E92"/>
    <w:rsid w:val="00BF713E"/>
    <w:rsid w:val="00C00199"/>
    <w:rsid w:val="00C01367"/>
    <w:rsid w:val="00C01B57"/>
    <w:rsid w:val="00C0356D"/>
    <w:rsid w:val="00C03F0F"/>
    <w:rsid w:val="00C0540E"/>
    <w:rsid w:val="00C06C3D"/>
    <w:rsid w:val="00C07355"/>
    <w:rsid w:val="00C0746E"/>
    <w:rsid w:val="00C0781E"/>
    <w:rsid w:val="00C07D12"/>
    <w:rsid w:val="00C10A64"/>
    <w:rsid w:val="00C10AD1"/>
    <w:rsid w:val="00C13B5C"/>
    <w:rsid w:val="00C14FB6"/>
    <w:rsid w:val="00C1614E"/>
    <w:rsid w:val="00C1690B"/>
    <w:rsid w:val="00C16CB3"/>
    <w:rsid w:val="00C17555"/>
    <w:rsid w:val="00C17AAA"/>
    <w:rsid w:val="00C17E3C"/>
    <w:rsid w:val="00C2006E"/>
    <w:rsid w:val="00C20646"/>
    <w:rsid w:val="00C20A8F"/>
    <w:rsid w:val="00C21192"/>
    <w:rsid w:val="00C2137A"/>
    <w:rsid w:val="00C21666"/>
    <w:rsid w:val="00C21AF2"/>
    <w:rsid w:val="00C21D41"/>
    <w:rsid w:val="00C2292B"/>
    <w:rsid w:val="00C23402"/>
    <w:rsid w:val="00C234A7"/>
    <w:rsid w:val="00C23692"/>
    <w:rsid w:val="00C2552A"/>
    <w:rsid w:val="00C26334"/>
    <w:rsid w:val="00C267EE"/>
    <w:rsid w:val="00C26AEC"/>
    <w:rsid w:val="00C27435"/>
    <w:rsid w:val="00C27DC0"/>
    <w:rsid w:val="00C3017D"/>
    <w:rsid w:val="00C30AF5"/>
    <w:rsid w:val="00C31156"/>
    <w:rsid w:val="00C3136C"/>
    <w:rsid w:val="00C3255D"/>
    <w:rsid w:val="00C333BB"/>
    <w:rsid w:val="00C33BF8"/>
    <w:rsid w:val="00C34458"/>
    <w:rsid w:val="00C34CEB"/>
    <w:rsid w:val="00C3534B"/>
    <w:rsid w:val="00C357B4"/>
    <w:rsid w:val="00C36785"/>
    <w:rsid w:val="00C3742A"/>
    <w:rsid w:val="00C37A20"/>
    <w:rsid w:val="00C40D3D"/>
    <w:rsid w:val="00C41037"/>
    <w:rsid w:val="00C41176"/>
    <w:rsid w:val="00C41A1A"/>
    <w:rsid w:val="00C41A3D"/>
    <w:rsid w:val="00C41F17"/>
    <w:rsid w:val="00C42BD8"/>
    <w:rsid w:val="00C42BFB"/>
    <w:rsid w:val="00C437A1"/>
    <w:rsid w:val="00C44CC7"/>
    <w:rsid w:val="00C457A9"/>
    <w:rsid w:val="00C46120"/>
    <w:rsid w:val="00C46451"/>
    <w:rsid w:val="00C477AE"/>
    <w:rsid w:val="00C478DD"/>
    <w:rsid w:val="00C50759"/>
    <w:rsid w:val="00C50AEC"/>
    <w:rsid w:val="00C50EC7"/>
    <w:rsid w:val="00C516D5"/>
    <w:rsid w:val="00C52638"/>
    <w:rsid w:val="00C542F0"/>
    <w:rsid w:val="00C544FA"/>
    <w:rsid w:val="00C56574"/>
    <w:rsid w:val="00C566D7"/>
    <w:rsid w:val="00C56B22"/>
    <w:rsid w:val="00C56B38"/>
    <w:rsid w:val="00C57665"/>
    <w:rsid w:val="00C57669"/>
    <w:rsid w:val="00C576BE"/>
    <w:rsid w:val="00C600D7"/>
    <w:rsid w:val="00C60248"/>
    <w:rsid w:val="00C60D77"/>
    <w:rsid w:val="00C616A2"/>
    <w:rsid w:val="00C61D72"/>
    <w:rsid w:val="00C62161"/>
    <w:rsid w:val="00C6240C"/>
    <w:rsid w:val="00C62AB8"/>
    <w:rsid w:val="00C62C9F"/>
    <w:rsid w:val="00C641DD"/>
    <w:rsid w:val="00C64221"/>
    <w:rsid w:val="00C650AF"/>
    <w:rsid w:val="00C650FD"/>
    <w:rsid w:val="00C65672"/>
    <w:rsid w:val="00C65AF6"/>
    <w:rsid w:val="00C65F42"/>
    <w:rsid w:val="00C66278"/>
    <w:rsid w:val="00C666CA"/>
    <w:rsid w:val="00C67308"/>
    <w:rsid w:val="00C7009D"/>
    <w:rsid w:val="00C70833"/>
    <w:rsid w:val="00C71F63"/>
    <w:rsid w:val="00C71FBE"/>
    <w:rsid w:val="00C7268E"/>
    <w:rsid w:val="00C72CD0"/>
    <w:rsid w:val="00C74CBC"/>
    <w:rsid w:val="00C74D5C"/>
    <w:rsid w:val="00C753AD"/>
    <w:rsid w:val="00C75D9B"/>
    <w:rsid w:val="00C75E43"/>
    <w:rsid w:val="00C773E9"/>
    <w:rsid w:val="00C77D82"/>
    <w:rsid w:val="00C80A0A"/>
    <w:rsid w:val="00C80E90"/>
    <w:rsid w:val="00C81C18"/>
    <w:rsid w:val="00C821FA"/>
    <w:rsid w:val="00C82E69"/>
    <w:rsid w:val="00C833DF"/>
    <w:rsid w:val="00C83D14"/>
    <w:rsid w:val="00C83FD2"/>
    <w:rsid w:val="00C84427"/>
    <w:rsid w:val="00C84D50"/>
    <w:rsid w:val="00C85FD1"/>
    <w:rsid w:val="00C870CE"/>
    <w:rsid w:val="00C874C6"/>
    <w:rsid w:val="00C876AC"/>
    <w:rsid w:val="00C902DA"/>
    <w:rsid w:val="00C90DFC"/>
    <w:rsid w:val="00C910BF"/>
    <w:rsid w:val="00C915A1"/>
    <w:rsid w:val="00C915DD"/>
    <w:rsid w:val="00C92DC3"/>
    <w:rsid w:val="00C93474"/>
    <w:rsid w:val="00C946B4"/>
    <w:rsid w:val="00C948F0"/>
    <w:rsid w:val="00C94EEC"/>
    <w:rsid w:val="00C953E3"/>
    <w:rsid w:val="00C95688"/>
    <w:rsid w:val="00C958DA"/>
    <w:rsid w:val="00C9636B"/>
    <w:rsid w:val="00CA0714"/>
    <w:rsid w:val="00CA072F"/>
    <w:rsid w:val="00CA0B73"/>
    <w:rsid w:val="00CA0C11"/>
    <w:rsid w:val="00CA1477"/>
    <w:rsid w:val="00CA17E3"/>
    <w:rsid w:val="00CA1886"/>
    <w:rsid w:val="00CA1BD8"/>
    <w:rsid w:val="00CA1E46"/>
    <w:rsid w:val="00CA21EF"/>
    <w:rsid w:val="00CA25C7"/>
    <w:rsid w:val="00CA2AB7"/>
    <w:rsid w:val="00CA2B60"/>
    <w:rsid w:val="00CA306C"/>
    <w:rsid w:val="00CA4209"/>
    <w:rsid w:val="00CA4D37"/>
    <w:rsid w:val="00CA6A5C"/>
    <w:rsid w:val="00CA6E9C"/>
    <w:rsid w:val="00CA7822"/>
    <w:rsid w:val="00CA7838"/>
    <w:rsid w:val="00CB0527"/>
    <w:rsid w:val="00CB07EB"/>
    <w:rsid w:val="00CB0A59"/>
    <w:rsid w:val="00CB0B57"/>
    <w:rsid w:val="00CB0DA3"/>
    <w:rsid w:val="00CB1DF2"/>
    <w:rsid w:val="00CB2683"/>
    <w:rsid w:val="00CB2804"/>
    <w:rsid w:val="00CB2E94"/>
    <w:rsid w:val="00CB3B19"/>
    <w:rsid w:val="00CB3DD5"/>
    <w:rsid w:val="00CB447B"/>
    <w:rsid w:val="00CB4490"/>
    <w:rsid w:val="00CB5110"/>
    <w:rsid w:val="00CB594C"/>
    <w:rsid w:val="00CB5B25"/>
    <w:rsid w:val="00CB5DB8"/>
    <w:rsid w:val="00CB653D"/>
    <w:rsid w:val="00CB65FA"/>
    <w:rsid w:val="00CB6780"/>
    <w:rsid w:val="00CB6CE6"/>
    <w:rsid w:val="00CB74AB"/>
    <w:rsid w:val="00CB7601"/>
    <w:rsid w:val="00CB7673"/>
    <w:rsid w:val="00CC020E"/>
    <w:rsid w:val="00CC02CE"/>
    <w:rsid w:val="00CC0A31"/>
    <w:rsid w:val="00CC1D4D"/>
    <w:rsid w:val="00CC2385"/>
    <w:rsid w:val="00CC2C3A"/>
    <w:rsid w:val="00CC306C"/>
    <w:rsid w:val="00CC3FF9"/>
    <w:rsid w:val="00CC4676"/>
    <w:rsid w:val="00CC66DA"/>
    <w:rsid w:val="00CC6A76"/>
    <w:rsid w:val="00CC6DF9"/>
    <w:rsid w:val="00CC71B5"/>
    <w:rsid w:val="00CC7206"/>
    <w:rsid w:val="00CC77C3"/>
    <w:rsid w:val="00CC789D"/>
    <w:rsid w:val="00CC7A6A"/>
    <w:rsid w:val="00CC7B71"/>
    <w:rsid w:val="00CD0027"/>
    <w:rsid w:val="00CD0216"/>
    <w:rsid w:val="00CD034B"/>
    <w:rsid w:val="00CD065A"/>
    <w:rsid w:val="00CD07B0"/>
    <w:rsid w:val="00CD0934"/>
    <w:rsid w:val="00CD1B1F"/>
    <w:rsid w:val="00CD30C9"/>
    <w:rsid w:val="00CD4A71"/>
    <w:rsid w:val="00CD4D9F"/>
    <w:rsid w:val="00CD5014"/>
    <w:rsid w:val="00CD59DD"/>
    <w:rsid w:val="00CD620C"/>
    <w:rsid w:val="00CD6B97"/>
    <w:rsid w:val="00CD6F41"/>
    <w:rsid w:val="00CD6FB4"/>
    <w:rsid w:val="00CD728F"/>
    <w:rsid w:val="00CD7363"/>
    <w:rsid w:val="00CD76DA"/>
    <w:rsid w:val="00CD79CE"/>
    <w:rsid w:val="00CE0140"/>
    <w:rsid w:val="00CE1D81"/>
    <w:rsid w:val="00CE1F9B"/>
    <w:rsid w:val="00CE3631"/>
    <w:rsid w:val="00CE37BC"/>
    <w:rsid w:val="00CE3875"/>
    <w:rsid w:val="00CE3B06"/>
    <w:rsid w:val="00CE4191"/>
    <w:rsid w:val="00CE474C"/>
    <w:rsid w:val="00CE5482"/>
    <w:rsid w:val="00CE5D24"/>
    <w:rsid w:val="00CE6338"/>
    <w:rsid w:val="00CE6C64"/>
    <w:rsid w:val="00CF1587"/>
    <w:rsid w:val="00CF1B5B"/>
    <w:rsid w:val="00CF1F9A"/>
    <w:rsid w:val="00CF2BCB"/>
    <w:rsid w:val="00CF388B"/>
    <w:rsid w:val="00CF472D"/>
    <w:rsid w:val="00CF4A6A"/>
    <w:rsid w:val="00CF517D"/>
    <w:rsid w:val="00CF62F5"/>
    <w:rsid w:val="00CF7261"/>
    <w:rsid w:val="00CF727A"/>
    <w:rsid w:val="00CF72CD"/>
    <w:rsid w:val="00CF7826"/>
    <w:rsid w:val="00CF782B"/>
    <w:rsid w:val="00D00641"/>
    <w:rsid w:val="00D0180F"/>
    <w:rsid w:val="00D0230E"/>
    <w:rsid w:val="00D026C9"/>
    <w:rsid w:val="00D033B4"/>
    <w:rsid w:val="00D03540"/>
    <w:rsid w:val="00D03673"/>
    <w:rsid w:val="00D03A17"/>
    <w:rsid w:val="00D03AB7"/>
    <w:rsid w:val="00D03B79"/>
    <w:rsid w:val="00D03BDA"/>
    <w:rsid w:val="00D04921"/>
    <w:rsid w:val="00D04A5E"/>
    <w:rsid w:val="00D05209"/>
    <w:rsid w:val="00D0538D"/>
    <w:rsid w:val="00D053AD"/>
    <w:rsid w:val="00D061CD"/>
    <w:rsid w:val="00D07BFC"/>
    <w:rsid w:val="00D10620"/>
    <w:rsid w:val="00D1077A"/>
    <w:rsid w:val="00D10DF9"/>
    <w:rsid w:val="00D11612"/>
    <w:rsid w:val="00D1234C"/>
    <w:rsid w:val="00D12664"/>
    <w:rsid w:val="00D12977"/>
    <w:rsid w:val="00D142A5"/>
    <w:rsid w:val="00D15206"/>
    <w:rsid w:val="00D15F6D"/>
    <w:rsid w:val="00D16D3E"/>
    <w:rsid w:val="00D17176"/>
    <w:rsid w:val="00D17E93"/>
    <w:rsid w:val="00D17FD4"/>
    <w:rsid w:val="00D204D3"/>
    <w:rsid w:val="00D20933"/>
    <w:rsid w:val="00D20951"/>
    <w:rsid w:val="00D20E2A"/>
    <w:rsid w:val="00D20E67"/>
    <w:rsid w:val="00D20EF1"/>
    <w:rsid w:val="00D20F43"/>
    <w:rsid w:val="00D2165B"/>
    <w:rsid w:val="00D22026"/>
    <w:rsid w:val="00D22AA9"/>
    <w:rsid w:val="00D22C98"/>
    <w:rsid w:val="00D24210"/>
    <w:rsid w:val="00D253E4"/>
    <w:rsid w:val="00D26898"/>
    <w:rsid w:val="00D26CA7"/>
    <w:rsid w:val="00D27437"/>
    <w:rsid w:val="00D279BA"/>
    <w:rsid w:val="00D27C09"/>
    <w:rsid w:val="00D30C3C"/>
    <w:rsid w:val="00D31AFB"/>
    <w:rsid w:val="00D31D9F"/>
    <w:rsid w:val="00D32086"/>
    <w:rsid w:val="00D32B84"/>
    <w:rsid w:val="00D32F22"/>
    <w:rsid w:val="00D33140"/>
    <w:rsid w:val="00D33593"/>
    <w:rsid w:val="00D36E0B"/>
    <w:rsid w:val="00D37381"/>
    <w:rsid w:val="00D37AC5"/>
    <w:rsid w:val="00D37CAC"/>
    <w:rsid w:val="00D4040F"/>
    <w:rsid w:val="00D40615"/>
    <w:rsid w:val="00D415DC"/>
    <w:rsid w:val="00D41A0A"/>
    <w:rsid w:val="00D41EEA"/>
    <w:rsid w:val="00D421AE"/>
    <w:rsid w:val="00D422E8"/>
    <w:rsid w:val="00D4415E"/>
    <w:rsid w:val="00D44295"/>
    <w:rsid w:val="00D45103"/>
    <w:rsid w:val="00D4634A"/>
    <w:rsid w:val="00D46887"/>
    <w:rsid w:val="00D52210"/>
    <w:rsid w:val="00D52454"/>
    <w:rsid w:val="00D524E9"/>
    <w:rsid w:val="00D53BB4"/>
    <w:rsid w:val="00D54436"/>
    <w:rsid w:val="00D5511B"/>
    <w:rsid w:val="00D55BCB"/>
    <w:rsid w:val="00D564B7"/>
    <w:rsid w:val="00D56B81"/>
    <w:rsid w:val="00D577FC"/>
    <w:rsid w:val="00D603C7"/>
    <w:rsid w:val="00D6108F"/>
    <w:rsid w:val="00D61D4A"/>
    <w:rsid w:val="00D62583"/>
    <w:rsid w:val="00D628D1"/>
    <w:rsid w:val="00D62F7A"/>
    <w:rsid w:val="00D635C2"/>
    <w:rsid w:val="00D63F55"/>
    <w:rsid w:val="00D6408D"/>
    <w:rsid w:val="00D649A5"/>
    <w:rsid w:val="00D64E8C"/>
    <w:rsid w:val="00D65892"/>
    <w:rsid w:val="00D6677D"/>
    <w:rsid w:val="00D667C2"/>
    <w:rsid w:val="00D669DD"/>
    <w:rsid w:val="00D67E83"/>
    <w:rsid w:val="00D70EA4"/>
    <w:rsid w:val="00D71B67"/>
    <w:rsid w:val="00D72148"/>
    <w:rsid w:val="00D72661"/>
    <w:rsid w:val="00D726B0"/>
    <w:rsid w:val="00D73D55"/>
    <w:rsid w:val="00D73DCF"/>
    <w:rsid w:val="00D73F13"/>
    <w:rsid w:val="00D750C9"/>
    <w:rsid w:val="00D757D3"/>
    <w:rsid w:val="00D7588D"/>
    <w:rsid w:val="00D77DD6"/>
    <w:rsid w:val="00D8007F"/>
    <w:rsid w:val="00D8033D"/>
    <w:rsid w:val="00D8045A"/>
    <w:rsid w:val="00D81368"/>
    <w:rsid w:val="00D827B0"/>
    <w:rsid w:val="00D83CF5"/>
    <w:rsid w:val="00D83FE1"/>
    <w:rsid w:val="00D855F9"/>
    <w:rsid w:val="00D85A02"/>
    <w:rsid w:val="00D86393"/>
    <w:rsid w:val="00D87193"/>
    <w:rsid w:val="00D8738E"/>
    <w:rsid w:val="00D87555"/>
    <w:rsid w:val="00D901A6"/>
    <w:rsid w:val="00D901AC"/>
    <w:rsid w:val="00D91243"/>
    <w:rsid w:val="00D9134E"/>
    <w:rsid w:val="00D91646"/>
    <w:rsid w:val="00D92BFA"/>
    <w:rsid w:val="00D93477"/>
    <w:rsid w:val="00D93DAE"/>
    <w:rsid w:val="00D94119"/>
    <w:rsid w:val="00D94148"/>
    <w:rsid w:val="00D94F1B"/>
    <w:rsid w:val="00D957F1"/>
    <w:rsid w:val="00D9671D"/>
    <w:rsid w:val="00D978B4"/>
    <w:rsid w:val="00DA013F"/>
    <w:rsid w:val="00DA01A2"/>
    <w:rsid w:val="00DA03ED"/>
    <w:rsid w:val="00DA0AE1"/>
    <w:rsid w:val="00DA19E9"/>
    <w:rsid w:val="00DA4058"/>
    <w:rsid w:val="00DA44AC"/>
    <w:rsid w:val="00DA469E"/>
    <w:rsid w:val="00DA4F51"/>
    <w:rsid w:val="00DA5FEE"/>
    <w:rsid w:val="00DA61A4"/>
    <w:rsid w:val="00DA636A"/>
    <w:rsid w:val="00DA6F7B"/>
    <w:rsid w:val="00DA7C15"/>
    <w:rsid w:val="00DB01B3"/>
    <w:rsid w:val="00DB055D"/>
    <w:rsid w:val="00DB0747"/>
    <w:rsid w:val="00DB09B0"/>
    <w:rsid w:val="00DB1224"/>
    <w:rsid w:val="00DB1A56"/>
    <w:rsid w:val="00DB1B8D"/>
    <w:rsid w:val="00DB294B"/>
    <w:rsid w:val="00DB3533"/>
    <w:rsid w:val="00DB3BC7"/>
    <w:rsid w:val="00DB3F5A"/>
    <w:rsid w:val="00DB42DA"/>
    <w:rsid w:val="00DB487E"/>
    <w:rsid w:val="00DB55FA"/>
    <w:rsid w:val="00DB567C"/>
    <w:rsid w:val="00DB5C67"/>
    <w:rsid w:val="00DB5D9C"/>
    <w:rsid w:val="00DB5DB7"/>
    <w:rsid w:val="00DB5DBD"/>
    <w:rsid w:val="00DB60AA"/>
    <w:rsid w:val="00DC07FF"/>
    <w:rsid w:val="00DC16BB"/>
    <w:rsid w:val="00DC20D1"/>
    <w:rsid w:val="00DC382B"/>
    <w:rsid w:val="00DC392E"/>
    <w:rsid w:val="00DC4623"/>
    <w:rsid w:val="00DC4F8E"/>
    <w:rsid w:val="00DC533A"/>
    <w:rsid w:val="00DC5F7E"/>
    <w:rsid w:val="00DC5FC5"/>
    <w:rsid w:val="00DC684A"/>
    <w:rsid w:val="00DC6875"/>
    <w:rsid w:val="00DC7672"/>
    <w:rsid w:val="00DD0A68"/>
    <w:rsid w:val="00DD0AB9"/>
    <w:rsid w:val="00DD0DDA"/>
    <w:rsid w:val="00DD0FB8"/>
    <w:rsid w:val="00DD1333"/>
    <w:rsid w:val="00DD19A5"/>
    <w:rsid w:val="00DD1C55"/>
    <w:rsid w:val="00DD1D27"/>
    <w:rsid w:val="00DD25A4"/>
    <w:rsid w:val="00DD3D53"/>
    <w:rsid w:val="00DD3FB0"/>
    <w:rsid w:val="00DD461B"/>
    <w:rsid w:val="00DD4E0E"/>
    <w:rsid w:val="00DD4FC4"/>
    <w:rsid w:val="00DD51B5"/>
    <w:rsid w:val="00DD540C"/>
    <w:rsid w:val="00DD58C8"/>
    <w:rsid w:val="00DD5B12"/>
    <w:rsid w:val="00DD6F36"/>
    <w:rsid w:val="00DD7292"/>
    <w:rsid w:val="00DD777B"/>
    <w:rsid w:val="00DD7DA0"/>
    <w:rsid w:val="00DE01DC"/>
    <w:rsid w:val="00DE0389"/>
    <w:rsid w:val="00DE0A27"/>
    <w:rsid w:val="00DE1FBA"/>
    <w:rsid w:val="00DE206C"/>
    <w:rsid w:val="00DE2DA2"/>
    <w:rsid w:val="00DE2F2B"/>
    <w:rsid w:val="00DE32D3"/>
    <w:rsid w:val="00DE3F4F"/>
    <w:rsid w:val="00DE546C"/>
    <w:rsid w:val="00DE5C0E"/>
    <w:rsid w:val="00DE630A"/>
    <w:rsid w:val="00DE669B"/>
    <w:rsid w:val="00DE6ECD"/>
    <w:rsid w:val="00DE7A32"/>
    <w:rsid w:val="00DF0081"/>
    <w:rsid w:val="00DF03A2"/>
    <w:rsid w:val="00DF0805"/>
    <w:rsid w:val="00DF0E00"/>
    <w:rsid w:val="00DF11E3"/>
    <w:rsid w:val="00DF15F8"/>
    <w:rsid w:val="00DF1646"/>
    <w:rsid w:val="00DF18E9"/>
    <w:rsid w:val="00DF1ECC"/>
    <w:rsid w:val="00DF2A60"/>
    <w:rsid w:val="00DF313A"/>
    <w:rsid w:val="00DF3586"/>
    <w:rsid w:val="00DF39C5"/>
    <w:rsid w:val="00DF39FF"/>
    <w:rsid w:val="00DF3A70"/>
    <w:rsid w:val="00DF3AA3"/>
    <w:rsid w:val="00DF556C"/>
    <w:rsid w:val="00DF611C"/>
    <w:rsid w:val="00DF6242"/>
    <w:rsid w:val="00DF6433"/>
    <w:rsid w:val="00DF7005"/>
    <w:rsid w:val="00E00238"/>
    <w:rsid w:val="00E01115"/>
    <w:rsid w:val="00E01B47"/>
    <w:rsid w:val="00E02291"/>
    <w:rsid w:val="00E03171"/>
    <w:rsid w:val="00E03307"/>
    <w:rsid w:val="00E03A25"/>
    <w:rsid w:val="00E03B8C"/>
    <w:rsid w:val="00E03C28"/>
    <w:rsid w:val="00E03E7F"/>
    <w:rsid w:val="00E04567"/>
    <w:rsid w:val="00E0490C"/>
    <w:rsid w:val="00E0589E"/>
    <w:rsid w:val="00E05C75"/>
    <w:rsid w:val="00E06F10"/>
    <w:rsid w:val="00E06FC7"/>
    <w:rsid w:val="00E072E4"/>
    <w:rsid w:val="00E10215"/>
    <w:rsid w:val="00E10266"/>
    <w:rsid w:val="00E104F3"/>
    <w:rsid w:val="00E11115"/>
    <w:rsid w:val="00E11CE0"/>
    <w:rsid w:val="00E11E9D"/>
    <w:rsid w:val="00E1211B"/>
    <w:rsid w:val="00E1234B"/>
    <w:rsid w:val="00E128BC"/>
    <w:rsid w:val="00E12B61"/>
    <w:rsid w:val="00E12D27"/>
    <w:rsid w:val="00E12E8E"/>
    <w:rsid w:val="00E12F62"/>
    <w:rsid w:val="00E13078"/>
    <w:rsid w:val="00E14470"/>
    <w:rsid w:val="00E14869"/>
    <w:rsid w:val="00E1498B"/>
    <w:rsid w:val="00E14BF2"/>
    <w:rsid w:val="00E155E8"/>
    <w:rsid w:val="00E15C4F"/>
    <w:rsid w:val="00E15D2B"/>
    <w:rsid w:val="00E16BA7"/>
    <w:rsid w:val="00E17206"/>
    <w:rsid w:val="00E21790"/>
    <w:rsid w:val="00E21A8D"/>
    <w:rsid w:val="00E22F73"/>
    <w:rsid w:val="00E230F9"/>
    <w:rsid w:val="00E233C8"/>
    <w:rsid w:val="00E2405F"/>
    <w:rsid w:val="00E25E3E"/>
    <w:rsid w:val="00E2606F"/>
    <w:rsid w:val="00E269AD"/>
    <w:rsid w:val="00E27B4A"/>
    <w:rsid w:val="00E30140"/>
    <w:rsid w:val="00E3065E"/>
    <w:rsid w:val="00E30981"/>
    <w:rsid w:val="00E31A8F"/>
    <w:rsid w:val="00E31D0F"/>
    <w:rsid w:val="00E31D8E"/>
    <w:rsid w:val="00E32715"/>
    <w:rsid w:val="00E328FD"/>
    <w:rsid w:val="00E33613"/>
    <w:rsid w:val="00E3368D"/>
    <w:rsid w:val="00E33E68"/>
    <w:rsid w:val="00E33FA3"/>
    <w:rsid w:val="00E3401E"/>
    <w:rsid w:val="00E345AC"/>
    <w:rsid w:val="00E353A3"/>
    <w:rsid w:val="00E354D9"/>
    <w:rsid w:val="00E3586C"/>
    <w:rsid w:val="00E35D40"/>
    <w:rsid w:val="00E3669B"/>
    <w:rsid w:val="00E36E47"/>
    <w:rsid w:val="00E37028"/>
    <w:rsid w:val="00E370DB"/>
    <w:rsid w:val="00E372CF"/>
    <w:rsid w:val="00E374B7"/>
    <w:rsid w:val="00E37A95"/>
    <w:rsid w:val="00E37CB6"/>
    <w:rsid w:val="00E37D75"/>
    <w:rsid w:val="00E41D34"/>
    <w:rsid w:val="00E41D44"/>
    <w:rsid w:val="00E42C10"/>
    <w:rsid w:val="00E431B3"/>
    <w:rsid w:val="00E43680"/>
    <w:rsid w:val="00E43B2A"/>
    <w:rsid w:val="00E43E31"/>
    <w:rsid w:val="00E443D1"/>
    <w:rsid w:val="00E449F1"/>
    <w:rsid w:val="00E44C94"/>
    <w:rsid w:val="00E44D61"/>
    <w:rsid w:val="00E4566E"/>
    <w:rsid w:val="00E45DCF"/>
    <w:rsid w:val="00E46F45"/>
    <w:rsid w:val="00E46FAC"/>
    <w:rsid w:val="00E47081"/>
    <w:rsid w:val="00E470FF"/>
    <w:rsid w:val="00E50087"/>
    <w:rsid w:val="00E5020D"/>
    <w:rsid w:val="00E50581"/>
    <w:rsid w:val="00E50BB0"/>
    <w:rsid w:val="00E50CF5"/>
    <w:rsid w:val="00E51DD7"/>
    <w:rsid w:val="00E52296"/>
    <w:rsid w:val="00E52B01"/>
    <w:rsid w:val="00E5368A"/>
    <w:rsid w:val="00E53831"/>
    <w:rsid w:val="00E53C75"/>
    <w:rsid w:val="00E54D63"/>
    <w:rsid w:val="00E550C2"/>
    <w:rsid w:val="00E5558F"/>
    <w:rsid w:val="00E5568E"/>
    <w:rsid w:val="00E55E40"/>
    <w:rsid w:val="00E56160"/>
    <w:rsid w:val="00E56EF1"/>
    <w:rsid w:val="00E57A1E"/>
    <w:rsid w:val="00E60A86"/>
    <w:rsid w:val="00E60AA6"/>
    <w:rsid w:val="00E60B4E"/>
    <w:rsid w:val="00E61DBA"/>
    <w:rsid w:val="00E62024"/>
    <w:rsid w:val="00E622BC"/>
    <w:rsid w:val="00E62585"/>
    <w:rsid w:val="00E6285D"/>
    <w:rsid w:val="00E62BFF"/>
    <w:rsid w:val="00E62C74"/>
    <w:rsid w:val="00E63D72"/>
    <w:rsid w:val="00E6498D"/>
    <w:rsid w:val="00E65005"/>
    <w:rsid w:val="00E6554F"/>
    <w:rsid w:val="00E65B7F"/>
    <w:rsid w:val="00E66651"/>
    <w:rsid w:val="00E6674D"/>
    <w:rsid w:val="00E70B54"/>
    <w:rsid w:val="00E714F9"/>
    <w:rsid w:val="00E71BA1"/>
    <w:rsid w:val="00E72558"/>
    <w:rsid w:val="00E72A78"/>
    <w:rsid w:val="00E73E01"/>
    <w:rsid w:val="00E742CC"/>
    <w:rsid w:val="00E7449E"/>
    <w:rsid w:val="00E74578"/>
    <w:rsid w:val="00E75989"/>
    <w:rsid w:val="00E7648C"/>
    <w:rsid w:val="00E76877"/>
    <w:rsid w:val="00E76BD7"/>
    <w:rsid w:val="00E77A71"/>
    <w:rsid w:val="00E77FA7"/>
    <w:rsid w:val="00E80062"/>
    <w:rsid w:val="00E80272"/>
    <w:rsid w:val="00E80DFE"/>
    <w:rsid w:val="00E8249C"/>
    <w:rsid w:val="00E825F4"/>
    <w:rsid w:val="00E82B50"/>
    <w:rsid w:val="00E83027"/>
    <w:rsid w:val="00E83064"/>
    <w:rsid w:val="00E831CE"/>
    <w:rsid w:val="00E8351D"/>
    <w:rsid w:val="00E8419E"/>
    <w:rsid w:val="00E84267"/>
    <w:rsid w:val="00E842D4"/>
    <w:rsid w:val="00E84581"/>
    <w:rsid w:val="00E84A23"/>
    <w:rsid w:val="00E84DC3"/>
    <w:rsid w:val="00E84F6C"/>
    <w:rsid w:val="00E84F9F"/>
    <w:rsid w:val="00E85B1C"/>
    <w:rsid w:val="00E8641B"/>
    <w:rsid w:val="00E87519"/>
    <w:rsid w:val="00E8FD98"/>
    <w:rsid w:val="00E9053B"/>
    <w:rsid w:val="00E90BAF"/>
    <w:rsid w:val="00E91001"/>
    <w:rsid w:val="00E91419"/>
    <w:rsid w:val="00E9184E"/>
    <w:rsid w:val="00E91C3C"/>
    <w:rsid w:val="00E91F1F"/>
    <w:rsid w:val="00E91F47"/>
    <w:rsid w:val="00E91FBB"/>
    <w:rsid w:val="00E92A86"/>
    <w:rsid w:val="00E92C71"/>
    <w:rsid w:val="00E93666"/>
    <w:rsid w:val="00E93CC1"/>
    <w:rsid w:val="00E94516"/>
    <w:rsid w:val="00E9613D"/>
    <w:rsid w:val="00E966D7"/>
    <w:rsid w:val="00E96CB0"/>
    <w:rsid w:val="00E97D41"/>
    <w:rsid w:val="00EA0E4C"/>
    <w:rsid w:val="00EA1EC7"/>
    <w:rsid w:val="00EA226C"/>
    <w:rsid w:val="00EA2AC9"/>
    <w:rsid w:val="00EA3DAB"/>
    <w:rsid w:val="00EA4A9E"/>
    <w:rsid w:val="00EA4C56"/>
    <w:rsid w:val="00EA4FF2"/>
    <w:rsid w:val="00EA5F59"/>
    <w:rsid w:val="00EB004D"/>
    <w:rsid w:val="00EB018C"/>
    <w:rsid w:val="00EB0F07"/>
    <w:rsid w:val="00EB0F58"/>
    <w:rsid w:val="00EB1E43"/>
    <w:rsid w:val="00EB2544"/>
    <w:rsid w:val="00EB2C8A"/>
    <w:rsid w:val="00EB3047"/>
    <w:rsid w:val="00EB3307"/>
    <w:rsid w:val="00EB33C2"/>
    <w:rsid w:val="00EB4B9A"/>
    <w:rsid w:val="00EB51A3"/>
    <w:rsid w:val="00EB565A"/>
    <w:rsid w:val="00EB64B2"/>
    <w:rsid w:val="00EB6595"/>
    <w:rsid w:val="00EB6814"/>
    <w:rsid w:val="00EB74C7"/>
    <w:rsid w:val="00EB7789"/>
    <w:rsid w:val="00EC0892"/>
    <w:rsid w:val="00EC0B0B"/>
    <w:rsid w:val="00EC0B77"/>
    <w:rsid w:val="00EC0FCF"/>
    <w:rsid w:val="00EC14E9"/>
    <w:rsid w:val="00EC1CAB"/>
    <w:rsid w:val="00EC2BAC"/>
    <w:rsid w:val="00EC4F6E"/>
    <w:rsid w:val="00EC5957"/>
    <w:rsid w:val="00EC5D45"/>
    <w:rsid w:val="00EC6CAA"/>
    <w:rsid w:val="00EC7484"/>
    <w:rsid w:val="00EC75C2"/>
    <w:rsid w:val="00EC7B47"/>
    <w:rsid w:val="00EC7F29"/>
    <w:rsid w:val="00ED2343"/>
    <w:rsid w:val="00ED247E"/>
    <w:rsid w:val="00ED2C0F"/>
    <w:rsid w:val="00ED3A1F"/>
    <w:rsid w:val="00ED4124"/>
    <w:rsid w:val="00ED57DC"/>
    <w:rsid w:val="00ED5FC8"/>
    <w:rsid w:val="00ED726B"/>
    <w:rsid w:val="00ED72DD"/>
    <w:rsid w:val="00ED7E9A"/>
    <w:rsid w:val="00EE012E"/>
    <w:rsid w:val="00EE0342"/>
    <w:rsid w:val="00EE0456"/>
    <w:rsid w:val="00EE0C52"/>
    <w:rsid w:val="00EE1900"/>
    <w:rsid w:val="00EE20A8"/>
    <w:rsid w:val="00EE2743"/>
    <w:rsid w:val="00EE31DA"/>
    <w:rsid w:val="00EE37A7"/>
    <w:rsid w:val="00EE37D0"/>
    <w:rsid w:val="00EE3F71"/>
    <w:rsid w:val="00EE413E"/>
    <w:rsid w:val="00EE4807"/>
    <w:rsid w:val="00EE4B2C"/>
    <w:rsid w:val="00EE5379"/>
    <w:rsid w:val="00EE5659"/>
    <w:rsid w:val="00EE56A7"/>
    <w:rsid w:val="00EE5E4D"/>
    <w:rsid w:val="00EE6B47"/>
    <w:rsid w:val="00EE6EE2"/>
    <w:rsid w:val="00EE7054"/>
    <w:rsid w:val="00EF0970"/>
    <w:rsid w:val="00EF15C3"/>
    <w:rsid w:val="00EF19D7"/>
    <w:rsid w:val="00EF1D7B"/>
    <w:rsid w:val="00EF308B"/>
    <w:rsid w:val="00EF3B40"/>
    <w:rsid w:val="00EF4D4C"/>
    <w:rsid w:val="00EF5E90"/>
    <w:rsid w:val="00EF65F2"/>
    <w:rsid w:val="00EF78A8"/>
    <w:rsid w:val="00F00788"/>
    <w:rsid w:val="00F00790"/>
    <w:rsid w:val="00F01613"/>
    <w:rsid w:val="00F02582"/>
    <w:rsid w:val="00F02739"/>
    <w:rsid w:val="00F027C7"/>
    <w:rsid w:val="00F02EC7"/>
    <w:rsid w:val="00F030D1"/>
    <w:rsid w:val="00F03A53"/>
    <w:rsid w:val="00F03C4A"/>
    <w:rsid w:val="00F03EFB"/>
    <w:rsid w:val="00F04D99"/>
    <w:rsid w:val="00F0515B"/>
    <w:rsid w:val="00F053CB"/>
    <w:rsid w:val="00F05ABC"/>
    <w:rsid w:val="00F0657D"/>
    <w:rsid w:val="00F0694A"/>
    <w:rsid w:val="00F116CE"/>
    <w:rsid w:val="00F116F9"/>
    <w:rsid w:val="00F11F04"/>
    <w:rsid w:val="00F122E2"/>
    <w:rsid w:val="00F12DC0"/>
    <w:rsid w:val="00F12DC6"/>
    <w:rsid w:val="00F13CA6"/>
    <w:rsid w:val="00F14557"/>
    <w:rsid w:val="00F1461C"/>
    <w:rsid w:val="00F1594D"/>
    <w:rsid w:val="00F1757B"/>
    <w:rsid w:val="00F20AF3"/>
    <w:rsid w:val="00F20D8C"/>
    <w:rsid w:val="00F20E06"/>
    <w:rsid w:val="00F210D3"/>
    <w:rsid w:val="00F21BB0"/>
    <w:rsid w:val="00F229D7"/>
    <w:rsid w:val="00F22B00"/>
    <w:rsid w:val="00F22E75"/>
    <w:rsid w:val="00F23041"/>
    <w:rsid w:val="00F24132"/>
    <w:rsid w:val="00F247D7"/>
    <w:rsid w:val="00F2509E"/>
    <w:rsid w:val="00F255C1"/>
    <w:rsid w:val="00F261BD"/>
    <w:rsid w:val="00F2629F"/>
    <w:rsid w:val="00F26634"/>
    <w:rsid w:val="00F2754C"/>
    <w:rsid w:val="00F27759"/>
    <w:rsid w:val="00F30909"/>
    <w:rsid w:val="00F32130"/>
    <w:rsid w:val="00F3255C"/>
    <w:rsid w:val="00F32C44"/>
    <w:rsid w:val="00F32EF8"/>
    <w:rsid w:val="00F33A8F"/>
    <w:rsid w:val="00F346A2"/>
    <w:rsid w:val="00F34AC0"/>
    <w:rsid w:val="00F352B7"/>
    <w:rsid w:val="00F355BF"/>
    <w:rsid w:val="00F36C5F"/>
    <w:rsid w:val="00F37580"/>
    <w:rsid w:val="00F377C6"/>
    <w:rsid w:val="00F37964"/>
    <w:rsid w:val="00F404EF"/>
    <w:rsid w:val="00F40E7D"/>
    <w:rsid w:val="00F40FCE"/>
    <w:rsid w:val="00F41905"/>
    <w:rsid w:val="00F41956"/>
    <w:rsid w:val="00F42849"/>
    <w:rsid w:val="00F42E65"/>
    <w:rsid w:val="00F4309E"/>
    <w:rsid w:val="00F43A65"/>
    <w:rsid w:val="00F4424E"/>
    <w:rsid w:val="00F46B2B"/>
    <w:rsid w:val="00F46E66"/>
    <w:rsid w:val="00F471AA"/>
    <w:rsid w:val="00F478AE"/>
    <w:rsid w:val="00F479FA"/>
    <w:rsid w:val="00F50496"/>
    <w:rsid w:val="00F506F7"/>
    <w:rsid w:val="00F51325"/>
    <w:rsid w:val="00F523B9"/>
    <w:rsid w:val="00F52AAB"/>
    <w:rsid w:val="00F52C26"/>
    <w:rsid w:val="00F532EF"/>
    <w:rsid w:val="00F53324"/>
    <w:rsid w:val="00F54170"/>
    <w:rsid w:val="00F54548"/>
    <w:rsid w:val="00F553D6"/>
    <w:rsid w:val="00F563FC"/>
    <w:rsid w:val="00F56422"/>
    <w:rsid w:val="00F567AD"/>
    <w:rsid w:val="00F56BAA"/>
    <w:rsid w:val="00F57005"/>
    <w:rsid w:val="00F5718F"/>
    <w:rsid w:val="00F57ABC"/>
    <w:rsid w:val="00F57D44"/>
    <w:rsid w:val="00F57F57"/>
    <w:rsid w:val="00F6066A"/>
    <w:rsid w:val="00F61103"/>
    <w:rsid w:val="00F618D4"/>
    <w:rsid w:val="00F62377"/>
    <w:rsid w:val="00F62A0D"/>
    <w:rsid w:val="00F63300"/>
    <w:rsid w:val="00F6348C"/>
    <w:rsid w:val="00F64395"/>
    <w:rsid w:val="00F646D5"/>
    <w:rsid w:val="00F648D4"/>
    <w:rsid w:val="00F64C37"/>
    <w:rsid w:val="00F64E87"/>
    <w:rsid w:val="00F65167"/>
    <w:rsid w:val="00F653DE"/>
    <w:rsid w:val="00F6628B"/>
    <w:rsid w:val="00F66444"/>
    <w:rsid w:val="00F66A0C"/>
    <w:rsid w:val="00F67763"/>
    <w:rsid w:val="00F67AFC"/>
    <w:rsid w:val="00F70AA8"/>
    <w:rsid w:val="00F70BA9"/>
    <w:rsid w:val="00F70FDB"/>
    <w:rsid w:val="00F718F9"/>
    <w:rsid w:val="00F725B6"/>
    <w:rsid w:val="00F72DF2"/>
    <w:rsid w:val="00F73452"/>
    <w:rsid w:val="00F734CC"/>
    <w:rsid w:val="00F73D9A"/>
    <w:rsid w:val="00F73DC2"/>
    <w:rsid w:val="00F74694"/>
    <w:rsid w:val="00F74C52"/>
    <w:rsid w:val="00F74E7C"/>
    <w:rsid w:val="00F75190"/>
    <w:rsid w:val="00F75895"/>
    <w:rsid w:val="00F758EE"/>
    <w:rsid w:val="00F76CEE"/>
    <w:rsid w:val="00F770CA"/>
    <w:rsid w:val="00F77524"/>
    <w:rsid w:val="00F7768A"/>
    <w:rsid w:val="00F77809"/>
    <w:rsid w:val="00F803BC"/>
    <w:rsid w:val="00F80661"/>
    <w:rsid w:val="00F80D6C"/>
    <w:rsid w:val="00F81085"/>
    <w:rsid w:val="00F81423"/>
    <w:rsid w:val="00F8177D"/>
    <w:rsid w:val="00F81B3C"/>
    <w:rsid w:val="00F8278C"/>
    <w:rsid w:val="00F82CD2"/>
    <w:rsid w:val="00F833E0"/>
    <w:rsid w:val="00F83487"/>
    <w:rsid w:val="00F834D8"/>
    <w:rsid w:val="00F83B20"/>
    <w:rsid w:val="00F83D99"/>
    <w:rsid w:val="00F84115"/>
    <w:rsid w:val="00F847E5"/>
    <w:rsid w:val="00F84A30"/>
    <w:rsid w:val="00F84A66"/>
    <w:rsid w:val="00F84DFD"/>
    <w:rsid w:val="00F864F5"/>
    <w:rsid w:val="00F86859"/>
    <w:rsid w:val="00F86D39"/>
    <w:rsid w:val="00F86DE4"/>
    <w:rsid w:val="00F876BE"/>
    <w:rsid w:val="00F8796E"/>
    <w:rsid w:val="00F87B1B"/>
    <w:rsid w:val="00F91719"/>
    <w:rsid w:val="00F91E2D"/>
    <w:rsid w:val="00F92783"/>
    <w:rsid w:val="00F937BF"/>
    <w:rsid w:val="00F939F2"/>
    <w:rsid w:val="00F93D7E"/>
    <w:rsid w:val="00F94001"/>
    <w:rsid w:val="00F94024"/>
    <w:rsid w:val="00F94A4F"/>
    <w:rsid w:val="00F95203"/>
    <w:rsid w:val="00F95C8B"/>
    <w:rsid w:val="00F95DDE"/>
    <w:rsid w:val="00F9637D"/>
    <w:rsid w:val="00F970E3"/>
    <w:rsid w:val="00F97B7E"/>
    <w:rsid w:val="00FA0A5C"/>
    <w:rsid w:val="00FA0D6C"/>
    <w:rsid w:val="00FA1C9D"/>
    <w:rsid w:val="00FA1CD9"/>
    <w:rsid w:val="00FA2720"/>
    <w:rsid w:val="00FA3090"/>
    <w:rsid w:val="00FA372E"/>
    <w:rsid w:val="00FA385B"/>
    <w:rsid w:val="00FA4ADB"/>
    <w:rsid w:val="00FA5F52"/>
    <w:rsid w:val="00FA6048"/>
    <w:rsid w:val="00FA62A5"/>
    <w:rsid w:val="00FA6BC6"/>
    <w:rsid w:val="00FA746D"/>
    <w:rsid w:val="00FA7870"/>
    <w:rsid w:val="00FA78B1"/>
    <w:rsid w:val="00FA7955"/>
    <w:rsid w:val="00FA7CB1"/>
    <w:rsid w:val="00FA7CE6"/>
    <w:rsid w:val="00FB05E8"/>
    <w:rsid w:val="00FB0C11"/>
    <w:rsid w:val="00FB10CB"/>
    <w:rsid w:val="00FB14D0"/>
    <w:rsid w:val="00FB201B"/>
    <w:rsid w:val="00FB25DE"/>
    <w:rsid w:val="00FB3495"/>
    <w:rsid w:val="00FB36FF"/>
    <w:rsid w:val="00FB37F5"/>
    <w:rsid w:val="00FB43B5"/>
    <w:rsid w:val="00FB549B"/>
    <w:rsid w:val="00FB6B5D"/>
    <w:rsid w:val="00FB6C9F"/>
    <w:rsid w:val="00FB76AD"/>
    <w:rsid w:val="00FB7852"/>
    <w:rsid w:val="00FB7A02"/>
    <w:rsid w:val="00FB7CFF"/>
    <w:rsid w:val="00FB7D54"/>
    <w:rsid w:val="00FB7E8F"/>
    <w:rsid w:val="00FC113B"/>
    <w:rsid w:val="00FC12ED"/>
    <w:rsid w:val="00FC138D"/>
    <w:rsid w:val="00FC170A"/>
    <w:rsid w:val="00FC1BBE"/>
    <w:rsid w:val="00FC1BE0"/>
    <w:rsid w:val="00FC1CB1"/>
    <w:rsid w:val="00FC1D8A"/>
    <w:rsid w:val="00FC1E0A"/>
    <w:rsid w:val="00FC3248"/>
    <w:rsid w:val="00FC334C"/>
    <w:rsid w:val="00FC37BC"/>
    <w:rsid w:val="00FC5664"/>
    <w:rsid w:val="00FC5F90"/>
    <w:rsid w:val="00FC6119"/>
    <w:rsid w:val="00FC6A1B"/>
    <w:rsid w:val="00FC7114"/>
    <w:rsid w:val="00FC7D7F"/>
    <w:rsid w:val="00FD0049"/>
    <w:rsid w:val="00FD05D4"/>
    <w:rsid w:val="00FD0FB7"/>
    <w:rsid w:val="00FD1DB4"/>
    <w:rsid w:val="00FD2346"/>
    <w:rsid w:val="00FD4CFB"/>
    <w:rsid w:val="00FD4DAF"/>
    <w:rsid w:val="00FD4E12"/>
    <w:rsid w:val="00FD6841"/>
    <w:rsid w:val="00FD6A31"/>
    <w:rsid w:val="00FD79B8"/>
    <w:rsid w:val="00FE02AB"/>
    <w:rsid w:val="00FE0610"/>
    <w:rsid w:val="00FE27BF"/>
    <w:rsid w:val="00FE32F2"/>
    <w:rsid w:val="00FE3679"/>
    <w:rsid w:val="00FE3CAF"/>
    <w:rsid w:val="00FE4293"/>
    <w:rsid w:val="00FE4D98"/>
    <w:rsid w:val="00FE568E"/>
    <w:rsid w:val="00FE5F65"/>
    <w:rsid w:val="00FE737F"/>
    <w:rsid w:val="00FE7647"/>
    <w:rsid w:val="00FF008A"/>
    <w:rsid w:val="00FF1656"/>
    <w:rsid w:val="00FF22E3"/>
    <w:rsid w:val="00FF2AB2"/>
    <w:rsid w:val="00FF347B"/>
    <w:rsid w:val="00FF3D88"/>
    <w:rsid w:val="00FF44FC"/>
    <w:rsid w:val="00FF4D0C"/>
    <w:rsid w:val="00FF4DF2"/>
    <w:rsid w:val="00FF4E15"/>
    <w:rsid w:val="00FF5E49"/>
    <w:rsid w:val="00FF727B"/>
    <w:rsid w:val="00FF7AA2"/>
    <w:rsid w:val="016DF50A"/>
    <w:rsid w:val="020A34AC"/>
    <w:rsid w:val="022F1F85"/>
    <w:rsid w:val="024C9052"/>
    <w:rsid w:val="04004C48"/>
    <w:rsid w:val="04727889"/>
    <w:rsid w:val="04748FCB"/>
    <w:rsid w:val="04EA42E2"/>
    <w:rsid w:val="05CA77F9"/>
    <w:rsid w:val="070BC076"/>
    <w:rsid w:val="0716ADA9"/>
    <w:rsid w:val="07A68441"/>
    <w:rsid w:val="07C1C5FE"/>
    <w:rsid w:val="0808EAF1"/>
    <w:rsid w:val="0900747C"/>
    <w:rsid w:val="0920F7B9"/>
    <w:rsid w:val="09CA1BA4"/>
    <w:rsid w:val="09FB40E8"/>
    <w:rsid w:val="0A1BC143"/>
    <w:rsid w:val="0A1C2505"/>
    <w:rsid w:val="0A25A60C"/>
    <w:rsid w:val="0A7C1C3C"/>
    <w:rsid w:val="0A9F8BC0"/>
    <w:rsid w:val="0AC064BD"/>
    <w:rsid w:val="0AD149A9"/>
    <w:rsid w:val="0AFDBAE3"/>
    <w:rsid w:val="0B8D5475"/>
    <w:rsid w:val="0BBF9D82"/>
    <w:rsid w:val="0CFD5BB3"/>
    <w:rsid w:val="0D9AE8AA"/>
    <w:rsid w:val="0DB44710"/>
    <w:rsid w:val="0DEAF352"/>
    <w:rsid w:val="0E38FA29"/>
    <w:rsid w:val="0E4A54B3"/>
    <w:rsid w:val="0E6DDB1F"/>
    <w:rsid w:val="0EC93663"/>
    <w:rsid w:val="0F5A41F6"/>
    <w:rsid w:val="0F7997BD"/>
    <w:rsid w:val="0FBBF193"/>
    <w:rsid w:val="0FFB1E68"/>
    <w:rsid w:val="1063C463"/>
    <w:rsid w:val="10FF8F28"/>
    <w:rsid w:val="11E01CD2"/>
    <w:rsid w:val="1289B1AA"/>
    <w:rsid w:val="13FBF03A"/>
    <w:rsid w:val="14049C60"/>
    <w:rsid w:val="14237465"/>
    <w:rsid w:val="1521862C"/>
    <w:rsid w:val="170FE937"/>
    <w:rsid w:val="1728A293"/>
    <w:rsid w:val="17611DA3"/>
    <w:rsid w:val="17DF153C"/>
    <w:rsid w:val="17FDE989"/>
    <w:rsid w:val="183E12AF"/>
    <w:rsid w:val="1914892F"/>
    <w:rsid w:val="191ED13C"/>
    <w:rsid w:val="192ED52C"/>
    <w:rsid w:val="19457DA8"/>
    <w:rsid w:val="19B0492A"/>
    <w:rsid w:val="19FD0DFC"/>
    <w:rsid w:val="19FECA52"/>
    <w:rsid w:val="1A0F1AE9"/>
    <w:rsid w:val="1A16B27D"/>
    <w:rsid w:val="1A56FC0A"/>
    <w:rsid w:val="1A8F11D7"/>
    <w:rsid w:val="1A997CA1"/>
    <w:rsid w:val="1AB74041"/>
    <w:rsid w:val="1B5D5322"/>
    <w:rsid w:val="1B771FFD"/>
    <w:rsid w:val="1B7F2952"/>
    <w:rsid w:val="1B9EB851"/>
    <w:rsid w:val="1BA939BB"/>
    <w:rsid w:val="1C19A82A"/>
    <w:rsid w:val="1C1A335C"/>
    <w:rsid w:val="1C1C0C42"/>
    <w:rsid w:val="1C3A24D1"/>
    <w:rsid w:val="1C48A633"/>
    <w:rsid w:val="1C4ACA1E"/>
    <w:rsid w:val="1C8D9D6F"/>
    <w:rsid w:val="1CC4ABFF"/>
    <w:rsid w:val="1D26CB88"/>
    <w:rsid w:val="1E4DD78B"/>
    <w:rsid w:val="1EC8103B"/>
    <w:rsid w:val="1FEA8BC8"/>
    <w:rsid w:val="20002B93"/>
    <w:rsid w:val="2048F934"/>
    <w:rsid w:val="21029569"/>
    <w:rsid w:val="213BB7CE"/>
    <w:rsid w:val="22AA5B03"/>
    <w:rsid w:val="22C54B85"/>
    <w:rsid w:val="22C61C5F"/>
    <w:rsid w:val="22DB1989"/>
    <w:rsid w:val="23677691"/>
    <w:rsid w:val="23917985"/>
    <w:rsid w:val="24409CCD"/>
    <w:rsid w:val="24AEFC07"/>
    <w:rsid w:val="252DAF02"/>
    <w:rsid w:val="2599F76A"/>
    <w:rsid w:val="25B8FA66"/>
    <w:rsid w:val="25C57173"/>
    <w:rsid w:val="25CE7C8D"/>
    <w:rsid w:val="25E1D861"/>
    <w:rsid w:val="2642C605"/>
    <w:rsid w:val="265CA15E"/>
    <w:rsid w:val="26DBEAE9"/>
    <w:rsid w:val="26F20BF9"/>
    <w:rsid w:val="2717F334"/>
    <w:rsid w:val="2784FD4F"/>
    <w:rsid w:val="2804310E"/>
    <w:rsid w:val="28AFA547"/>
    <w:rsid w:val="28D2455A"/>
    <w:rsid w:val="2987A49B"/>
    <w:rsid w:val="2A5AADA9"/>
    <w:rsid w:val="2BDDD565"/>
    <w:rsid w:val="2BE05369"/>
    <w:rsid w:val="2BF3E955"/>
    <w:rsid w:val="2CE64FB0"/>
    <w:rsid w:val="2F6CF016"/>
    <w:rsid w:val="302D3C40"/>
    <w:rsid w:val="304FABE0"/>
    <w:rsid w:val="305AF878"/>
    <w:rsid w:val="31A1F2C6"/>
    <w:rsid w:val="31BB893D"/>
    <w:rsid w:val="32005937"/>
    <w:rsid w:val="3265527B"/>
    <w:rsid w:val="329B19D5"/>
    <w:rsid w:val="32F04CC2"/>
    <w:rsid w:val="32FC57F7"/>
    <w:rsid w:val="348C3E29"/>
    <w:rsid w:val="350BE092"/>
    <w:rsid w:val="35452D48"/>
    <w:rsid w:val="3551CB96"/>
    <w:rsid w:val="358C2DDD"/>
    <w:rsid w:val="36662FC3"/>
    <w:rsid w:val="37D4BE37"/>
    <w:rsid w:val="38D15D7D"/>
    <w:rsid w:val="39AAC27E"/>
    <w:rsid w:val="39F591DD"/>
    <w:rsid w:val="3A13422E"/>
    <w:rsid w:val="3ACD4A7B"/>
    <w:rsid w:val="3AE15DC1"/>
    <w:rsid w:val="3AF9341E"/>
    <w:rsid w:val="3B49747B"/>
    <w:rsid w:val="3BA4E444"/>
    <w:rsid w:val="3BB134D8"/>
    <w:rsid w:val="3BE6DB86"/>
    <w:rsid w:val="3BE9249E"/>
    <w:rsid w:val="3D21488B"/>
    <w:rsid w:val="3D51A921"/>
    <w:rsid w:val="3D9879D9"/>
    <w:rsid w:val="3DE9DEB2"/>
    <w:rsid w:val="411FAD3B"/>
    <w:rsid w:val="416906E2"/>
    <w:rsid w:val="4180ABF2"/>
    <w:rsid w:val="41D1D392"/>
    <w:rsid w:val="41E1B920"/>
    <w:rsid w:val="42498D8B"/>
    <w:rsid w:val="428668F8"/>
    <w:rsid w:val="4294ABAC"/>
    <w:rsid w:val="433C16F6"/>
    <w:rsid w:val="439DBDF5"/>
    <w:rsid w:val="441AE8A6"/>
    <w:rsid w:val="44715CA0"/>
    <w:rsid w:val="4476BAE1"/>
    <w:rsid w:val="45341EC0"/>
    <w:rsid w:val="4565D8B5"/>
    <w:rsid w:val="458DB739"/>
    <w:rsid w:val="479C61D4"/>
    <w:rsid w:val="47E16318"/>
    <w:rsid w:val="4B785A50"/>
    <w:rsid w:val="4B959270"/>
    <w:rsid w:val="4BB039DF"/>
    <w:rsid w:val="4D178F72"/>
    <w:rsid w:val="4D7F3019"/>
    <w:rsid w:val="4E822D71"/>
    <w:rsid w:val="4EAC789C"/>
    <w:rsid w:val="4EBF7615"/>
    <w:rsid w:val="4FA07E56"/>
    <w:rsid w:val="5012AB29"/>
    <w:rsid w:val="50C36867"/>
    <w:rsid w:val="515CF819"/>
    <w:rsid w:val="5240911E"/>
    <w:rsid w:val="525245CA"/>
    <w:rsid w:val="526F99D8"/>
    <w:rsid w:val="52E5E9EC"/>
    <w:rsid w:val="52F4B6A7"/>
    <w:rsid w:val="5304E428"/>
    <w:rsid w:val="54F3DB84"/>
    <w:rsid w:val="55234C59"/>
    <w:rsid w:val="5542E3D5"/>
    <w:rsid w:val="5565F4EE"/>
    <w:rsid w:val="570B4DAB"/>
    <w:rsid w:val="573F5E07"/>
    <w:rsid w:val="575CF5BB"/>
    <w:rsid w:val="58B334E4"/>
    <w:rsid w:val="59C848C6"/>
    <w:rsid w:val="59EC2C8C"/>
    <w:rsid w:val="5A067DCB"/>
    <w:rsid w:val="5A227721"/>
    <w:rsid w:val="5A299B97"/>
    <w:rsid w:val="5A2C298E"/>
    <w:rsid w:val="5B072BAF"/>
    <w:rsid w:val="5B694F44"/>
    <w:rsid w:val="5BCCEBA2"/>
    <w:rsid w:val="5CAB24A1"/>
    <w:rsid w:val="5CB2792E"/>
    <w:rsid w:val="5CE73BFD"/>
    <w:rsid w:val="5D4B9BCD"/>
    <w:rsid w:val="5E25CE4F"/>
    <w:rsid w:val="5E57650A"/>
    <w:rsid w:val="5E98B394"/>
    <w:rsid w:val="5F187C3F"/>
    <w:rsid w:val="5F3BD21D"/>
    <w:rsid w:val="604BE617"/>
    <w:rsid w:val="606EFD92"/>
    <w:rsid w:val="60963F04"/>
    <w:rsid w:val="60EAA92C"/>
    <w:rsid w:val="61311D9C"/>
    <w:rsid w:val="616D531D"/>
    <w:rsid w:val="62922DF3"/>
    <w:rsid w:val="636F4DA7"/>
    <w:rsid w:val="639437B4"/>
    <w:rsid w:val="639C2B72"/>
    <w:rsid w:val="64042FA1"/>
    <w:rsid w:val="6435B275"/>
    <w:rsid w:val="647030E4"/>
    <w:rsid w:val="6524C99C"/>
    <w:rsid w:val="657C53C3"/>
    <w:rsid w:val="65A3F470"/>
    <w:rsid w:val="65CA4392"/>
    <w:rsid w:val="65D9AA29"/>
    <w:rsid w:val="65FC7B5B"/>
    <w:rsid w:val="66FAFFB8"/>
    <w:rsid w:val="67D245ED"/>
    <w:rsid w:val="680282E3"/>
    <w:rsid w:val="6983E532"/>
    <w:rsid w:val="698B7CD5"/>
    <w:rsid w:val="69935A9C"/>
    <w:rsid w:val="69AA9458"/>
    <w:rsid w:val="6A9A8E0D"/>
    <w:rsid w:val="6AD29794"/>
    <w:rsid w:val="6B2F2301"/>
    <w:rsid w:val="6B378DE1"/>
    <w:rsid w:val="6B5ED115"/>
    <w:rsid w:val="6BA370C7"/>
    <w:rsid w:val="6C8DAFB7"/>
    <w:rsid w:val="6D25EB80"/>
    <w:rsid w:val="6DE9384A"/>
    <w:rsid w:val="6E66CBBF"/>
    <w:rsid w:val="6ECE1D4B"/>
    <w:rsid w:val="702CB172"/>
    <w:rsid w:val="70E41C8A"/>
    <w:rsid w:val="7141AEF6"/>
    <w:rsid w:val="7146099E"/>
    <w:rsid w:val="7163AEB8"/>
    <w:rsid w:val="71827705"/>
    <w:rsid w:val="71C754FE"/>
    <w:rsid w:val="723F2F74"/>
    <w:rsid w:val="72427C84"/>
    <w:rsid w:val="72640D9A"/>
    <w:rsid w:val="7299D6B0"/>
    <w:rsid w:val="75740317"/>
    <w:rsid w:val="76BD1AF3"/>
    <w:rsid w:val="79D87EBE"/>
    <w:rsid w:val="79EB462B"/>
    <w:rsid w:val="7A31403A"/>
    <w:rsid w:val="7A3E7742"/>
    <w:rsid w:val="7A4050FD"/>
    <w:rsid w:val="7AF7C319"/>
    <w:rsid w:val="7B837DEB"/>
    <w:rsid w:val="7B8BB114"/>
    <w:rsid w:val="7B95E9E6"/>
    <w:rsid w:val="7BA26A6F"/>
    <w:rsid w:val="7BA4040A"/>
    <w:rsid w:val="7C51D5D8"/>
    <w:rsid w:val="7C95F2BD"/>
    <w:rsid w:val="7C98C911"/>
    <w:rsid w:val="7CFD4042"/>
    <w:rsid w:val="7DA5DD02"/>
    <w:rsid w:val="7DD15022"/>
    <w:rsid w:val="7DE4EF3B"/>
    <w:rsid w:val="7EC126C7"/>
    <w:rsid w:val="7F2A5B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EC391"/>
  <w15:docId w15:val="{092B8D44-F4CE-4CBD-9184-8918C96C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3"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085"/>
    <w:rPr>
      <w:sz w:val="24"/>
      <w:szCs w:val="24"/>
    </w:rPr>
  </w:style>
  <w:style w:type="paragraph" w:styleId="Heading1">
    <w:name w:val="heading 1"/>
    <w:aliases w:val="Heading,Heading 1 - chapter,Chapter,Chapter head,L1,CH,. (1.0),Do Not Use,Numbered 1,H1,H11,H12,Chapter1,Chapter2,Chapter Hdg,Section Heading,Heading 1 Char Char,Heading 1 Char Char Char Char Char Char,Outline1,1 ghost,g,Oscar Faber 1,Section"/>
    <w:basedOn w:val="Normal"/>
    <w:next w:val="Normal"/>
    <w:link w:val="Heading1Char"/>
    <w:uiPriority w:val="99"/>
    <w:qFormat/>
    <w:rsid w:val="00A7217C"/>
    <w:pPr>
      <w:keepNext/>
      <w:spacing w:before="240" w:after="60"/>
      <w:outlineLvl w:val="0"/>
    </w:pPr>
    <w:rPr>
      <w:rFonts w:ascii="Arial" w:hAnsi="Arial" w:cs="Arial"/>
      <w:b/>
      <w:bCs/>
      <w:kern w:val="32"/>
      <w:sz w:val="32"/>
      <w:szCs w:val="32"/>
    </w:rPr>
  </w:style>
  <w:style w:type="paragraph" w:styleId="Heading2">
    <w:name w:val="heading 2"/>
    <w:aliases w:val="F7 Sub Heading,Main Heading,Main Headi,Heading 2a,Sub Heading,Numbered - 2,do not use,h2,2,Titre 2,l2,list + change bar,???,h21,ASection,ash,KJL:1st Level,Reset numbering,PARA2,S Heading,S Heading 2,1.1.1 heading,m,H2,TF-Overskrit 2,2m"/>
    <w:basedOn w:val="Normal"/>
    <w:next w:val="Normal"/>
    <w:link w:val="Heading2Char"/>
    <w:unhideWhenUsed/>
    <w:qFormat/>
    <w:rsid w:val="006863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F6 Sub sub Heading,Heading 3 Char Char Char Char,Heading 3 Char Char Char Char Char,Heading 3 Char Char Char,Heading 3 Char Char Char Char Char Char Char Char Char Char,Heading 3 Char Char Char Char Char Char Char,Numbered Paragraph,Mia"/>
    <w:basedOn w:val="Normal"/>
    <w:next w:val="Normal"/>
    <w:link w:val="Heading3Char"/>
    <w:qFormat/>
    <w:rsid w:val="003D21A1"/>
    <w:pPr>
      <w:keepNext/>
      <w:spacing w:before="240" w:after="60"/>
      <w:outlineLvl w:val="2"/>
    </w:pPr>
    <w:rPr>
      <w:rFonts w:cs="Arial"/>
      <w:b/>
      <w:bCs/>
      <w:sz w:val="26"/>
      <w:szCs w:val="26"/>
    </w:rPr>
  </w:style>
  <w:style w:type="paragraph" w:styleId="Heading4">
    <w:name w:val="heading 4"/>
    <w:aliases w:val="Table"/>
    <w:basedOn w:val="Normal"/>
    <w:next w:val="Normal"/>
    <w:link w:val="Heading4Char"/>
    <w:qFormat/>
    <w:rsid w:val="002D66B4"/>
    <w:pPr>
      <w:keepNext/>
      <w:keepLines/>
      <w:spacing w:before="200"/>
      <w:ind w:left="864" w:hanging="144"/>
      <w:outlineLvl w:val="3"/>
    </w:pPr>
    <w:rPr>
      <w:rFonts w:asciiTheme="majorHAnsi" w:eastAsiaTheme="majorEastAsia" w:hAnsiTheme="majorHAnsi" w:cstheme="majorBidi"/>
      <w:b/>
      <w:bCs/>
      <w:i/>
      <w:iCs/>
      <w:color w:val="5B9BD5" w:themeColor="accent1"/>
      <w:sz w:val="20"/>
      <w:szCs w:val="20"/>
      <w:lang w:eastAsia="ja-JP"/>
    </w:rPr>
  </w:style>
  <w:style w:type="paragraph" w:styleId="Heading5">
    <w:name w:val="heading 5"/>
    <w:aliases w:val="Level 3 - i,h5,1cm Indent,Heading 5(unused),Level 3 - (i),Third Level Heading,Response Type,Response Type1,Response Type2,Response Type3,Response Type4,Response Type5,Response Type6,Response Type7,Appendix A to X,Heading 5   Appendix A to X,H5"/>
    <w:basedOn w:val="Normal"/>
    <w:next w:val="Normal"/>
    <w:link w:val="Heading5Char"/>
    <w:qFormat/>
    <w:rsid w:val="000D4716"/>
    <w:pPr>
      <w:tabs>
        <w:tab w:val="num" w:pos="1008"/>
      </w:tabs>
      <w:spacing w:before="240" w:after="60"/>
      <w:ind w:left="1008" w:hanging="1008"/>
      <w:outlineLvl w:val="4"/>
    </w:pPr>
    <w:rPr>
      <w:rFonts w:ascii="Gill Sans MT" w:hAnsi="Gill Sans MT" w:cs="Arial"/>
      <w:b/>
      <w:bCs/>
      <w:i/>
      <w:iCs/>
      <w:sz w:val="26"/>
      <w:szCs w:val="26"/>
      <w:lang w:eastAsia="en-US"/>
    </w:rPr>
  </w:style>
  <w:style w:type="paragraph" w:styleId="Heading6">
    <w:name w:val="heading 6"/>
    <w:aliases w:val="Legal Level 1.,level 1 bullet 1,level 1 bullet Char,level 1 bullet Char Char Char,level 1 bullet,level 1 bullet 1 Char Char Char,level 1 bullet 1 Char Char Char Char Char Char Char,level 1 bullet 1 Char Char Char Char Char Char Char Cha"/>
    <w:basedOn w:val="Normal"/>
    <w:next w:val="Normal"/>
    <w:link w:val="Heading6Char"/>
    <w:qFormat/>
    <w:rsid w:val="000D4716"/>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0D4716"/>
    <w:pPr>
      <w:tabs>
        <w:tab w:val="num" w:pos="1296"/>
      </w:tabs>
      <w:spacing w:before="240" w:after="60"/>
      <w:ind w:left="1296" w:hanging="1296"/>
      <w:outlineLvl w:val="6"/>
    </w:pPr>
    <w:rPr>
      <w:lang w:eastAsia="en-US"/>
    </w:rPr>
  </w:style>
  <w:style w:type="paragraph" w:styleId="Heading8">
    <w:name w:val="heading 8"/>
    <w:aliases w:val="Bullet 3"/>
    <w:basedOn w:val="Normal"/>
    <w:next w:val="Normal"/>
    <w:link w:val="Heading8Char"/>
    <w:qFormat/>
    <w:rsid w:val="000D4716"/>
    <w:pPr>
      <w:tabs>
        <w:tab w:val="num" w:pos="1440"/>
      </w:tabs>
      <w:spacing w:before="240" w:after="60"/>
      <w:ind w:left="1440" w:hanging="1440"/>
      <w:outlineLvl w:val="7"/>
    </w:pPr>
    <w:rPr>
      <w:i/>
      <w:iCs/>
      <w:lang w:eastAsia="en-US"/>
    </w:rPr>
  </w:style>
  <w:style w:type="paragraph" w:styleId="Heading9">
    <w:name w:val="heading 9"/>
    <w:basedOn w:val="Normal"/>
    <w:next w:val="Normal"/>
    <w:link w:val="Heading9Char"/>
    <w:qFormat/>
    <w:rsid w:val="000D4716"/>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1 - chapter Char,Chapter Char,Chapter head Char,L1 Char,CH Char,. (1.0) Char,Do Not Use Char,Numbered 1 Char,H1 Char,H11 Char,H12 Char,Chapter1 Char,Chapter2 Char,Chapter Hdg Char,Section Heading Char,Outline1 Char"/>
    <w:basedOn w:val="DefaultParagraphFont"/>
    <w:link w:val="Heading1"/>
    <w:uiPriority w:val="9"/>
    <w:rsid w:val="00A36E0A"/>
    <w:rPr>
      <w:rFonts w:ascii="Arial" w:hAnsi="Arial" w:cs="Arial"/>
      <w:b/>
      <w:bCs/>
      <w:kern w:val="32"/>
      <w:sz w:val="32"/>
      <w:szCs w:val="32"/>
    </w:rPr>
  </w:style>
  <w:style w:type="character" w:customStyle="1" w:styleId="Heading2Char">
    <w:name w:val="Heading 2 Char"/>
    <w:aliases w:val="F7 Sub Heading Char,Main Heading Char,Main Headi Char,Heading 2a Char,Sub Heading Char,Numbered - 2 Char,do not use Char,h2 Char,2 Char,Titre 2 Char,l2 Char,list + change bar Char,??? Char,h21 Char,ASection Char,ash Char,PARA2 Char,m Char"/>
    <w:basedOn w:val="DefaultParagraphFont"/>
    <w:link w:val="Heading2"/>
    <w:rsid w:val="00686336"/>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F6 Sub sub Heading Char,Heading 3 Char Char Char Char Char1,Heading 3 Char Char Char Char Char Char,Heading 3 Char Char Char Char1,Heading 3 Char Char Char Char Char Char Char Char Char Char Char,Numbered Paragraph Char,Mia Char"/>
    <w:link w:val="Heading3"/>
    <w:rsid w:val="003D21A1"/>
    <w:rPr>
      <w:rFonts w:cs="Arial"/>
      <w:b/>
      <w:bCs/>
      <w:sz w:val="26"/>
      <w:szCs w:val="26"/>
      <w:lang w:val="en-GB" w:eastAsia="en-GB" w:bidi="ar-SA"/>
    </w:rPr>
  </w:style>
  <w:style w:type="character" w:customStyle="1" w:styleId="Heading4Char">
    <w:name w:val="Heading 4 Char"/>
    <w:aliases w:val="Table Char"/>
    <w:basedOn w:val="DefaultParagraphFont"/>
    <w:link w:val="Heading4"/>
    <w:rsid w:val="002D66B4"/>
    <w:rPr>
      <w:rFonts w:asciiTheme="majorHAnsi" w:eastAsiaTheme="majorEastAsia" w:hAnsiTheme="majorHAnsi" w:cstheme="majorBidi"/>
      <w:b/>
      <w:bCs/>
      <w:i/>
      <w:iCs/>
      <w:color w:val="5B9BD5" w:themeColor="accent1"/>
      <w:lang w:eastAsia="ja-JP"/>
    </w:rPr>
  </w:style>
  <w:style w:type="character" w:customStyle="1" w:styleId="Heading5Char">
    <w:name w:val="Heading 5 Char"/>
    <w:aliases w:val="Level 3 - i Char,h5 Char,1cm Indent Char,Heading 5(unused) Char,Level 3 - (i) Char,Third Level Heading Char,Response Type Char,Response Type1 Char,Response Type2 Char,Response Type3 Char,Response Type4 Char,Response Type5 Char,H5 Char"/>
    <w:basedOn w:val="DefaultParagraphFont"/>
    <w:link w:val="Heading5"/>
    <w:rsid w:val="00632032"/>
    <w:rPr>
      <w:rFonts w:ascii="Gill Sans MT" w:hAnsi="Gill Sans MT" w:cs="Arial"/>
      <w:b/>
      <w:bCs/>
      <w:i/>
      <w:iCs/>
      <w:sz w:val="26"/>
      <w:szCs w:val="26"/>
      <w:lang w:eastAsia="en-US"/>
    </w:rPr>
  </w:style>
  <w:style w:type="character" w:customStyle="1" w:styleId="Heading6Char">
    <w:name w:val="Heading 6 Char"/>
    <w:aliases w:val="Legal Level 1. Char,level 1 bullet 1 Char,level 1 bullet Char Char,level 1 bullet Char Char Char Char,level 1 bullet Char1,level 1 bullet 1 Char Char Char Char,level 1 bullet 1 Char Char Char Char Char Char Char Char"/>
    <w:basedOn w:val="DefaultParagraphFont"/>
    <w:link w:val="Heading6"/>
    <w:rsid w:val="00632032"/>
    <w:rPr>
      <w:b/>
      <w:bCs/>
      <w:sz w:val="22"/>
      <w:szCs w:val="22"/>
      <w:lang w:eastAsia="en-US"/>
    </w:rPr>
  </w:style>
  <w:style w:type="character" w:customStyle="1" w:styleId="Heading7Char">
    <w:name w:val="Heading 7 Char"/>
    <w:basedOn w:val="DefaultParagraphFont"/>
    <w:link w:val="Heading7"/>
    <w:rsid w:val="00632032"/>
    <w:rPr>
      <w:sz w:val="24"/>
      <w:szCs w:val="24"/>
      <w:lang w:eastAsia="en-US"/>
    </w:rPr>
  </w:style>
  <w:style w:type="character" w:customStyle="1" w:styleId="Heading8Char">
    <w:name w:val="Heading 8 Char"/>
    <w:aliases w:val="Bullet 3 Char"/>
    <w:basedOn w:val="DefaultParagraphFont"/>
    <w:link w:val="Heading8"/>
    <w:rsid w:val="00632032"/>
    <w:rPr>
      <w:i/>
      <w:iCs/>
      <w:sz w:val="24"/>
      <w:szCs w:val="24"/>
      <w:lang w:eastAsia="en-US"/>
    </w:rPr>
  </w:style>
  <w:style w:type="character" w:customStyle="1" w:styleId="Heading9Char">
    <w:name w:val="Heading 9 Char"/>
    <w:basedOn w:val="DefaultParagraphFont"/>
    <w:link w:val="Heading9"/>
    <w:rsid w:val="00632032"/>
    <w:rPr>
      <w:rFonts w:ascii="Arial" w:hAnsi="Arial" w:cs="Arial"/>
      <w:sz w:val="22"/>
      <w:szCs w:val="22"/>
      <w:lang w:eastAsia="en-US"/>
    </w:rPr>
  </w:style>
  <w:style w:type="paragraph" w:customStyle="1" w:styleId="Reporttext0">
    <w:name w:val="Report text"/>
    <w:basedOn w:val="Normal"/>
    <w:link w:val="ReporttextCharChar"/>
    <w:rsid w:val="003D16C5"/>
    <w:pPr>
      <w:keepLines/>
      <w:numPr>
        <w:ilvl w:val="1"/>
        <w:numId w:val="2"/>
      </w:numPr>
    </w:pPr>
    <w:rPr>
      <w:szCs w:val="20"/>
    </w:rPr>
  </w:style>
  <w:style w:type="character" w:customStyle="1" w:styleId="ReporttextCharChar">
    <w:name w:val="Report text Char Char"/>
    <w:link w:val="Reporttext0"/>
    <w:rsid w:val="003D16C5"/>
    <w:rPr>
      <w:sz w:val="24"/>
    </w:rPr>
  </w:style>
  <w:style w:type="paragraph" w:customStyle="1" w:styleId="Reportlistbullet">
    <w:name w:val="Report list bullet"/>
    <w:basedOn w:val="Normal"/>
    <w:link w:val="ReportlistbulletChar"/>
    <w:rsid w:val="003D16C5"/>
    <w:pPr>
      <w:numPr>
        <w:numId w:val="1"/>
      </w:numPr>
    </w:pPr>
  </w:style>
  <w:style w:type="character" w:customStyle="1" w:styleId="ReportlistbulletChar">
    <w:name w:val="Report list bullet Char"/>
    <w:link w:val="Reportlistbullet"/>
    <w:rsid w:val="003D16C5"/>
    <w:rPr>
      <w:sz w:val="24"/>
      <w:szCs w:val="24"/>
    </w:rPr>
  </w:style>
  <w:style w:type="character" w:styleId="Hyperlink">
    <w:name w:val="Hyperlink"/>
    <w:uiPriority w:val="99"/>
    <w:rsid w:val="00A7217C"/>
    <w:rPr>
      <w:color w:val="0000FF"/>
      <w:u w:val="single"/>
    </w:rPr>
  </w:style>
  <w:style w:type="paragraph" w:customStyle="1" w:styleId="ReportHeading1">
    <w:name w:val="Report Heading 1"/>
    <w:basedOn w:val="Heading1"/>
    <w:next w:val="Normal"/>
    <w:link w:val="ReportHeading1Char1"/>
    <w:rsid w:val="00A7217C"/>
    <w:pPr>
      <w:keepNext w:val="0"/>
      <w:pageBreakBefore/>
      <w:spacing w:before="60"/>
    </w:pPr>
    <w:rPr>
      <w:rFonts w:ascii="Times New Roman" w:hAnsi="Times New Roman" w:cs="Times New Roman"/>
      <w:bCs w:val="0"/>
      <w:kern w:val="20"/>
      <w:sz w:val="44"/>
      <w:szCs w:val="20"/>
    </w:rPr>
  </w:style>
  <w:style w:type="character" w:customStyle="1" w:styleId="ReportHeading1Char1">
    <w:name w:val="Report Heading 1 Char1"/>
    <w:link w:val="ReportHeading1"/>
    <w:rsid w:val="00A7217C"/>
    <w:rPr>
      <w:b/>
      <w:kern w:val="20"/>
      <w:sz w:val="44"/>
      <w:lang w:val="en-GB" w:eastAsia="en-GB" w:bidi="ar-SA"/>
    </w:rPr>
  </w:style>
  <w:style w:type="paragraph" w:styleId="NormalWeb">
    <w:name w:val="Normal (Web)"/>
    <w:basedOn w:val="Normal"/>
    <w:uiPriority w:val="99"/>
    <w:rsid w:val="00A7217C"/>
    <w:pPr>
      <w:spacing w:before="100" w:after="100" w:line="300" w:lineRule="auto"/>
    </w:pPr>
  </w:style>
  <w:style w:type="table" w:styleId="TableGrid">
    <w:name w:val="Table Grid"/>
    <w:aliases w:val="Report Table"/>
    <w:basedOn w:val="TableNormal"/>
    <w:uiPriority w:val="59"/>
    <w:rsid w:val="00A7217C"/>
    <w:pPr>
      <w:keepNext/>
      <w:keepLines/>
      <w:jc w:val="center"/>
    </w:pPr>
    <w:rPr>
      <w:rFonts w:ascii="Arial" w:hAnsi="Arial"/>
    </w:rPr>
    <w:tblPr>
      <w:jc w:val="center"/>
      <w:tblBorders>
        <w:top w:val="single" w:sz="4" w:space="0" w:color="999999"/>
        <w:left w:val="single" w:sz="4" w:space="0" w:color="999999"/>
        <w:bottom w:val="single" w:sz="4" w:space="0" w:color="999999"/>
        <w:right w:val="single" w:sz="4" w:space="0" w:color="999999"/>
      </w:tblBorders>
    </w:tblPr>
    <w:trPr>
      <w:jc w:val="center"/>
    </w:trPr>
    <w:tcPr>
      <w:vAlign w:val="center"/>
    </w:tcPr>
    <w:tblStylePr w:type="firstRow">
      <w:rPr>
        <w:rFonts w:ascii="Arial" w:hAnsi="Arial"/>
        <w:b w:val="0"/>
        <w:sz w:val="22"/>
      </w:rPr>
      <w:tblPr/>
      <w:tcPr>
        <w:shd w:val="clear" w:color="auto" w:fill="FF9900"/>
      </w:tcPr>
    </w:tblStylePr>
    <w:tblStylePr w:type="firstCol">
      <w:pPr>
        <w:jc w:val="left"/>
      </w:p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Default">
    <w:name w:val="Default"/>
    <w:rsid w:val="00A7217C"/>
    <w:pPr>
      <w:autoSpaceDE w:val="0"/>
      <w:autoSpaceDN w:val="0"/>
      <w:adjustRightInd w:val="0"/>
    </w:pPr>
    <w:rPr>
      <w:rFonts w:ascii="Arial" w:hAnsi="Arial" w:cs="Arial"/>
      <w:color w:val="000000"/>
      <w:sz w:val="24"/>
      <w:szCs w:val="24"/>
    </w:rPr>
  </w:style>
  <w:style w:type="paragraph" w:customStyle="1" w:styleId="captionfigures">
    <w:name w:val="caption figures"/>
    <w:basedOn w:val="Normal"/>
    <w:autoRedefine/>
    <w:rsid w:val="00415758"/>
    <w:pPr>
      <w:widowControl w:val="0"/>
      <w:spacing w:before="60" w:after="60" w:line="300" w:lineRule="auto"/>
      <w:jc w:val="center"/>
    </w:pPr>
    <w:rPr>
      <w:rFonts w:ascii="Arial" w:hAnsi="Arial" w:cs="Arial"/>
      <w:b/>
      <w:bCs/>
      <w:spacing w:val="-2"/>
      <w:sz w:val="20"/>
      <w:szCs w:val="20"/>
    </w:rPr>
  </w:style>
  <w:style w:type="paragraph" w:customStyle="1" w:styleId="ListParagraph1">
    <w:name w:val="List Paragraph1"/>
    <w:aliases w:val="F5 List Paragraph,List Paragraph11"/>
    <w:basedOn w:val="Normal"/>
    <w:uiPriority w:val="34"/>
    <w:qFormat/>
    <w:rsid w:val="00A7217C"/>
    <w:pPr>
      <w:ind w:left="720"/>
    </w:pPr>
  </w:style>
  <w:style w:type="character" w:customStyle="1" w:styleId="apple-style-span">
    <w:name w:val="apple-style-span"/>
    <w:basedOn w:val="DefaultParagraphFont"/>
    <w:rsid w:val="00A7217C"/>
  </w:style>
  <w:style w:type="paragraph" w:styleId="Header">
    <w:name w:val="header"/>
    <w:aliases w:val="Transport &amp; Traffic,Running Head"/>
    <w:basedOn w:val="Normal"/>
    <w:link w:val="HeaderChar"/>
    <w:uiPriority w:val="99"/>
    <w:rsid w:val="00A7217C"/>
    <w:pPr>
      <w:tabs>
        <w:tab w:val="center" w:pos="4153"/>
        <w:tab w:val="right" w:pos="8306"/>
      </w:tabs>
    </w:pPr>
  </w:style>
  <w:style w:type="character" w:customStyle="1" w:styleId="HeaderChar">
    <w:name w:val="Header Char"/>
    <w:aliases w:val="Transport &amp; Traffic Char,Running Head Char"/>
    <w:basedOn w:val="DefaultParagraphFont"/>
    <w:link w:val="Header"/>
    <w:rsid w:val="00A36E0A"/>
    <w:rPr>
      <w:sz w:val="24"/>
      <w:szCs w:val="24"/>
    </w:rPr>
  </w:style>
  <w:style w:type="paragraph" w:styleId="Footer">
    <w:name w:val="footer"/>
    <w:basedOn w:val="Normal"/>
    <w:link w:val="FooterChar"/>
    <w:uiPriority w:val="99"/>
    <w:rsid w:val="00A7217C"/>
    <w:pPr>
      <w:tabs>
        <w:tab w:val="center" w:pos="4153"/>
        <w:tab w:val="right" w:pos="8306"/>
      </w:tabs>
    </w:pPr>
  </w:style>
  <w:style w:type="character" w:customStyle="1" w:styleId="FooterChar">
    <w:name w:val="Footer Char"/>
    <w:link w:val="Footer"/>
    <w:uiPriority w:val="99"/>
    <w:rsid w:val="00A7217C"/>
    <w:rPr>
      <w:sz w:val="24"/>
      <w:szCs w:val="24"/>
      <w:lang w:val="en-GB" w:eastAsia="en-GB" w:bidi="ar-SA"/>
    </w:rPr>
  </w:style>
  <w:style w:type="paragraph" w:customStyle="1" w:styleId="ReportHeaderLeft">
    <w:name w:val="Report Header Left"/>
    <w:basedOn w:val="Normal"/>
    <w:rsid w:val="00A7217C"/>
    <w:pPr>
      <w:pBdr>
        <w:bottom w:val="dotted" w:sz="4" w:space="3" w:color="auto"/>
      </w:pBdr>
      <w:spacing w:after="120"/>
    </w:pPr>
    <w:rPr>
      <w:i/>
      <w:color w:val="000000"/>
      <w:spacing w:val="20"/>
      <w:kern w:val="20"/>
      <w:sz w:val="18"/>
      <w:szCs w:val="18"/>
    </w:rPr>
  </w:style>
  <w:style w:type="paragraph" w:customStyle="1" w:styleId="ReportFooterRight">
    <w:name w:val="Report Footer Right"/>
    <w:basedOn w:val="Normal"/>
    <w:rsid w:val="00A7217C"/>
    <w:pPr>
      <w:pBdr>
        <w:top w:val="dotted" w:sz="4" w:space="4" w:color="auto"/>
      </w:pBdr>
      <w:spacing w:before="240"/>
      <w:jc w:val="right"/>
    </w:pPr>
    <w:rPr>
      <w:i/>
      <w:color w:val="000000"/>
      <w:spacing w:val="20"/>
      <w:kern w:val="20"/>
      <w:sz w:val="17"/>
      <w:szCs w:val="17"/>
    </w:rPr>
  </w:style>
  <w:style w:type="paragraph" w:styleId="ListParagraph">
    <w:name w:val="List Paragraph"/>
    <w:basedOn w:val="Normal"/>
    <w:link w:val="ListParagraphChar"/>
    <w:uiPriority w:val="34"/>
    <w:qFormat/>
    <w:rsid w:val="00640580"/>
    <w:pPr>
      <w:ind w:left="720"/>
    </w:pPr>
  </w:style>
  <w:style w:type="character" w:customStyle="1" w:styleId="ListParagraphChar">
    <w:name w:val="List Paragraph Char"/>
    <w:link w:val="ListParagraph"/>
    <w:uiPriority w:val="34"/>
    <w:locked/>
    <w:rsid w:val="004446B8"/>
    <w:rPr>
      <w:sz w:val="24"/>
      <w:szCs w:val="24"/>
    </w:rPr>
  </w:style>
  <w:style w:type="paragraph" w:styleId="PlainText">
    <w:name w:val="Plain Text"/>
    <w:basedOn w:val="Normal"/>
    <w:link w:val="PlainTextChar1"/>
    <w:rsid w:val="00E84F9F"/>
    <w:rPr>
      <w:rFonts w:ascii="Calibri" w:hAnsi="Calibri"/>
      <w:sz w:val="21"/>
      <w:szCs w:val="21"/>
      <w:lang w:eastAsia="en-US"/>
    </w:rPr>
  </w:style>
  <w:style w:type="character" w:customStyle="1" w:styleId="PlainTextChar1">
    <w:name w:val="Plain Text Char1"/>
    <w:link w:val="PlainText"/>
    <w:locked/>
    <w:rsid w:val="00E84F9F"/>
    <w:rPr>
      <w:rFonts w:ascii="Calibri" w:hAnsi="Calibri"/>
      <w:sz w:val="21"/>
      <w:szCs w:val="21"/>
      <w:lang w:val="en-GB" w:eastAsia="en-US" w:bidi="ar-SA"/>
    </w:rPr>
  </w:style>
  <w:style w:type="paragraph" w:customStyle="1" w:styleId="ListParagraph2">
    <w:name w:val="List Paragraph2"/>
    <w:basedOn w:val="Normal"/>
    <w:qFormat/>
    <w:rsid w:val="000B2283"/>
    <w:pPr>
      <w:ind w:left="720"/>
    </w:pPr>
  </w:style>
  <w:style w:type="paragraph" w:customStyle="1" w:styleId="Subnumbers">
    <w:name w:val="Sub numbers"/>
    <w:basedOn w:val="Numbers"/>
    <w:rsid w:val="000D4716"/>
  </w:style>
  <w:style w:type="paragraph" w:customStyle="1" w:styleId="Numbers">
    <w:name w:val="Numbers"/>
    <w:basedOn w:val="Normal"/>
    <w:rsid w:val="000D4716"/>
    <w:pPr>
      <w:tabs>
        <w:tab w:val="num" w:pos="567"/>
      </w:tabs>
      <w:spacing w:before="120"/>
      <w:ind w:left="567" w:hanging="567"/>
    </w:pPr>
    <w:rPr>
      <w:rFonts w:ascii="Gill Sans MT" w:hAnsi="Gill Sans MT"/>
      <w:szCs w:val="20"/>
      <w:lang w:eastAsia="en-US"/>
    </w:rPr>
  </w:style>
  <w:style w:type="paragraph" w:customStyle="1" w:styleId="SubnumbersDouble">
    <w:name w:val="Sub numbers (Double)"/>
    <w:basedOn w:val="Normal"/>
    <w:rsid w:val="000D4716"/>
    <w:pPr>
      <w:tabs>
        <w:tab w:val="num" w:pos="567"/>
      </w:tabs>
      <w:spacing w:before="120"/>
      <w:ind w:left="567" w:hanging="567"/>
    </w:pPr>
    <w:rPr>
      <w:rFonts w:ascii="Gill Sans MT" w:hAnsi="Gill Sans MT" w:cs="Arial"/>
      <w:bCs/>
      <w:lang w:eastAsia="en-US"/>
    </w:rPr>
  </w:style>
  <w:style w:type="character" w:customStyle="1" w:styleId="PlainTextChar">
    <w:name w:val="Plain Text Char"/>
    <w:locked/>
    <w:rsid w:val="00A76654"/>
    <w:rPr>
      <w:rFonts w:ascii="Courier New" w:hAnsi="Courier New"/>
      <w:lang w:val="en-GB" w:eastAsia="en-US"/>
    </w:rPr>
  </w:style>
  <w:style w:type="paragraph" w:customStyle="1" w:styleId="smallserial">
    <w:name w:val="# small serial"/>
    <w:basedOn w:val="Normal"/>
    <w:link w:val="smallserialChar"/>
    <w:qFormat/>
    <w:rsid w:val="003D16C5"/>
    <w:pPr>
      <w:numPr>
        <w:ilvl w:val="1"/>
        <w:numId w:val="3"/>
      </w:numPr>
      <w:spacing w:after="200" w:line="276" w:lineRule="auto"/>
      <w:jc w:val="both"/>
    </w:pPr>
    <w:rPr>
      <w:rFonts w:ascii="Calibri" w:hAnsi="Calibri"/>
      <w:szCs w:val="22"/>
    </w:rPr>
  </w:style>
  <w:style w:type="character" w:customStyle="1" w:styleId="smallserialChar">
    <w:name w:val="# small serial Char"/>
    <w:link w:val="smallserial"/>
    <w:rsid w:val="003D16C5"/>
    <w:rPr>
      <w:rFonts w:ascii="Calibri" w:hAnsi="Calibri"/>
      <w:sz w:val="24"/>
      <w:szCs w:val="22"/>
    </w:rPr>
  </w:style>
  <w:style w:type="paragraph" w:customStyle="1" w:styleId="StyleListParagraphArial10ptJustified">
    <w:name w:val="Style List Paragraph + Arial 10 pt Justified"/>
    <w:basedOn w:val="ListParagraph"/>
    <w:rsid w:val="0067030D"/>
    <w:pPr>
      <w:spacing w:after="200" w:line="276" w:lineRule="auto"/>
      <w:jc w:val="both"/>
    </w:pPr>
    <w:rPr>
      <w:rFonts w:ascii="Arial" w:hAnsi="Arial"/>
      <w:sz w:val="20"/>
      <w:szCs w:val="20"/>
    </w:rPr>
  </w:style>
  <w:style w:type="paragraph" w:customStyle="1" w:styleId="ReportHeaderRight">
    <w:name w:val="Report Header Right"/>
    <w:basedOn w:val="Normal"/>
    <w:rsid w:val="003D21A1"/>
    <w:pPr>
      <w:pBdr>
        <w:bottom w:val="dotted" w:sz="4" w:space="3" w:color="auto"/>
      </w:pBdr>
      <w:spacing w:after="120"/>
      <w:jc w:val="right"/>
    </w:pPr>
    <w:rPr>
      <w:i/>
      <w:color w:val="000000"/>
      <w:spacing w:val="20"/>
      <w:kern w:val="20"/>
      <w:sz w:val="18"/>
      <w:szCs w:val="18"/>
    </w:rPr>
  </w:style>
  <w:style w:type="paragraph" w:styleId="TOC1">
    <w:name w:val="toc 1"/>
    <w:basedOn w:val="Normal"/>
    <w:next w:val="Normal"/>
    <w:link w:val="TOC1Char"/>
    <w:autoRedefine/>
    <w:uiPriority w:val="39"/>
    <w:qFormat/>
    <w:rsid w:val="0075729B"/>
    <w:pPr>
      <w:tabs>
        <w:tab w:val="left" w:pos="440"/>
        <w:tab w:val="right" w:leader="dot" w:pos="9639"/>
      </w:tabs>
      <w:spacing w:before="120" w:after="120" w:line="360" w:lineRule="auto"/>
    </w:pPr>
    <w:rPr>
      <w:rFonts w:ascii="Calibri" w:hAnsi="Calibri"/>
      <w:b/>
      <w:noProof/>
      <w:szCs w:val="36"/>
    </w:rPr>
  </w:style>
  <w:style w:type="character" w:customStyle="1" w:styleId="TOC1Char">
    <w:name w:val="TOC 1 Char"/>
    <w:basedOn w:val="DefaultParagraphFont"/>
    <w:link w:val="TOC1"/>
    <w:uiPriority w:val="39"/>
    <w:rsid w:val="0075729B"/>
    <w:rPr>
      <w:rFonts w:ascii="Calibri" w:hAnsi="Calibri"/>
      <w:b/>
      <w:noProof/>
      <w:sz w:val="24"/>
      <w:szCs w:val="36"/>
    </w:rPr>
  </w:style>
  <w:style w:type="paragraph" w:customStyle="1" w:styleId="Body2">
    <w:name w:val="Body 2"/>
    <w:basedOn w:val="Normal"/>
    <w:rsid w:val="008C133F"/>
    <w:pPr>
      <w:ind w:left="851"/>
    </w:pPr>
    <w:rPr>
      <w:rFonts w:ascii="Arial" w:hAnsi="Arial"/>
      <w:szCs w:val="20"/>
    </w:rPr>
  </w:style>
  <w:style w:type="paragraph" w:customStyle="1" w:styleId="Numbered">
    <w:name w:val="Numbered"/>
    <w:basedOn w:val="Normal"/>
    <w:link w:val="NumberedChar"/>
    <w:uiPriority w:val="99"/>
    <w:qFormat/>
    <w:rsid w:val="003D16C5"/>
    <w:pPr>
      <w:numPr>
        <w:numId w:val="4"/>
      </w:numPr>
      <w:tabs>
        <w:tab w:val="num" w:pos="284"/>
      </w:tabs>
      <w:spacing w:after="120"/>
      <w:ind w:left="644"/>
    </w:pPr>
    <w:rPr>
      <w:rFonts w:ascii="Arial" w:hAnsi="Arial" w:cs="Arial"/>
      <w:spacing w:val="-4"/>
      <w:sz w:val="20"/>
      <w:szCs w:val="20"/>
    </w:rPr>
  </w:style>
  <w:style w:type="character" w:customStyle="1" w:styleId="NumberedChar">
    <w:name w:val="Numbered Char"/>
    <w:link w:val="Numbered"/>
    <w:uiPriority w:val="99"/>
    <w:locked/>
    <w:rsid w:val="003D16C5"/>
    <w:rPr>
      <w:rFonts w:ascii="Arial" w:hAnsi="Arial" w:cs="Arial"/>
      <w:spacing w:val="-4"/>
    </w:rPr>
  </w:style>
  <w:style w:type="paragraph" w:customStyle="1" w:styleId="SubheadBlue12">
    <w:name w:val="Subhead Blue 12"/>
    <w:basedOn w:val="Normal"/>
    <w:next w:val="Normal"/>
    <w:link w:val="SubheadBlue12Char"/>
    <w:qFormat/>
    <w:rsid w:val="007A4BC1"/>
    <w:pPr>
      <w:keepNext/>
      <w:spacing w:line="300" w:lineRule="atLeast"/>
      <w:ind w:left="794"/>
      <w:contextualSpacing/>
      <w:jc w:val="both"/>
    </w:pPr>
    <w:rPr>
      <w:rFonts w:ascii="Arial" w:eastAsia="MS PGothic" w:hAnsi="Arial" w:cs="Arial"/>
      <w:color w:val="0093D5"/>
      <w:lang w:eastAsia="ja-JP"/>
    </w:rPr>
  </w:style>
  <w:style w:type="character" w:customStyle="1" w:styleId="SubheadBlue12Char">
    <w:name w:val="Subhead Blue 12 Char"/>
    <w:link w:val="SubheadBlue12"/>
    <w:locked/>
    <w:rsid w:val="007A4BC1"/>
    <w:rPr>
      <w:rFonts w:ascii="Arial" w:eastAsia="MS PGothic" w:hAnsi="Arial" w:cs="Arial"/>
      <w:color w:val="0093D5"/>
      <w:sz w:val="24"/>
      <w:szCs w:val="24"/>
      <w:lang w:val="en-GB" w:eastAsia="ja-JP" w:bidi="ar-SA"/>
    </w:rPr>
  </w:style>
  <w:style w:type="paragraph" w:customStyle="1" w:styleId="SubheadGrey12">
    <w:name w:val="Subhead Grey 12"/>
    <w:basedOn w:val="SubheadBlue12"/>
    <w:link w:val="SubheadGrey12Char"/>
    <w:qFormat/>
    <w:rsid w:val="007A4BC1"/>
    <w:pPr>
      <w:tabs>
        <w:tab w:val="left" w:pos="227"/>
      </w:tabs>
    </w:pPr>
    <w:rPr>
      <w:color w:val="33393A"/>
    </w:rPr>
  </w:style>
  <w:style w:type="character" w:customStyle="1" w:styleId="SubheadGrey12Char">
    <w:name w:val="Subhead Grey 12 Char"/>
    <w:link w:val="SubheadGrey12"/>
    <w:locked/>
    <w:rsid w:val="007A4BC1"/>
    <w:rPr>
      <w:rFonts w:ascii="Arial" w:eastAsia="MS PGothic" w:hAnsi="Arial" w:cs="Arial"/>
      <w:color w:val="33393A"/>
      <w:sz w:val="24"/>
      <w:szCs w:val="24"/>
      <w:lang w:val="en-GB" w:eastAsia="ja-JP" w:bidi="ar-SA"/>
    </w:rPr>
  </w:style>
  <w:style w:type="paragraph" w:customStyle="1" w:styleId="11Bodytext">
    <w:name w:val="1.1 Body text"/>
    <w:basedOn w:val="Normal"/>
    <w:link w:val="11BodytextChar"/>
    <w:qFormat/>
    <w:rsid w:val="003D16C5"/>
    <w:pPr>
      <w:numPr>
        <w:ilvl w:val="1"/>
        <w:numId w:val="5"/>
      </w:numPr>
      <w:spacing w:before="240" w:after="120" w:line="360" w:lineRule="auto"/>
      <w:jc w:val="both"/>
    </w:pPr>
    <w:rPr>
      <w:rFonts w:ascii="Arial" w:eastAsia="MS PGothic" w:hAnsi="Arial" w:cs="Arial"/>
      <w:bCs/>
      <w:color w:val="000000"/>
      <w:sz w:val="20"/>
      <w:szCs w:val="20"/>
      <w:lang w:eastAsia="ja-JP"/>
    </w:rPr>
  </w:style>
  <w:style w:type="character" w:customStyle="1" w:styleId="11BodytextChar">
    <w:name w:val="1.1 Body text Char"/>
    <w:link w:val="11Bodytext"/>
    <w:locked/>
    <w:rsid w:val="003D16C5"/>
    <w:rPr>
      <w:rFonts w:ascii="Arial" w:eastAsia="MS PGothic" w:hAnsi="Arial" w:cs="Arial"/>
      <w:bCs/>
      <w:color w:val="000000"/>
      <w:lang w:eastAsia="ja-JP"/>
    </w:rPr>
  </w:style>
  <w:style w:type="paragraph" w:customStyle="1" w:styleId="111Bodytext">
    <w:name w:val="1.1.1 Body text"/>
    <w:basedOn w:val="11Bodytext"/>
    <w:uiPriority w:val="99"/>
    <w:qFormat/>
    <w:rsid w:val="003D16C5"/>
    <w:pPr>
      <w:numPr>
        <w:ilvl w:val="3"/>
      </w:numPr>
      <w:tabs>
        <w:tab w:val="num" w:pos="720"/>
      </w:tabs>
      <w:spacing w:after="0"/>
    </w:pPr>
    <w:rPr>
      <w:bCs w:val="0"/>
    </w:rPr>
  </w:style>
  <w:style w:type="paragraph" w:customStyle="1" w:styleId="1Bodytext">
    <w:name w:val="1 Body text"/>
    <w:basedOn w:val="Normal"/>
    <w:qFormat/>
    <w:rsid w:val="003D16C5"/>
    <w:pPr>
      <w:numPr>
        <w:numId w:val="5"/>
      </w:numPr>
      <w:spacing w:before="240" w:line="240" w:lineRule="atLeast"/>
    </w:pPr>
    <w:rPr>
      <w:rFonts w:ascii="Arial" w:eastAsia="MS PGothic" w:hAnsi="Arial" w:cs="Arial"/>
      <w:b/>
      <w:bCs/>
      <w:caps/>
      <w:color w:val="000000"/>
      <w:szCs w:val="20"/>
      <w:lang w:eastAsia="ja-JP"/>
    </w:rPr>
  </w:style>
  <w:style w:type="paragraph" w:customStyle="1" w:styleId="12SubheadGrey">
    <w:name w:val="12 Subhead Grey"/>
    <w:basedOn w:val="Normal"/>
    <w:qFormat/>
    <w:rsid w:val="007A4BC1"/>
    <w:pPr>
      <w:keepNext/>
      <w:tabs>
        <w:tab w:val="left" w:pos="227"/>
      </w:tabs>
      <w:spacing w:line="300" w:lineRule="exact"/>
      <w:contextualSpacing/>
    </w:pPr>
    <w:rPr>
      <w:rFonts w:ascii="Arial" w:eastAsia="MS PGothic" w:hAnsi="Arial" w:cs="Arial"/>
      <w:color w:val="33393A"/>
      <w:lang w:eastAsia="ja-JP"/>
    </w:rPr>
  </w:style>
  <w:style w:type="paragraph" w:customStyle="1" w:styleId="BodyText1">
    <w:name w:val="Body Text1"/>
    <w:link w:val="BodytextChar"/>
    <w:qFormat/>
    <w:rsid w:val="00946AB9"/>
    <w:pPr>
      <w:autoSpaceDE w:val="0"/>
      <w:autoSpaceDN w:val="0"/>
      <w:adjustRightInd w:val="0"/>
      <w:spacing w:before="160" w:after="200"/>
    </w:pPr>
    <w:rPr>
      <w:rFonts w:ascii="Arial" w:hAnsi="Arial" w:cs="Arial"/>
      <w:color w:val="000000"/>
      <w:spacing w:val="-4"/>
    </w:rPr>
  </w:style>
  <w:style w:type="character" w:customStyle="1" w:styleId="BodytextChar">
    <w:name w:val="Body text Char"/>
    <w:link w:val="BodyText1"/>
    <w:locked/>
    <w:rsid w:val="00946AB9"/>
    <w:rPr>
      <w:rFonts w:ascii="Arial" w:hAnsi="Arial" w:cs="Arial"/>
      <w:color w:val="000000"/>
      <w:spacing w:val="-4"/>
      <w:lang w:val="en-GB" w:eastAsia="en-GB" w:bidi="ar-SA"/>
    </w:rPr>
  </w:style>
  <w:style w:type="character" w:customStyle="1" w:styleId="BodyORANGEChar">
    <w:name w:val="Body ORANGE Char"/>
    <w:link w:val="BodyORANGE"/>
    <w:locked/>
    <w:rsid w:val="00946AB9"/>
    <w:rPr>
      <w:rFonts w:ascii="Arial" w:hAnsi="Arial" w:cs="Arial"/>
      <w:color w:val="4F81BD"/>
      <w:spacing w:val="-4"/>
      <w:sz w:val="22"/>
      <w:szCs w:val="22"/>
      <w:lang w:val="en-GB" w:eastAsia="en-GB" w:bidi="ar-SA"/>
    </w:rPr>
  </w:style>
  <w:style w:type="paragraph" w:customStyle="1" w:styleId="BodyORANGE">
    <w:name w:val="Body ORANGE"/>
    <w:next w:val="BodyText1"/>
    <w:link w:val="BodyORANGEChar"/>
    <w:rsid w:val="00946AB9"/>
    <w:pPr>
      <w:spacing w:before="200" w:after="120"/>
    </w:pPr>
    <w:rPr>
      <w:rFonts w:ascii="Arial" w:hAnsi="Arial" w:cs="Arial"/>
      <w:color w:val="4F81BD"/>
      <w:spacing w:val="-4"/>
      <w:sz w:val="22"/>
      <w:szCs w:val="22"/>
    </w:rPr>
  </w:style>
  <w:style w:type="character" w:customStyle="1" w:styleId="apple-converted-space">
    <w:name w:val="apple-converted-space"/>
    <w:rsid w:val="00FD0049"/>
  </w:style>
  <w:style w:type="paragraph" w:styleId="BodyText2">
    <w:name w:val="Body Text 2"/>
    <w:basedOn w:val="Normal"/>
    <w:link w:val="BodyText2Char"/>
    <w:rsid w:val="00FD0049"/>
    <w:pPr>
      <w:spacing w:after="120" w:line="480" w:lineRule="auto"/>
    </w:pPr>
  </w:style>
  <w:style w:type="character" w:customStyle="1" w:styleId="BodyText2Char">
    <w:name w:val="Body Text 2 Char"/>
    <w:link w:val="BodyText2"/>
    <w:rsid w:val="00FD0049"/>
    <w:rPr>
      <w:sz w:val="24"/>
      <w:szCs w:val="24"/>
    </w:rPr>
  </w:style>
  <w:style w:type="paragraph" w:customStyle="1" w:styleId="03NumberedHeadings">
    <w:name w:val="03 Numbered Headings"/>
    <w:basedOn w:val="Normal"/>
    <w:next w:val="Normal"/>
    <w:link w:val="03NumberedHeadingsChar"/>
    <w:qFormat/>
    <w:rsid w:val="003D16C5"/>
    <w:pPr>
      <w:numPr>
        <w:numId w:val="7"/>
      </w:numPr>
      <w:spacing w:before="240" w:line="240" w:lineRule="exact"/>
    </w:pPr>
    <w:rPr>
      <w:rFonts w:ascii="Arial" w:eastAsia="MS Mincho" w:hAnsi="Arial"/>
      <w:b/>
      <w:bCs/>
      <w:caps/>
      <w:color w:val="000000"/>
      <w:sz w:val="20"/>
      <w:szCs w:val="20"/>
      <w:lang w:val="en-US" w:eastAsia="ja-JP"/>
    </w:rPr>
  </w:style>
  <w:style w:type="character" w:customStyle="1" w:styleId="03NumberedHeadingsChar">
    <w:name w:val="03 Numbered Headings Char"/>
    <w:link w:val="03NumberedHeadings"/>
    <w:rsid w:val="003D16C5"/>
    <w:rPr>
      <w:rFonts w:ascii="Arial" w:eastAsia="MS Mincho" w:hAnsi="Arial"/>
      <w:b/>
      <w:bCs/>
      <w:caps/>
      <w:color w:val="000000"/>
      <w:lang w:val="en-US" w:eastAsia="ja-JP"/>
    </w:rPr>
  </w:style>
  <w:style w:type="paragraph" w:customStyle="1" w:styleId="11Body">
    <w:name w:val="1.1 Body"/>
    <w:basedOn w:val="03NumberedHeadings"/>
    <w:link w:val="11BodyChar"/>
    <w:qFormat/>
    <w:rsid w:val="003D16C5"/>
    <w:pPr>
      <w:numPr>
        <w:ilvl w:val="1"/>
      </w:numPr>
      <w:tabs>
        <w:tab w:val="clear" w:pos="1305"/>
        <w:tab w:val="num" w:pos="867"/>
      </w:tabs>
      <w:ind w:left="867" w:hanging="867"/>
    </w:pPr>
    <w:rPr>
      <w:b w:val="0"/>
      <w:caps w:val="0"/>
    </w:rPr>
  </w:style>
  <w:style w:type="character" w:customStyle="1" w:styleId="11BodyChar">
    <w:name w:val="1.1 Body Char"/>
    <w:link w:val="11Body"/>
    <w:locked/>
    <w:rsid w:val="003D16C5"/>
    <w:rPr>
      <w:rFonts w:ascii="Arial" w:eastAsia="MS Mincho" w:hAnsi="Arial"/>
      <w:bCs/>
      <w:color w:val="000000"/>
      <w:lang w:val="en-US" w:eastAsia="ja-JP"/>
    </w:rPr>
  </w:style>
  <w:style w:type="paragraph" w:customStyle="1" w:styleId="111BodyList">
    <w:name w:val="1.1.1 Body List"/>
    <w:basedOn w:val="03NumberedHeadings"/>
    <w:link w:val="111BodyListChar"/>
    <w:qFormat/>
    <w:rsid w:val="003D16C5"/>
    <w:pPr>
      <w:numPr>
        <w:ilvl w:val="2"/>
      </w:numPr>
      <w:tabs>
        <w:tab w:val="left" w:pos="1304"/>
      </w:tabs>
    </w:pPr>
    <w:rPr>
      <w:b w:val="0"/>
      <w:caps w:val="0"/>
    </w:rPr>
  </w:style>
  <w:style w:type="paragraph" w:customStyle="1" w:styleId="FigureHeading">
    <w:name w:val="Figure Heading"/>
    <w:basedOn w:val="Normal"/>
    <w:next w:val="Normal"/>
    <w:qFormat/>
    <w:rsid w:val="00FD0049"/>
    <w:pPr>
      <w:tabs>
        <w:tab w:val="left" w:pos="794"/>
        <w:tab w:val="left" w:pos="1843"/>
      </w:tabs>
      <w:spacing w:after="80" w:line="240" w:lineRule="atLeast"/>
      <w:ind w:left="1843" w:hanging="1049"/>
    </w:pPr>
    <w:rPr>
      <w:rFonts w:ascii="Arial" w:eastAsia="MS PGothic" w:hAnsi="Arial" w:cs="Arial"/>
      <w:b/>
      <w:bCs/>
      <w:color w:val="000000"/>
      <w:sz w:val="20"/>
      <w:lang w:eastAsia="ja-JP"/>
    </w:rPr>
  </w:style>
  <w:style w:type="paragraph" w:styleId="BalloonText">
    <w:name w:val="Balloon Text"/>
    <w:basedOn w:val="Normal"/>
    <w:link w:val="BalloonTextChar"/>
    <w:uiPriority w:val="99"/>
    <w:rsid w:val="004303B9"/>
    <w:rPr>
      <w:rFonts w:ascii="Segoe UI" w:hAnsi="Segoe UI" w:cs="Segoe UI"/>
      <w:sz w:val="18"/>
      <w:szCs w:val="18"/>
    </w:rPr>
  </w:style>
  <w:style w:type="character" w:customStyle="1" w:styleId="BalloonTextChar">
    <w:name w:val="Balloon Text Char"/>
    <w:link w:val="BalloonText"/>
    <w:uiPriority w:val="99"/>
    <w:rsid w:val="004303B9"/>
    <w:rPr>
      <w:rFonts w:ascii="Segoe UI" w:hAnsi="Segoe UI" w:cs="Segoe UI"/>
      <w:sz w:val="18"/>
      <w:szCs w:val="18"/>
    </w:rPr>
  </w:style>
  <w:style w:type="table" w:customStyle="1" w:styleId="GLHearntable1">
    <w:name w:val="GL Hearn table 1"/>
    <w:basedOn w:val="TableNormal"/>
    <w:uiPriority w:val="99"/>
    <w:rsid w:val="00DF3586"/>
    <w:pPr>
      <w:spacing w:line="220" w:lineRule="atLeast"/>
    </w:pPr>
    <w:rPr>
      <w:rFonts w:ascii="Arial" w:eastAsia="MS PGothic" w:hAnsi="Arial" w:cs="Arial"/>
      <w:color w:val="000000"/>
      <w:sz w:val="18"/>
      <w:lang w:val="en-US" w:eastAsia="ja-JP"/>
    </w:rPr>
    <w:tblPr>
      <w:tblStyleRowBandSize w:val="1"/>
      <w:tblInd w:w="794" w:type="dxa"/>
      <w:tblBorders>
        <w:top w:val="single" w:sz="2" w:space="0" w:color="0093D5"/>
        <w:left w:val="single" w:sz="2" w:space="0" w:color="0093D5"/>
        <w:bottom w:val="single" w:sz="2" w:space="0" w:color="0093D5"/>
        <w:right w:val="single" w:sz="2" w:space="0" w:color="0093D5"/>
        <w:insideH w:val="single" w:sz="2" w:space="0" w:color="0093D5"/>
        <w:insideV w:val="single" w:sz="2" w:space="0" w:color="0093D5"/>
      </w:tblBorders>
    </w:tblPr>
    <w:tcPr>
      <w:shd w:val="clear" w:color="auto" w:fill="auto"/>
    </w:tcPr>
    <w:tblStylePr w:type="firstRow">
      <w:pPr>
        <w:jc w:val="left"/>
      </w:pPr>
      <w:rPr>
        <w:rFonts w:ascii="Arial" w:hAnsi="Arial"/>
        <w:b/>
        <w:color w:val="FFFFFF"/>
        <w:sz w:val="20"/>
        <w:u w:val="none"/>
      </w:rPr>
      <w:tblPr/>
      <w:tcPr>
        <w:shd w:val="clear" w:color="auto" w:fill="0093D5"/>
        <w:vAlign w:val="center"/>
      </w:tcPr>
    </w:tblStylePr>
    <w:tblStylePr w:type="lastRow">
      <w:rPr>
        <w:rFonts w:ascii="Arial" w:hAnsi="Arial"/>
        <w:b/>
        <w:sz w:val="18"/>
      </w:rPr>
      <w:tblPr/>
      <w:tcPr>
        <w:shd w:val="clear" w:color="auto" w:fill="99D4EE"/>
      </w:tcPr>
    </w:tblStylePr>
    <w:tblStylePr w:type="firstCol">
      <w:rPr>
        <w:rFonts w:ascii="Arial" w:hAnsi="Arial"/>
        <w:b/>
        <w:i w:val="0"/>
        <w:color w:val="000000"/>
        <w:sz w:val="18"/>
      </w:rPr>
    </w:tblStylePr>
    <w:tblStylePr w:type="band2Horz">
      <w:tblPr/>
      <w:tcPr>
        <w:shd w:val="clear" w:color="auto" w:fill="C3ECFF"/>
      </w:tcPr>
    </w:tblStylePr>
  </w:style>
  <w:style w:type="paragraph" w:customStyle="1" w:styleId="Subheadingbold">
    <w:name w:val="Subheading bold"/>
    <w:basedOn w:val="Normal"/>
    <w:qFormat/>
    <w:rsid w:val="00DF3586"/>
    <w:pPr>
      <w:tabs>
        <w:tab w:val="left" w:pos="794"/>
      </w:tabs>
      <w:spacing w:line="300" w:lineRule="atLeast"/>
      <w:ind w:left="1588" w:hanging="794"/>
    </w:pPr>
    <w:rPr>
      <w:rFonts w:ascii="Arial" w:eastAsia="MS PGothic" w:hAnsi="Arial" w:cs="Arial"/>
      <w:b/>
      <w:bCs/>
      <w:color w:val="000000"/>
      <w:sz w:val="20"/>
      <w:lang w:eastAsia="ja-JP"/>
    </w:rPr>
  </w:style>
  <w:style w:type="paragraph" w:customStyle="1" w:styleId="Bulletblueplain">
    <w:name w:val="Bullet blue plain"/>
    <w:basedOn w:val="Normal"/>
    <w:link w:val="BulletblueplainChar"/>
    <w:qFormat/>
    <w:rsid w:val="003D16C5"/>
    <w:pPr>
      <w:numPr>
        <w:numId w:val="8"/>
      </w:numPr>
      <w:spacing w:before="60" w:after="60" w:line="240" w:lineRule="atLeast"/>
      <w:jc w:val="both"/>
    </w:pPr>
    <w:rPr>
      <w:rFonts w:ascii="Arial" w:eastAsia="MS PGothic" w:hAnsi="Arial" w:cs="Arial"/>
      <w:color w:val="000000"/>
      <w:sz w:val="20"/>
      <w:szCs w:val="18"/>
      <w:lang w:eastAsia="ja-JP"/>
    </w:rPr>
  </w:style>
  <w:style w:type="character" w:customStyle="1" w:styleId="BulletblueplainChar">
    <w:name w:val="Bullet blue plain Char"/>
    <w:link w:val="Bulletblueplain"/>
    <w:rsid w:val="003D16C5"/>
    <w:rPr>
      <w:rFonts w:ascii="Arial" w:eastAsia="MS PGothic" w:hAnsi="Arial" w:cs="Arial"/>
      <w:color w:val="000000"/>
      <w:szCs w:val="18"/>
      <w:lang w:eastAsia="ja-JP"/>
    </w:rPr>
  </w:style>
  <w:style w:type="paragraph" w:customStyle="1" w:styleId="StyleReporttextLinespacing15lines">
    <w:name w:val="Style Report text + Line spacing:  1.5 lines"/>
    <w:basedOn w:val="Reporttext0"/>
    <w:rsid w:val="00DF3586"/>
    <w:pPr>
      <w:numPr>
        <w:ilvl w:val="0"/>
        <w:numId w:val="0"/>
      </w:numPr>
      <w:tabs>
        <w:tab w:val="num" w:pos="1021"/>
      </w:tabs>
      <w:spacing w:after="200" w:line="276" w:lineRule="auto"/>
      <w:ind w:left="1021" w:hanging="1021"/>
    </w:pPr>
    <w:rPr>
      <w:rFonts w:ascii="Arial" w:eastAsia="Arial" w:hAnsi="Arial"/>
      <w:kern w:val="20"/>
      <w:sz w:val="22"/>
      <w:lang w:eastAsia="en-US"/>
    </w:rPr>
  </w:style>
  <w:style w:type="table" w:styleId="LightList-Accent2">
    <w:name w:val="Light List Accent 2"/>
    <w:basedOn w:val="TableNormal"/>
    <w:uiPriority w:val="61"/>
    <w:rsid w:val="00DF3586"/>
    <w:rPr>
      <w:rFonts w:ascii="Arial" w:eastAsia="MS PGothic" w:hAnsi="Arial" w:cs="Arial"/>
      <w:color w:val="000000"/>
      <w:lang w:val="en-US" w:eastAsia="ja-JP"/>
    </w:rPr>
    <w:tblPr>
      <w:tblStyleRowBandSize w:val="1"/>
      <w:tblStyleColBandSize w:val="1"/>
      <w:tblBorders>
        <w:top w:val="single" w:sz="8" w:space="0" w:color="0093D5"/>
        <w:left w:val="single" w:sz="8" w:space="0" w:color="0093D5"/>
        <w:bottom w:val="single" w:sz="8" w:space="0" w:color="0093D5"/>
        <w:right w:val="single" w:sz="8" w:space="0" w:color="0093D5"/>
      </w:tblBorders>
    </w:tblPr>
    <w:tblStylePr w:type="firstRow">
      <w:pPr>
        <w:spacing w:before="0" w:after="0" w:line="240" w:lineRule="auto"/>
      </w:pPr>
      <w:rPr>
        <w:b/>
        <w:bCs/>
        <w:color w:val="FFFFFF"/>
      </w:rPr>
      <w:tblPr/>
      <w:tcPr>
        <w:shd w:val="clear" w:color="auto" w:fill="0093D5"/>
      </w:tcPr>
    </w:tblStylePr>
    <w:tblStylePr w:type="lastRow">
      <w:pPr>
        <w:spacing w:before="0" w:after="0" w:line="240" w:lineRule="auto"/>
      </w:pPr>
      <w:rPr>
        <w:b/>
        <w:bCs/>
      </w:rPr>
      <w:tblPr/>
      <w:tcPr>
        <w:tcBorders>
          <w:top w:val="double" w:sz="6" w:space="0" w:color="0093D5"/>
          <w:left w:val="single" w:sz="8" w:space="0" w:color="0093D5"/>
          <w:bottom w:val="single" w:sz="8" w:space="0" w:color="0093D5"/>
          <w:right w:val="single" w:sz="8" w:space="0" w:color="0093D5"/>
        </w:tcBorders>
      </w:tcPr>
    </w:tblStylePr>
    <w:tblStylePr w:type="firstCol">
      <w:rPr>
        <w:b/>
        <w:bCs/>
      </w:rPr>
    </w:tblStylePr>
    <w:tblStylePr w:type="lastCol">
      <w:rPr>
        <w:b/>
        <w:bCs/>
      </w:rPr>
    </w:tblStylePr>
    <w:tblStylePr w:type="band1Vert">
      <w:tblPr/>
      <w:tcPr>
        <w:tcBorders>
          <w:top w:val="single" w:sz="8" w:space="0" w:color="0093D5"/>
          <w:left w:val="single" w:sz="8" w:space="0" w:color="0093D5"/>
          <w:bottom w:val="single" w:sz="8" w:space="0" w:color="0093D5"/>
          <w:right w:val="single" w:sz="8" w:space="0" w:color="0093D5"/>
        </w:tcBorders>
      </w:tcPr>
    </w:tblStylePr>
    <w:tblStylePr w:type="band1Horz">
      <w:tblPr/>
      <w:tcPr>
        <w:tcBorders>
          <w:top w:val="single" w:sz="8" w:space="0" w:color="0093D5"/>
          <w:left w:val="single" w:sz="8" w:space="0" w:color="0093D5"/>
          <w:bottom w:val="single" w:sz="8" w:space="0" w:color="0093D5"/>
          <w:right w:val="single" w:sz="8" w:space="0" w:color="0093D5"/>
        </w:tcBorders>
      </w:tcPr>
    </w:tblStylePr>
  </w:style>
  <w:style w:type="paragraph" w:customStyle="1" w:styleId="ReportHeading2">
    <w:name w:val="Report Heading 2"/>
    <w:basedOn w:val="Heading2"/>
    <w:next w:val="Normal"/>
    <w:link w:val="ReportHeading2Char"/>
    <w:rsid w:val="00686336"/>
    <w:pPr>
      <w:keepLines w:val="0"/>
      <w:tabs>
        <w:tab w:val="left" w:pos="0"/>
      </w:tabs>
      <w:spacing w:before="0" w:after="240"/>
    </w:pPr>
    <w:rPr>
      <w:rFonts w:ascii="Times New Roman" w:eastAsia="Times New Roman" w:hAnsi="Times New Roman" w:cs="Times New Roman"/>
      <w:b/>
      <w:color w:val="auto"/>
      <w:kern w:val="20"/>
      <w:sz w:val="24"/>
      <w:szCs w:val="20"/>
    </w:rPr>
  </w:style>
  <w:style w:type="character" w:customStyle="1" w:styleId="ReportHeading2Char">
    <w:name w:val="Report Heading 2 Char"/>
    <w:link w:val="ReportHeading2"/>
    <w:rsid w:val="00686336"/>
    <w:rPr>
      <w:b/>
      <w:kern w:val="20"/>
      <w:sz w:val="24"/>
    </w:rPr>
  </w:style>
  <w:style w:type="paragraph" w:customStyle="1" w:styleId="ReportSourceundertable0">
    <w:name w:val="Report Source under table"/>
    <w:basedOn w:val="Normal"/>
    <w:next w:val="Normal"/>
    <w:link w:val="ReportSourceundertableChar"/>
    <w:rsid w:val="00686336"/>
    <w:pPr>
      <w:jc w:val="center"/>
    </w:pPr>
    <w:rPr>
      <w:rFonts w:ascii="Arial Narrow" w:hAnsi="Arial Narrow" w:cs="Arial"/>
      <w:iCs/>
      <w:color w:val="000000"/>
      <w:sz w:val="20"/>
    </w:rPr>
  </w:style>
  <w:style w:type="character" w:customStyle="1" w:styleId="ReportSourceundertableChar">
    <w:name w:val="Report Source under table Char"/>
    <w:link w:val="ReportSourceundertable0"/>
    <w:rsid w:val="00686336"/>
    <w:rPr>
      <w:rFonts w:ascii="Arial Narrow" w:hAnsi="Arial Narrow" w:cs="Arial"/>
      <w:iCs/>
      <w:color w:val="000000"/>
      <w:szCs w:val="24"/>
    </w:rPr>
  </w:style>
  <w:style w:type="paragraph" w:styleId="List">
    <w:name w:val="List"/>
    <w:basedOn w:val="Normal"/>
    <w:rsid w:val="00686336"/>
    <w:pPr>
      <w:ind w:left="283" w:hanging="283"/>
    </w:pPr>
  </w:style>
  <w:style w:type="paragraph" w:customStyle="1" w:styleId="Caption1">
    <w:name w:val="Caption1"/>
    <w:basedOn w:val="Normal"/>
    <w:next w:val="Normal"/>
    <w:link w:val="captionChar"/>
    <w:rsid w:val="00686336"/>
    <w:pPr>
      <w:keepNext/>
      <w:spacing w:before="120" w:after="120"/>
      <w:jc w:val="center"/>
    </w:pPr>
    <w:rPr>
      <w:rFonts w:cs="Arial"/>
      <w:b/>
      <w:bCs/>
    </w:rPr>
  </w:style>
  <w:style w:type="character" w:customStyle="1" w:styleId="captionChar">
    <w:name w:val="caption Char"/>
    <w:link w:val="Caption1"/>
    <w:rsid w:val="00686336"/>
    <w:rPr>
      <w:rFonts w:cs="Arial"/>
      <w:b/>
      <w:bCs/>
      <w:sz w:val="24"/>
      <w:szCs w:val="24"/>
    </w:rPr>
  </w:style>
  <w:style w:type="paragraph" w:customStyle="1" w:styleId="Tableheading">
    <w:name w:val="Table heading"/>
    <w:basedOn w:val="FigureHeading"/>
    <w:next w:val="Normal"/>
    <w:link w:val="TableheadingChar"/>
    <w:qFormat/>
    <w:rsid w:val="003D16C5"/>
    <w:pPr>
      <w:numPr>
        <w:numId w:val="9"/>
      </w:numPr>
    </w:pPr>
    <w:rPr>
      <w:rFonts w:cs="Times New Roman"/>
      <w:bCs w:val="0"/>
      <w:color w:val="0093D5"/>
    </w:rPr>
  </w:style>
  <w:style w:type="character" w:customStyle="1" w:styleId="TableheadingChar">
    <w:name w:val="Table heading Char"/>
    <w:basedOn w:val="DefaultParagraphFont"/>
    <w:link w:val="Tableheading"/>
    <w:locked/>
    <w:rsid w:val="0093743B"/>
    <w:rPr>
      <w:rFonts w:ascii="Arial" w:eastAsia="MS PGothic" w:hAnsi="Arial"/>
      <w:b/>
      <w:color w:val="0093D5"/>
      <w:szCs w:val="24"/>
      <w:lang w:eastAsia="ja-JP"/>
    </w:rPr>
  </w:style>
  <w:style w:type="character" w:customStyle="1" w:styleId="A4">
    <w:name w:val="A4"/>
    <w:uiPriority w:val="99"/>
    <w:semiHidden/>
    <w:unhideWhenUsed/>
    <w:rsid w:val="00A96072"/>
    <w:rPr>
      <w:rFonts w:cs="Arial"/>
      <w:b/>
      <w:bCs/>
      <w:color w:val="221E1F"/>
      <w:sz w:val="20"/>
      <w:szCs w:val="20"/>
    </w:rPr>
  </w:style>
  <w:style w:type="paragraph" w:styleId="Quote">
    <w:name w:val="Quote"/>
    <w:basedOn w:val="Normal"/>
    <w:link w:val="QuoteChar"/>
    <w:uiPriority w:val="29"/>
    <w:qFormat/>
    <w:rsid w:val="00D03BDA"/>
    <w:pPr>
      <w:spacing w:before="200" w:after="200" w:line="280" w:lineRule="atLeast"/>
      <w:ind w:left="567" w:right="567"/>
      <w:jc w:val="both"/>
    </w:pPr>
    <w:rPr>
      <w:rFonts w:ascii="Arial" w:eastAsiaTheme="minorHAnsi" w:hAnsi="Arial" w:cs="Arial"/>
      <w:i/>
      <w:iCs/>
      <w:sz w:val="20"/>
      <w:szCs w:val="20"/>
    </w:rPr>
  </w:style>
  <w:style w:type="character" w:customStyle="1" w:styleId="QuoteChar">
    <w:name w:val="Quote Char"/>
    <w:basedOn w:val="DefaultParagraphFont"/>
    <w:link w:val="Quote"/>
    <w:uiPriority w:val="29"/>
    <w:rsid w:val="00D03BDA"/>
    <w:rPr>
      <w:rFonts w:ascii="Arial" w:eastAsiaTheme="minorHAnsi" w:hAnsi="Arial" w:cs="Arial"/>
      <w:i/>
      <w:iCs/>
    </w:rPr>
  </w:style>
  <w:style w:type="table" w:customStyle="1" w:styleId="LightList-Accent11">
    <w:name w:val="Light List - Accent 11"/>
    <w:basedOn w:val="TableNormal"/>
    <w:uiPriority w:val="61"/>
    <w:rsid w:val="00A36E0A"/>
    <w:rPr>
      <w:rFonts w:asciiTheme="minorHAnsi" w:eastAsiaTheme="minorHAnsi" w:hAnsiTheme="minorHAnsi" w:cstheme="minorBidi"/>
      <w:sz w:val="22"/>
      <w:szCs w:val="22"/>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FootnoteText">
    <w:name w:val="footnote text"/>
    <w:aliases w:val="Char Char,Footnote Text Char Char, Char Char Char,Char Char1,~Footnote,Harestanes Ref,RSK-FT,RSK-FT1,RSK-FT2"/>
    <w:basedOn w:val="Normal"/>
    <w:link w:val="FootnoteTextChar"/>
    <w:uiPriority w:val="99"/>
    <w:qFormat/>
    <w:rsid w:val="00A36E0A"/>
    <w:rPr>
      <w:rFonts w:ascii="Arial" w:eastAsiaTheme="minorEastAsia" w:hAnsi="Arial" w:cs="Arial"/>
      <w:color w:val="000000" w:themeColor="text1"/>
      <w:sz w:val="20"/>
      <w:szCs w:val="20"/>
      <w:lang w:val="en-US" w:eastAsia="ja-JP"/>
    </w:rPr>
  </w:style>
  <w:style w:type="character" w:customStyle="1" w:styleId="FootnoteTextChar">
    <w:name w:val="Footnote Text Char"/>
    <w:aliases w:val="Char Char Char,Footnote Text Char Char Char, Char Char Char Char,Char Char1 Char,~Footnote Char,Harestanes Ref Char,RSK-FT Char,RSK-FT1 Char,RSK-FT2 Char"/>
    <w:basedOn w:val="DefaultParagraphFont"/>
    <w:link w:val="FootnoteText"/>
    <w:uiPriority w:val="99"/>
    <w:rsid w:val="00A36E0A"/>
    <w:rPr>
      <w:rFonts w:ascii="Arial" w:eastAsiaTheme="minorEastAsia" w:hAnsi="Arial" w:cs="Arial"/>
      <w:color w:val="000000" w:themeColor="text1"/>
      <w:lang w:val="en-US" w:eastAsia="ja-JP"/>
    </w:rPr>
  </w:style>
  <w:style w:type="character" w:styleId="FootnoteReference">
    <w:name w:val="footnote reference"/>
    <w:basedOn w:val="DefaultParagraphFont"/>
    <w:uiPriority w:val="99"/>
    <w:rsid w:val="00A36E0A"/>
    <w:rPr>
      <w:vertAlign w:val="superscript"/>
    </w:rPr>
  </w:style>
  <w:style w:type="paragraph" w:customStyle="1" w:styleId="Reportsourceundertable">
    <w:name w:val="Report source under table"/>
    <w:basedOn w:val="Normal"/>
    <w:next w:val="Normal"/>
    <w:rsid w:val="003D16C5"/>
    <w:pPr>
      <w:numPr>
        <w:ilvl w:val="1"/>
        <w:numId w:val="10"/>
      </w:numPr>
      <w:tabs>
        <w:tab w:val="clear" w:pos="867"/>
      </w:tabs>
      <w:ind w:left="0" w:firstLine="0"/>
      <w:jc w:val="center"/>
    </w:pPr>
    <w:rPr>
      <w:rFonts w:ascii="Arial Narrow" w:hAnsi="Arial Narrow"/>
      <w:sz w:val="20"/>
    </w:rPr>
  </w:style>
  <w:style w:type="paragraph" w:customStyle="1" w:styleId="Caption2">
    <w:name w:val="Caption2"/>
    <w:basedOn w:val="Normal"/>
    <w:next w:val="Normal"/>
    <w:rsid w:val="00A36E0A"/>
    <w:pPr>
      <w:keepNext/>
      <w:spacing w:before="120" w:after="120"/>
      <w:jc w:val="center"/>
    </w:pPr>
    <w:rPr>
      <w:rFonts w:cs="Arial"/>
      <w:b/>
      <w:bCs/>
    </w:rPr>
  </w:style>
  <w:style w:type="paragraph" w:customStyle="1" w:styleId="ReportText">
    <w:name w:val="Report Text"/>
    <w:basedOn w:val="Normal"/>
    <w:link w:val="ReportTextChar1"/>
    <w:rsid w:val="003D16C5"/>
    <w:pPr>
      <w:keepLines/>
      <w:numPr>
        <w:ilvl w:val="1"/>
        <w:numId w:val="6"/>
      </w:numPr>
      <w:tabs>
        <w:tab w:val="num" w:pos="360"/>
        <w:tab w:val="left" w:pos="720"/>
      </w:tabs>
      <w:ind w:left="0" w:firstLine="0"/>
    </w:pPr>
  </w:style>
  <w:style w:type="paragraph" w:customStyle="1" w:styleId="BlueBullet">
    <w:name w:val="Blue Bullet"/>
    <w:basedOn w:val="111BodyList"/>
    <w:link w:val="BlueBulletChar"/>
    <w:qFormat/>
    <w:rsid w:val="003D16C5"/>
    <w:pPr>
      <w:numPr>
        <w:numId w:val="17"/>
      </w:numPr>
      <w:tabs>
        <w:tab w:val="clear" w:pos="1304"/>
        <w:tab w:val="left" w:pos="1560"/>
      </w:tabs>
      <w:spacing w:before="120" w:line="240" w:lineRule="atLeast"/>
    </w:pPr>
    <w:rPr>
      <w:rFonts w:cs="Arial"/>
      <w:lang w:val="en-GB"/>
    </w:rPr>
  </w:style>
  <w:style w:type="character" w:customStyle="1" w:styleId="BlueBulletChar">
    <w:name w:val="Blue Bullet Char"/>
    <w:link w:val="BlueBullet"/>
    <w:rsid w:val="003D16C5"/>
    <w:rPr>
      <w:rFonts w:ascii="Arial" w:eastAsia="MS Mincho" w:hAnsi="Arial" w:cs="Arial"/>
      <w:bCs/>
      <w:color w:val="000000"/>
      <w:lang w:eastAsia="ja-JP"/>
    </w:rPr>
  </w:style>
  <w:style w:type="character" w:customStyle="1" w:styleId="CharChar5">
    <w:name w:val="Char Char5"/>
    <w:locked/>
    <w:rsid w:val="00A36E0A"/>
    <w:rPr>
      <w:rFonts w:ascii="Courier New" w:hAnsi="Courier New" w:cs="Courier New"/>
      <w:lang w:val="en-GB" w:eastAsia="en-GB" w:bidi="ar-SA"/>
    </w:rPr>
  </w:style>
  <w:style w:type="paragraph" w:customStyle="1" w:styleId="SubHeading">
    <w:name w:val="SubHeading"/>
    <w:basedOn w:val="Normal"/>
    <w:link w:val="SubHeadingChar"/>
    <w:qFormat/>
    <w:rsid w:val="00A36E0A"/>
    <w:pPr>
      <w:spacing w:before="240" w:line="240" w:lineRule="exact"/>
      <w:ind w:left="1021"/>
    </w:pPr>
    <w:rPr>
      <w:rFonts w:ascii="Arial" w:eastAsia="MS Mincho" w:hAnsi="Arial" w:cs="Arial"/>
      <w:b/>
      <w:color w:val="000000"/>
      <w:sz w:val="20"/>
      <w:szCs w:val="18"/>
      <w:lang w:eastAsia="ja-JP"/>
    </w:rPr>
  </w:style>
  <w:style w:type="character" w:customStyle="1" w:styleId="SubHeadingChar">
    <w:name w:val="SubHeading Char"/>
    <w:link w:val="SubHeading"/>
    <w:rsid w:val="00A36E0A"/>
    <w:rPr>
      <w:rFonts w:ascii="Arial" w:eastAsia="MS Mincho" w:hAnsi="Arial" w:cs="Arial"/>
      <w:b/>
      <w:color w:val="000000"/>
      <w:szCs w:val="18"/>
      <w:lang w:eastAsia="ja-JP"/>
    </w:rPr>
  </w:style>
  <w:style w:type="paragraph" w:styleId="Title">
    <w:name w:val="Title"/>
    <w:basedOn w:val="Normal"/>
    <w:link w:val="TitleChar"/>
    <w:qFormat/>
    <w:rsid w:val="00A36E0A"/>
    <w:pPr>
      <w:jc w:val="center"/>
    </w:pPr>
    <w:rPr>
      <w:rFonts w:ascii="Arial" w:hAnsi="Arial"/>
      <w:b/>
      <w:color w:val="000000"/>
      <w:sz w:val="20"/>
      <w:szCs w:val="20"/>
      <w:lang w:eastAsia="en-US"/>
    </w:rPr>
  </w:style>
  <w:style w:type="character" w:customStyle="1" w:styleId="TitleChar">
    <w:name w:val="Title Char"/>
    <w:basedOn w:val="DefaultParagraphFont"/>
    <w:link w:val="Title"/>
    <w:rsid w:val="00A36E0A"/>
    <w:rPr>
      <w:rFonts w:ascii="Arial" w:hAnsi="Arial"/>
      <w:b/>
      <w:color w:val="000000"/>
      <w:lang w:eastAsia="en-US"/>
    </w:rPr>
  </w:style>
  <w:style w:type="paragraph" w:styleId="CommentText">
    <w:name w:val="annotation text"/>
    <w:basedOn w:val="Normal"/>
    <w:link w:val="CommentTextChar"/>
    <w:rsid w:val="00A36E0A"/>
    <w:rPr>
      <w:rFonts w:ascii="Arial" w:hAnsi="Arial"/>
      <w:sz w:val="20"/>
      <w:szCs w:val="20"/>
      <w:lang w:eastAsia="en-US"/>
    </w:rPr>
  </w:style>
  <w:style w:type="character" w:customStyle="1" w:styleId="CommentTextChar">
    <w:name w:val="Comment Text Char"/>
    <w:basedOn w:val="DefaultParagraphFont"/>
    <w:link w:val="CommentText"/>
    <w:rsid w:val="00A36E0A"/>
    <w:rPr>
      <w:rFonts w:ascii="Arial" w:hAnsi="Arial"/>
      <w:lang w:eastAsia="en-US"/>
    </w:rPr>
  </w:style>
  <w:style w:type="paragraph" w:styleId="BodyText">
    <w:name w:val="Body Text"/>
    <w:aliases w:val="F4 Main Text,Bulline,Body Text2"/>
    <w:basedOn w:val="Normal"/>
    <w:link w:val="BodyTextChar0"/>
    <w:qFormat/>
    <w:rsid w:val="00A36E0A"/>
    <w:pPr>
      <w:spacing w:after="120"/>
    </w:pPr>
    <w:rPr>
      <w:rFonts w:ascii="Arial" w:hAnsi="Arial"/>
      <w:sz w:val="20"/>
      <w:szCs w:val="20"/>
      <w:lang w:eastAsia="en-US"/>
    </w:rPr>
  </w:style>
  <w:style w:type="character" w:customStyle="1" w:styleId="BodyTextChar0">
    <w:name w:val="Body Text Char"/>
    <w:aliases w:val="F4 Main Text Char,Bulline Char,Body Text2 Char"/>
    <w:basedOn w:val="DefaultParagraphFont"/>
    <w:link w:val="BodyText"/>
    <w:rsid w:val="00A36E0A"/>
    <w:rPr>
      <w:rFonts w:ascii="Arial" w:hAnsi="Arial"/>
      <w:lang w:eastAsia="en-US"/>
    </w:rPr>
  </w:style>
  <w:style w:type="paragraph" w:styleId="BodyTextIndent3">
    <w:name w:val="Body Text Indent 3"/>
    <w:basedOn w:val="Normal"/>
    <w:link w:val="BodyTextIndent3Char"/>
    <w:rsid w:val="00A36E0A"/>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rsid w:val="00A36E0A"/>
    <w:rPr>
      <w:rFonts w:ascii="Arial" w:hAnsi="Arial"/>
      <w:sz w:val="16"/>
      <w:szCs w:val="16"/>
      <w:lang w:eastAsia="en-US"/>
    </w:rPr>
  </w:style>
  <w:style w:type="paragraph" w:styleId="CommentSubject">
    <w:name w:val="annotation subject"/>
    <w:basedOn w:val="CommentText"/>
    <w:next w:val="CommentText"/>
    <w:link w:val="CommentSubjectChar"/>
    <w:rsid w:val="00A36E0A"/>
    <w:rPr>
      <w:rFonts w:ascii="Times New Roman" w:hAnsi="Times New Roman"/>
      <w:b/>
      <w:bCs/>
      <w:lang w:eastAsia="en-GB"/>
    </w:rPr>
  </w:style>
  <w:style w:type="character" w:customStyle="1" w:styleId="CommentSubjectChar">
    <w:name w:val="Comment Subject Char"/>
    <w:basedOn w:val="CommentTextChar"/>
    <w:link w:val="CommentSubject"/>
    <w:rsid w:val="00A36E0A"/>
    <w:rPr>
      <w:rFonts w:ascii="Arial" w:hAnsi="Arial"/>
      <w:b/>
      <w:bCs/>
      <w:lang w:eastAsia="en-US"/>
    </w:rPr>
  </w:style>
  <w:style w:type="paragraph" w:customStyle="1" w:styleId="Caption21">
    <w:name w:val="Caption21"/>
    <w:basedOn w:val="Normal"/>
    <w:next w:val="Normal"/>
    <w:rsid w:val="00A36E0A"/>
    <w:pPr>
      <w:keepNext/>
      <w:spacing w:before="120" w:after="120"/>
      <w:jc w:val="center"/>
    </w:pPr>
    <w:rPr>
      <w:rFonts w:ascii="Arial" w:hAnsi="Arial" w:cs="Arial"/>
      <w:b/>
      <w:bCs/>
    </w:rPr>
  </w:style>
  <w:style w:type="paragraph" w:styleId="z-BottomofForm">
    <w:name w:val="HTML Bottom of Form"/>
    <w:basedOn w:val="Normal"/>
    <w:next w:val="Normal"/>
    <w:link w:val="z-BottomofFormChar"/>
    <w:hidden/>
    <w:rsid w:val="00A36E0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36E0A"/>
    <w:rPr>
      <w:rFonts w:ascii="Arial" w:hAnsi="Arial" w:cs="Arial"/>
      <w:vanish/>
      <w:sz w:val="16"/>
      <w:szCs w:val="16"/>
    </w:rPr>
  </w:style>
  <w:style w:type="paragraph" w:customStyle="1" w:styleId="bullets">
    <w:name w:val="bullets"/>
    <w:basedOn w:val="111BodyList"/>
    <w:link w:val="bulletsChar"/>
    <w:qFormat/>
    <w:rsid w:val="00A36E0A"/>
    <w:pPr>
      <w:numPr>
        <w:ilvl w:val="0"/>
        <w:numId w:val="0"/>
      </w:numPr>
      <w:tabs>
        <w:tab w:val="clear" w:pos="1304"/>
        <w:tab w:val="num" w:pos="1021"/>
        <w:tab w:val="left" w:pos="1560"/>
      </w:tabs>
      <w:spacing w:before="120"/>
      <w:ind w:left="1021" w:hanging="1021"/>
    </w:pPr>
    <w:rPr>
      <w:rFonts w:cs="Arial"/>
    </w:rPr>
  </w:style>
  <w:style w:type="character" w:customStyle="1" w:styleId="bulletsChar">
    <w:name w:val="bullets Char"/>
    <w:link w:val="bullets"/>
    <w:rsid w:val="00A36E0A"/>
    <w:rPr>
      <w:rFonts w:ascii="Arial" w:eastAsia="MS Mincho" w:hAnsi="Arial" w:cs="Arial"/>
      <w:bCs/>
      <w:color w:val="000000"/>
      <w:lang w:val="en-US" w:eastAsia="ja-JP"/>
    </w:rPr>
  </w:style>
  <w:style w:type="paragraph" w:customStyle="1" w:styleId="05Tableheading">
    <w:name w:val="05 Table heading"/>
    <w:basedOn w:val="Normal"/>
    <w:next w:val="Normal"/>
    <w:qFormat/>
    <w:rsid w:val="00A36E0A"/>
    <w:pPr>
      <w:tabs>
        <w:tab w:val="num" w:pos="1021"/>
      </w:tabs>
      <w:spacing w:line="300" w:lineRule="exact"/>
      <w:ind w:left="1021" w:hanging="1021"/>
    </w:pPr>
    <w:rPr>
      <w:rFonts w:ascii="Arial" w:eastAsia="MS Mincho" w:hAnsi="Arial" w:cs="Arial"/>
      <w:b/>
      <w:bCs/>
      <w:color w:val="000000"/>
      <w:lang w:eastAsia="ja-JP"/>
    </w:rPr>
  </w:style>
  <w:style w:type="paragraph" w:customStyle="1" w:styleId="10aIndenttext">
    <w:name w:val="10a Indent text"/>
    <w:basedOn w:val="Normal"/>
    <w:next w:val="03NumberedHeadings"/>
    <w:link w:val="10aIndenttextChar"/>
    <w:qFormat/>
    <w:rsid w:val="00A36E0A"/>
    <w:pPr>
      <w:spacing w:line="240" w:lineRule="exact"/>
      <w:ind w:left="1021"/>
    </w:pPr>
    <w:rPr>
      <w:rFonts w:ascii="Arial" w:eastAsia="MS Mincho" w:hAnsi="Arial"/>
      <w:color w:val="000000"/>
      <w:sz w:val="20"/>
      <w:szCs w:val="18"/>
    </w:rPr>
  </w:style>
  <w:style w:type="character" w:customStyle="1" w:styleId="10aIndenttextChar">
    <w:name w:val="10a Indent text Char"/>
    <w:link w:val="10aIndenttext"/>
    <w:locked/>
    <w:rsid w:val="00A36E0A"/>
    <w:rPr>
      <w:rFonts w:ascii="Arial" w:eastAsia="MS Mincho" w:hAnsi="Arial"/>
      <w:color w:val="000000"/>
      <w:szCs w:val="18"/>
    </w:rPr>
  </w:style>
  <w:style w:type="paragraph" w:customStyle="1" w:styleId="immtextalignjustify1">
    <w:name w:val="immtextalign_justify1"/>
    <w:basedOn w:val="Normal"/>
    <w:rsid w:val="00A36E0A"/>
    <w:pPr>
      <w:jc w:val="both"/>
    </w:pPr>
    <w:rPr>
      <w:rFonts w:eastAsia="Calibri"/>
    </w:rPr>
  </w:style>
  <w:style w:type="paragraph" w:customStyle="1" w:styleId="ListParagraph3">
    <w:name w:val="List Paragraph3"/>
    <w:basedOn w:val="Normal"/>
    <w:uiPriority w:val="34"/>
    <w:qFormat/>
    <w:rsid w:val="00A36E0A"/>
    <w:pPr>
      <w:ind w:left="720"/>
    </w:pPr>
  </w:style>
  <w:style w:type="character" w:customStyle="1" w:styleId="CharChar2">
    <w:name w:val="Char Char2"/>
    <w:rsid w:val="00A36E0A"/>
    <w:rPr>
      <w:rFonts w:ascii="Courier New" w:hAnsi="Courier New" w:cs="Courier New"/>
      <w:lang w:val="en-GB" w:eastAsia="en-GB" w:bidi="ar-SA"/>
    </w:rPr>
  </w:style>
  <w:style w:type="paragraph" w:customStyle="1" w:styleId="Headmain">
    <w:name w:val="Head main"/>
    <w:basedOn w:val="Normal"/>
    <w:next w:val="Normal"/>
    <w:link w:val="HeadmainChar"/>
    <w:rsid w:val="00A36E0A"/>
    <w:pPr>
      <w:spacing w:after="200" w:line="276" w:lineRule="auto"/>
      <w:outlineLvl w:val="1"/>
    </w:pPr>
    <w:rPr>
      <w:rFonts w:ascii="Calibri" w:hAnsi="Calibri"/>
      <w:b/>
      <w:color w:val="4F81BD"/>
      <w:sz w:val="32"/>
      <w:szCs w:val="22"/>
      <w:lang w:eastAsia="en-US"/>
    </w:rPr>
  </w:style>
  <w:style w:type="character" w:customStyle="1" w:styleId="HeadmainChar">
    <w:name w:val="Head main Char"/>
    <w:link w:val="Headmain"/>
    <w:locked/>
    <w:rsid w:val="00A36E0A"/>
    <w:rPr>
      <w:rFonts w:ascii="Calibri" w:hAnsi="Calibri"/>
      <w:b/>
      <w:color w:val="4F81BD"/>
      <w:sz w:val="32"/>
      <w:szCs w:val="22"/>
      <w:lang w:eastAsia="en-US"/>
    </w:rPr>
  </w:style>
  <w:style w:type="paragraph" w:customStyle="1" w:styleId="Headsub">
    <w:name w:val="Head sub"/>
    <w:basedOn w:val="Normal"/>
    <w:next w:val="Normal"/>
    <w:link w:val="HeadsubChar"/>
    <w:rsid w:val="00A36E0A"/>
    <w:pPr>
      <w:keepNext/>
      <w:spacing w:after="240"/>
      <w:outlineLvl w:val="1"/>
    </w:pPr>
    <w:rPr>
      <w:rFonts w:ascii="Calibri" w:hAnsi="Calibri" w:cs="Tahoma"/>
      <w:b/>
      <w:bCs/>
      <w:iCs/>
      <w:color w:val="4F81BD"/>
      <w:sz w:val="22"/>
      <w:szCs w:val="22"/>
    </w:rPr>
  </w:style>
  <w:style w:type="character" w:customStyle="1" w:styleId="HeadsubChar">
    <w:name w:val="Head sub Char"/>
    <w:link w:val="Headsub"/>
    <w:locked/>
    <w:rsid w:val="00A36E0A"/>
    <w:rPr>
      <w:rFonts w:ascii="Calibri" w:hAnsi="Calibri" w:cs="Tahoma"/>
      <w:b/>
      <w:bCs/>
      <w:iCs/>
      <w:color w:val="4F81BD"/>
      <w:sz w:val="22"/>
      <w:szCs w:val="22"/>
    </w:rPr>
  </w:style>
  <w:style w:type="paragraph" w:customStyle="1" w:styleId="bullet">
    <w:name w:val="bullet"/>
    <w:basedOn w:val="Normal"/>
    <w:link w:val="bulletChar"/>
    <w:qFormat/>
    <w:rsid w:val="003D16C5"/>
    <w:pPr>
      <w:numPr>
        <w:numId w:val="11"/>
      </w:numPr>
      <w:spacing w:after="80" w:line="276" w:lineRule="auto"/>
    </w:pPr>
    <w:rPr>
      <w:rFonts w:ascii="Calibri" w:hAnsi="Calibri"/>
      <w:sz w:val="22"/>
      <w:szCs w:val="22"/>
    </w:rPr>
  </w:style>
  <w:style w:type="character" w:customStyle="1" w:styleId="bulletChar">
    <w:name w:val="bullet Char"/>
    <w:link w:val="bullet"/>
    <w:locked/>
    <w:rsid w:val="003D16C5"/>
    <w:rPr>
      <w:rFonts w:ascii="Calibri" w:hAnsi="Calibri"/>
      <w:sz w:val="22"/>
      <w:szCs w:val="22"/>
    </w:rPr>
  </w:style>
  <w:style w:type="paragraph" w:styleId="BodyTextIndent">
    <w:name w:val="Body Text Indent"/>
    <w:basedOn w:val="Normal"/>
    <w:link w:val="BodyTextIndentChar"/>
    <w:rsid w:val="00A36E0A"/>
    <w:pPr>
      <w:spacing w:after="120"/>
      <w:ind w:left="283"/>
    </w:pPr>
  </w:style>
  <w:style w:type="character" w:customStyle="1" w:styleId="BodyTextIndentChar">
    <w:name w:val="Body Text Indent Char"/>
    <w:basedOn w:val="DefaultParagraphFont"/>
    <w:link w:val="BodyTextIndent"/>
    <w:rsid w:val="00A36E0A"/>
    <w:rPr>
      <w:sz w:val="24"/>
      <w:szCs w:val="24"/>
    </w:rPr>
  </w:style>
  <w:style w:type="paragraph" w:customStyle="1" w:styleId="Level1Orange">
    <w:name w:val="Level 1 Orange"/>
    <w:next w:val="Normal"/>
    <w:link w:val="Level1OrangeChar"/>
    <w:rsid w:val="00A36E0A"/>
    <w:pPr>
      <w:spacing w:before="240" w:after="120"/>
    </w:pPr>
    <w:rPr>
      <w:rFonts w:ascii="Arial" w:hAnsi="Arial" w:cs="Arial"/>
      <w:color w:val="D2711C"/>
      <w:sz w:val="28"/>
      <w:szCs w:val="28"/>
    </w:rPr>
  </w:style>
  <w:style w:type="character" w:customStyle="1" w:styleId="Level1OrangeChar">
    <w:name w:val="Level 1 Orange Char"/>
    <w:link w:val="Level1Orange"/>
    <w:locked/>
    <w:rsid w:val="00A36E0A"/>
    <w:rPr>
      <w:rFonts w:ascii="Arial" w:hAnsi="Arial" w:cs="Arial"/>
      <w:color w:val="D2711C"/>
      <w:sz w:val="28"/>
      <w:szCs w:val="28"/>
    </w:rPr>
  </w:style>
  <w:style w:type="paragraph" w:customStyle="1" w:styleId="BulletORANGE">
    <w:name w:val="Bullet ORANGE"/>
    <w:basedOn w:val="Normal"/>
    <w:link w:val="BulletORANGEChar"/>
    <w:uiPriority w:val="99"/>
    <w:qFormat/>
    <w:rsid w:val="003D16C5"/>
    <w:pPr>
      <w:numPr>
        <w:numId w:val="12"/>
      </w:numPr>
      <w:spacing w:after="120"/>
    </w:pPr>
    <w:rPr>
      <w:rFonts w:ascii="Arial" w:hAnsi="Arial" w:cs="Arial"/>
      <w:spacing w:val="-4"/>
      <w:sz w:val="20"/>
      <w:szCs w:val="20"/>
    </w:rPr>
  </w:style>
  <w:style w:type="character" w:customStyle="1" w:styleId="BulletORANGEChar">
    <w:name w:val="Bullet ORANGE Char"/>
    <w:link w:val="BulletORANGE"/>
    <w:uiPriority w:val="99"/>
    <w:locked/>
    <w:rsid w:val="003D16C5"/>
    <w:rPr>
      <w:rFonts w:ascii="Arial" w:hAnsi="Arial" w:cs="Arial"/>
      <w:spacing w:val="-4"/>
    </w:rPr>
  </w:style>
  <w:style w:type="paragraph" w:customStyle="1" w:styleId="Bulletblackplain">
    <w:name w:val="Bullet black plain"/>
    <w:basedOn w:val="Normal"/>
    <w:link w:val="BulletblackplainChar"/>
    <w:qFormat/>
    <w:rsid w:val="003D16C5"/>
    <w:pPr>
      <w:numPr>
        <w:numId w:val="13"/>
      </w:numPr>
      <w:tabs>
        <w:tab w:val="clear" w:pos="794"/>
        <w:tab w:val="num" w:pos="720"/>
      </w:tabs>
      <w:spacing w:before="60" w:after="60" w:line="240" w:lineRule="atLeast"/>
      <w:ind w:left="1078" w:hanging="284"/>
      <w:jc w:val="both"/>
    </w:pPr>
    <w:rPr>
      <w:rFonts w:ascii="Arial" w:eastAsia="MS PGothic" w:hAnsi="Arial" w:cs="Arial"/>
      <w:color w:val="000000"/>
      <w:sz w:val="20"/>
      <w:szCs w:val="18"/>
      <w:lang w:eastAsia="ja-JP"/>
    </w:rPr>
  </w:style>
  <w:style w:type="character" w:customStyle="1" w:styleId="BulletblackplainChar">
    <w:name w:val="Bullet black plain Char"/>
    <w:basedOn w:val="BodytextChar"/>
    <w:link w:val="Bulletblackplain"/>
    <w:rsid w:val="003D16C5"/>
    <w:rPr>
      <w:rFonts w:ascii="Arial" w:eastAsia="MS PGothic" w:hAnsi="Arial" w:cs="Arial"/>
      <w:color w:val="000000"/>
      <w:spacing w:val="-4"/>
      <w:szCs w:val="18"/>
      <w:lang w:val="en-GB" w:eastAsia="ja-JP" w:bidi="ar-SA"/>
    </w:rPr>
  </w:style>
  <w:style w:type="paragraph" w:customStyle="1" w:styleId="Listinga-i">
    <w:name w:val="Listing a-i"/>
    <w:basedOn w:val="Normal"/>
    <w:link w:val="Listinga-iChar"/>
    <w:qFormat/>
    <w:rsid w:val="003D16C5"/>
    <w:pPr>
      <w:numPr>
        <w:numId w:val="14"/>
      </w:numPr>
      <w:tabs>
        <w:tab w:val="num" w:pos="870"/>
      </w:tabs>
      <w:spacing w:before="60" w:after="60" w:line="360" w:lineRule="auto"/>
      <w:ind w:left="1078" w:hanging="284"/>
      <w:jc w:val="both"/>
    </w:pPr>
    <w:rPr>
      <w:rFonts w:ascii="Arial" w:eastAsia="MS PGothic" w:hAnsi="Arial" w:cs="Arial"/>
      <w:color w:val="000000"/>
      <w:sz w:val="20"/>
      <w:szCs w:val="18"/>
      <w:lang w:eastAsia="ja-JP"/>
    </w:rPr>
  </w:style>
  <w:style w:type="character" w:customStyle="1" w:styleId="Listinga-iChar">
    <w:name w:val="Listing a-i Char"/>
    <w:basedOn w:val="BodytextwithindentChar"/>
    <w:link w:val="Listinga-i"/>
    <w:rsid w:val="003D16C5"/>
    <w:rPr>
      <w:rFonts w:ascii="Arial" w:eastAsia="MS PGothic" w:hAnsi="Arial" w:cs="Arial"/>
      <w:color w:val="000000"/>
      <w:spacing w:val="-4"/>
      <w:szCs w:val="18"/>
      <w:lang w:val="en-GB" w:eastAsia="ja-JP" w:bidi="ar-SA"/>
    </w:rPr>
  </w:style>
  <w:style w:type="character" w:customStyle="1" w:styleId="BodytextwithindentChar">
    <w:name w:val="Body text with indent Char"/>
    <w:basedOn w:val="BodytextChar"/>
    <w:link w:val="Bodytextwithindent"/>
    <w:rsid w:val="002D66B4"/>
    <w:rPr>
      <w:rFonts w:ascii="Arial" w:eastAsiaTheme="minorEastAsia" w:hAnsi="Arial" w:cs="Arial"/>
      <w:color w:val="000000" w:themeColor="text1"/>
      <w:spacing w:val="-4"/>
      <w:szCs w:val="18"/>
      <w:lang w:val="en-GB" w:eastAsia="ja-JP" w:bidi="ar-SA"/>
    </w:rPr>
  </w:style>
  <w:style w:type="paragraph" w:customStyle="1" w:styleId="Bodytextwithindent">
    <w:name w:val="Body text with indent"/>
    <w:basedOn w:val="BodyText1"/>
    <w:next w:val="Normal"/>
    <w:link w:val="BodytextwithindentChar"/>
    <w:qFormat/>
    <w:rsid w:val="002D66B4"/>
    <w:pPr>
      <w:autoSpaceDE/>
      <w:autoSpaceDN/>
      <w:adjustRightInd/>
      <w:spacing w:before="120" w:after="240" w:line="360" w:lineRule="auto"/>
      <w:ind w:left="794"/>
      <w:jc w:val="both"/>
    </w:pPr>
    <w:rPr>
      <w:rFonts w:eastAsiaTheme="minorEastAsia"/>
      <w:color w:val="000000" w:themeColor="text1"/>
      <w:szCs w:val="18"/>
      <w:lang w:eastAsia="ja-JP"/>
    </w:rPr>
  </w:style>
  <w:style w:type="paragraph" w:customStyle="1" w:styleId="Quotelistinga">
    <w:name w:val="Quote listing (a)"/>
    <w:link w:val="QuotelistingaChar"/>
    <w:qFormat/>
    <w:rsid w:val="003D16C5"/>
    <w:pPr>
      <w:numPr>
        <w:numId w:val="15"/>
      </w:numPr>
      <w:spacing w:before="60" w:after="60" w:line="240" w:lineRule="atLeast"/>
    </w:pPr>
    <w:rPr>
      <w:rFonts w:ascii="Arial" w:eastAsiaTheme="minorEastAsia" w:hAnsi="Arial" w:cs="Arial"/>
      <w:i/>
      <w:color w:val="000000" w:themeColor="text1"/>
      <w:szCs w:val="18"/>
      <w:lang w:eastAsia="ja-JP"/>
    </w:rPr>
  </w:style>
  <w:style w:type="character" w:customStyle="1" w:styleId="QuotelistingaChar">
    <w:name w:val="Quote listing (a) Char"/>
    <w:basedOn w:val="Listinga-iChar"/>
    <w:link w:val="Quotelistinga"/>
    <w:rsid w:val="003D16C5"/>
    <w:rPr>
      <w:rFonts w:ascii="Arial" w:eastAsiaTheme="minorEastAsia" w:hAnsi="Arial" w:cs="Arial"/>
      <w:i/>
      <w:color w:val="000000" w:themeColor="text1"/>
      <w:spacing w:val="-4"/>
      <w:szCs w:val="18"/>
      <w:lang w:val="en-GB" w:eastAsia="ja-JP" w:bidi="ar-SA"/>
    </w:rPr>
  </w:style>
  <w:style w:type="paragraph" w:customStyle="1" w:styleId="Quotelistingi">
    <w:name w:val="Quote listing (i)"/>
    <w:basedOn w:val="Quotelistinga"/>
    <w:link w:val="QuotelistingiChar"/>
    <w:qFormat/>
    <w:rsid w:val="003D16C5"/>
    <w:pPr>
      <w:numPr>
        <w:ilvl w:val="1"/>
      </w:numPr>
    </w:pPr>
  </w:style>
  <w:style w:type="character" w:customStyle="1" w:styleId="QuotelistingiChar">
    <w:name w:val="Quote listing (i) Char"/>
    <w:basedOn w:val="QuotelistingaChar"/>
    <w:link w:val="Quotelistingi"/>
    <w:rsid w:val="003D16C5"/>
    <w:rPr>
      <w:rFonts w:ascii="Arial" w:eastAsiaTheme="minorEastAsia" w:hAnsi="Arial" w:cs="Arial"/>
      <w:i/>
      <w:color w:val="000000" w:themeColor="text1"/>
      <w:spacing w:val="-4"/>
      <w:szCs w:val="18"/>
      <w:lang w:val="en-GB" w:eastAsia="ja-JP" w:bidi="ar-SA"/>
    </w:rPr>
  </w:style>
  <w:style w:type="paragraph" w:customStyle="1" w:styleId="Quotetext">
    <w:name w:val="Quote text"/>
    <w:basedOn w:val="Normal"/>
    <w:qFormat/>
    <w:rsid w:val="00865177"/>
    <w:pPr>
      <w:spacing w:before="120" w:after="240" w:line="240" w:lineRule="atLeast"/>
      <w:ind w:left="1077" w:right="284"/>
      <w:jc w:val="both"/>
    </w:pPr>
    <w:rPr>
      <w:rFonts w:ascii="Arial" w:eastAsiaTheme="minorEastAsia" w:hAnsi="Arial" w:cs="Arial"/>
      <w:i/>
      <w:iCs/>
      <w:color w:val="000000" w:themeColor="text1"/>
      <w:sz w:val="20"/>
      <w:szCs w:val="20"/>
      <w:lang w:eastAsia="ja-JP"/>
    </w:rPr>
  </w:style>
  <w:style w:type="paragraph" w:customStyle="1" w:styleId="ReportNumberedList2">
    <w:name w:val="Report Numbered List 2"/>
    <w:basedOn w:val="Normal"/>
    <w:rsid w:val="003D16C5"/>
    <w:pPr>
      <w:numPr>
        <w:numId w:val="16"/>
      </w:numPr>
    </w:pPr>
    <w:rPr>
      <w:rFonts w:ascii="Book Antiqua" w:hAnsi="Book Antiqua"/>
      <w:kern w:val="20"/>
      <w:szCs w:val="20"/>
    </w:rPr>
  </w:style>
  <w:style w:type="character" w:styleId="CommentReference">
    <w:name w:val="annotation reference"/>
    <w:basedOn w:val="DefaultParagraphFont"/>
    <w:rsid w:val="00632032"/>
    <w:rPr>
      <w:sz w:val="16"/>
      <w:szCs w:val="16"/>
    </w:rPr>
  </w:style>
  <w:style w:type="character" w:styleId="Strong">
    <w:name w:val="Strong"/>
    <w:basedOn w:val="DefaultParagraphFont"/>
    <w:qFormat/>
    <w:rsid w:val="00632032"/>
    <w:rPr>
      <w:b/>
      <w:bCs/>
    </w:rPr>
  </w:style>
  <w:style w:type="paragraph" w:customStyle="1" w:styleId="Maintext">
    <w:name w:val="Main text"/>
    <w:basedOn w:val="Normal"/>
    <w:link w:val="MaintextChar"/>
    <w:qFormat/>
    <w:rsid w:val="00CB07EB"/>
    <w:pPr>
      <w:tabs>
        <w:tab w:val="num" w:pos="1361"/>
      </w:tabs>
      <w:spacing w:before="180" w:line="280" w:lineRule="atLeast"/>
      <w:ind w:left="1361" w:hanging="1361"/>
    </w:pPr>
    <w:rPr>
      <w:rFonts w:ascii="Arial" w:eastAsiaTheme="minorHAnsi" w:hAnsi="Arial" w:cs="Arial"/>
      <w:sz w:val="22"/>
      <w:szCs w:val="22"/>
      <w:lang w:eastAsia="en-US"/>
    </w:rPr>
  </w:style>
  <w:style w:type="character" w:customStyle="1" w:styleId="MaintextChar">
    <w:name w:val="Main text Char"/>
    <w:link w:val="Maintext"/>
    <w:locked/>
    <w:rsid w:val="00CB07EB"/>
    <w:rPr>
      <w:rFonts w:ascii="Arial" w:eastAsiaTheme="minorHAnsi" w:hAnsi="Arial" w:cs="Arial"/>
      <w:sz w:val="22"/>
      <w:szCs w:val="22"/>
      <w:lang w:eastAsia="en-US"/>
    </w:rPr>
  </w:style>
  <w:style w:type="paragraph" w:customStyle="1" w:styleId="NumberList">
    <w:name w:val="Number List"/>
    <w:basedOn w:val="Normal"/>
    <w:qFormat/>
    <w:rsid w:val="00CB07EB"/>
    <w:pPr>
      <w:tabs>
        <w:tab w:val="num" w:pos="1928"/>
      </w:tabs>
      <w:spacing w:before="100" w:after="20" w:line="280" w:lineRule="atLeast"/>
      <w:ind w:left="1928" w:hanging="567"/>
    </w:pPr>
    <w:rPr>
      <w:rFonts w:ascii="Arial" w:eastAsiaTheme="minorHAnsi" w:hAnsi="Arial" w:cstheme="minorBidi"/>
      <w:color w:val="5B9BD5" w:themeColor="accent1"/>
      <w:sz w:val="22"/>
      <w:szCs w:val="22"/>
      <w:lang w:eastAsia="en-US"/>
    </w:rPr>
  </w:style>
  <w:style w:type="paragraph" w:styleId="Revision">
    <w:name w:val="Revision"/>
    <w:hidden/>
    <w:uiPriority w:val="99"/>
    <w:semiHidden/>
    <w:rsid w:val="00E82B50"/>
    <w:rPr>
      <w:sz w:val="24"/>
      <w:szCs w:val="24"/>
    </w:rPr>
  </w:style>
  <w:style w:type="character" w:customStyle="1" w:styleId="10BulletBodytextChar">
    <w:name w:val="10 Bullet Body text Char"/>
    <w:link w:val="10BulletBodytext"/>
    <w:locked/>
    <w:rsid w:val="003D16C5"/>
    <w:rPr>
      <w:rFonts w:eastAsia="MS Mincho"/>
      <w:bCs/>
      <w:noProof/>
      <w:color w:val="000000"/>
      <w:szCs w:val="18"/>
    </w:rPr>
  </w:style>
  <w:style w:type="paragraph" w:customStyle="1" w:styleId="10BulletBodytext">
    <w:name w:val="10 Bullet Body text"/>
    <w:basedOn w:val="Normal"/>
    <w:link w:val="10BulletBodytextChar"/>
    <w:qFormat/>
    <w:rsid w:val="003D16C5"/>
    <w:pPr>
      <w:numPr>
        <w:numId w:val="18"/>
      </w:numPr>
      <w:spacing w:line="240" w:lineRule="exact"/>
    </w:pPr>
    <w:rPr>
      <w:rFonts w:eastAsia="MS Mincho"/>
      <w:bCs/>
      <w:noProof/>
      <w:color w:val="000000"/>
      <w:sz w:val="20"/>
      <w:szCs w:val="18"/>
    </w:rPr>
  </w:style>
  <w:style w:type="table" w:customStyle="1" w:styleId="TableGridLight1">
    <w:name w:val="Table Grid Light1"/>
    <w:basedOn w:val="TableNormal"/>
    <w:uiPriority w:val="40"/>
    <w:rsid w:val="00D15206"/>
    <w:rPr>
      <w:rFonts w:ascii="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21">
    <w:name w:val="List Table 3 - Accent 21"/>
    <w:basedOn w:val="TableNormal"/>
    <w:uiPriority w:val="48"/>
    <w:rsid w:val="004903B4"/>
    <w:rPr>
      <w:rFonts w:ascii="Arial" w:eastAsiaTheme="minorEastAsia" w:hAnsi="Arial" w:cs="Arial"/>
      <w:color w:val="000000" w:themeColor="text1"/>
      <w:lang w:val="en-US" w:eastAsia="ja-JP"/>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SubtleEmphasis">
    <w:name w:val="Subtle Emphasis"/>
    <w:basedOn w:val="DefaultParagraphFont"/>
    <w:uiPriority w:val="19"/>
    <w:qFormat/>
    <w:rsid w:val="00BD1381"/>
    <w:rPr>
      <w:i/>
      <w:iCs/>
      <w:color w:val="808080" w:themeColor="text1" w:themeTint="7F"/>
    </w:rPr>
  </w:style>
  <w:style w:type="paragraph" w:customStyle="1" w:styleId="story-bodyintroduction">
    <w:name w:val="story-body__introduction"/>
    <w:basedOn w:val="Normal"/>
    <w:rsid w:val="00BD1381"/>
    <w:pPr>
      <w:spacing w:before="100" w:beforeAutospacing="1" w:after="100" w:afterAutospacing="1"/>
    </w:pPr>
  </w:style>
  <w:style w:type="character" w:customStyle="1" w:styleId="legds2">
    <w:name w:val="legds2"/>
    <w:basedOn w:val="DefaultParagraphFont"/>
    <w:rsid w:val="00BD1381"/>
    <w:rPr>
      <w:vanish w:val="0"/>
      <w:webHidden w:val="0"/>
      <w:specVanish w:val="0"/>
    </w:rPr>
  </w:style>
  <w:style w:type="character" w:customStyle="1" w:styleId="A1">
    <w:name w:val="A1"/>
    <w:uiPriority w:val="99"/>
    <w:rsid w:val="00BD1381"/>
    <w:rPr>
      <w:rFonts w:ascii="Houschka Pro Light" w:hAnsi="Houschka Pro Light" w:cs="Houschka Pro Light" w:hint="default"/>
      <w:color w:val="000000"/>
      <w:sz w:val="96"/>
      <w:szCs w:val="96"/>
    </w:rPr>
  </w:style>
  <w:style w:type="character" w:customStyle="1" w:styleId="A11">
    <w:name w:val="A11"/>
    <w:uiPriority w:val="99"/>
    <w:rsid w:val="00BD1381"/>
    <w:rPr>
      <w:rFonts w:cs="Gotham"/>
      <w:color w:val="000000"/>
      <w:sz w:val="18"/>
      <w:szCs w:val="18"/>
    </w:rPr>
  </w:style>
  <w:style w:type="paragraph" w:customStyle="1" w:styleId="NoParagraphStyle">
    <w:name w:val="[No Paragraph Style]"/>
    <w:rsid w:val="002D66B4"/>
    <w:pPr>
      <w:widowControl w:val="0"/>
      <w:autoSpaceDE w:val="0"/>
      <w:autoSpaceDN w:val="0"/>
      <w:adjustRightInd w:val="0"/>
      <w:spacing w:line="288" w:lineRule="auto"/>
      <w:textAlignment w:val="center"/>
    </w:pPr>
    <w:rPr>
      <w:rFonts w:ascii="Arial" w:eastAsiaTheme="minorEastAsia" w:hAnsi="Arial" w:cs="MinionPro-Regular"/>
      <w:color w:val="000000"/>
      <w:lang w:eastAsia="ja-JP"/>
    </w:rPr>
  </w:style>
  <w:style w:type="paragraph" w:customStyle="1" w:styleId="BoldBodytext">
    <w:name w:val="Bold Body text"/>
    <w:basedOn w:val="BodyText1"/>
    <w:next w:val="BodyText1"/>
    <w:link w:val="BoldBodytextChar"/>
    <w:qFormat/>
    <w:rsid w:val="002D66B4"/>
    <w:pPr>
      <w:autoSpaceDE/>
      <w:autoSpaceDN/>
      <w:adjustRightInd/>
      <w:spacing w:before="0" w:after="0" w:line="360" w:lineRule="auto"/>
      <w:jc w:val="both"/>
    </w:pPr>
    <w:rPr>
      <w:rFonts w:eastAsiaTheme="minorEastAsia"/>
      <w:b/>
      <w:bCs/>
      <w:color w:val="000000" w:themeColor="text1"/>
      <w:szCs w:val="18"/>
      <w:lang w:eastAsia="ja-JP"/>
    </w:rPr>
  </w:style>
  <w:style w:type="character" w:customStyle="1" w:styleId="BoldBodytextChar">
    <w:name w:val="Bold Body text Char"/>
    <w:basedOn w:val="BodytextChar"/>
    <w:link w:val="BoldBodytext"/>
    <w:rsid w:val="002D66B4"/>
    <w:rPr>
      <w:rFonts w:ascii="Arial" w:eastAsiaTheme="minorEastAsia" w:hAnsi="Arial" w:cs="Arial"/>
      <w:b/>
      <w:bCs/>
      <w:color w:val="000000" w:themeColor="text1"/>
      <w:spacing w:val="-4"/>
      <w:szCs w:val="18"/>
      <w:lang w:val="en-GB" w:eastAsia="ja-JP" w:bidi="ar-SA"/>
    </w:rPr>
  </w:style>
  <w:style w:type="paragraph" w:customStyle="1" w:styleId="ReportTitle">
    <w:name w:val="Report Title"/>
    <w:basedOn w:val="BodyText1"/>
    <w:link w:val="ReportTitleChar"/>
    <w:qFormat/>
    <w:rsid w:val="002D66B4"/>
    <w:pPr>
      <w:autoSpaceDE/>
      <w:autoSpaceDN/>
      <w:adjustRightInd/>
      <w:spacing w:before="0" w:after="0" w:line="520" w:lineRule="atLeast"/>
    </w:pPr>
    <w:rPr>
      <w:rFonts w:eastAsiaTheme="minorEastAsia"/>
      <w:color w:val="0093D5"/>
      <w:sz w:val="48"/>
      <w:szCs w:val="48"/>
      <w:lang w:eastAsia="ja-JP"/>
    </w:rPr>
  </w:style>
  <w:style w:type="character" w:customStyle="1" w:styleId="ReportTitleChar">
    <w:name w:val="Report Title Char"/>
    <w:basedOn w:val="BodytextChar"/>
    <w:link w:val="ReportTitle"/>
    <w:rsid w:val="002D66B4"/>
    <w:rPr>
      <w:rFonts w:ascii="Arial" w:eastAsiaTheme="minorEastAsia" w:hAnsi="Arial" w:cs="Arial"/>
      <w:color w:val="0093D5"/>
      <w:spacing w:val="-4"/>
      <w:sz w:val="48"/>
      <w:szCs w:val="48"/>
      <w:lang w:val="en-GB" w:eastAsia="ja-JP" w:bidi="ar-SA"/>
    </w:rPr>
  </w:style>
  <w:style w:type="paragraph" w:customStyle="1" w:styleId="Headingbold">
    <w:name w:val="Heading bold"/>
    <w:basedOn w:val="ReportTitle"/>
    <w:link w:val="HeadingboldChar"/>
    <w:qFormat/>
    <w:rsid w:val="002D66B4"/>
    <w:pPr>
      <w:tabs>
        <w:tab w:val="left" w:pos="1021"/>
      </w:tabs>
      <w:spacing w:line="300" w:lineRule="atLeast"/>
    </w:pPr>
    <w:rPr>
      <w:b/>
      <w:bCs/>
      <w:color w:val="000000" w:themeColor="text1"/>
      <w:sz w:val="24"/>
      <w:szCs w:val="24"/>
    </w:rPr>
  </w:style>
  <w:style w:type="character" w:customStyle="1" w:styleId="HeadingboldChar">
    <w:name w:val="Heading bold Char"/>
    <w:basedOn w:val="ReportTitleChar"/>
    <w:link w:val="Headingbold"/>
    <w:rsid w:val="002D66B4"/>
    <w:rPr>
      <w:rFonts w:ascii="Arial" w:eastAsiaTheme="minorEastAsia" w:hAnsi="Arial" w:cs="Arial"/>
      <w:b/>
      <w:bCs/>
      <w:color w:val="000000" w:themeColor="text1"/>
      <w:spacing w:val="-4"/>
      <w:sz w:val="24"/>
      <w:szCs w:val="24"/>
      <w:lang w:val="en-GB" w:eastAsia="ja-JP" w:bidi="ar-SA"/>
    </w:rPr>
  </w:style>
  <w:style w:type="paragraph" w:styleId="NoSpacing">
    <w:name w:val="No Spacing"/>
    <w:link w:val="NoSpacingChar"/>
    <w:qFormat/>
    <w:rsid w:val="002D66B4"/>
    <w:rPr>
      <w:rFonts w:ascii="Arial" w:eastAsiaTheme="minorEastAsia" w:hAnsi="Arial" w:cs="Arial"/>
      <w:color w:val="000000" w:themeColor="text1"/>
      <w:lang w:eastAsia="ja-JP"/>
    </w:rPr>
  </w:style>
  <w:style w:type="character" w:customStyle="1" w:styleId="NoSpacingChar">
    <w:name w:val="No Spacing Char"/>
    <w:basedOn w:val="DefaultParagraphFont"/>
    <w:link w:val="NoSpacing"/>
    <w:uiPriority w:val="1"/>
    <w:rsid w:val="00607F94"/>
    <w:rPr>
      <w:rFonts w:ascii="Arial" w:eastAsiaTheme="minorEastAsia" w:hAnsi="Arial" w:cs="Arial"/>
      <w:color w:val="000000" w:themeColor="text1"/>
      <w:lang w:eastAsia="ja-JP"/>
    </w:rPr>
  </w:style>
  <w:style w:type="paragraph" w:styleId="TOC3">
    <w:name w:val="toc 3"/>
    <w:basedOn w:val="Normal"/>
    <w:next w:val="Normal"/>
    <w:autoRedefine/>
    <w:uiPriority w:val="39"/>
    <w:qFormat/>
    <w:rsid w:val="002D66B4"/>
    <w:pPr>
      <w:tabs>
        <w:tab w:val="left" w:pos="1985"/>
        <w:tab w:val="right" w:pos="9072"/>
      </w:tabs>
      <w:spacing w:line="240" w:lineRule="atLeast"/>
      <w:ind w:left="1418"/>
    </w:pPr>
    <w:rPr>
      <w:rFonts w:ascii="Arial" w:eastAsiaTheme="minorEastAsia" w:hAnsi="Arial" w:cs="Arial"/>
      <w:color w:val="000000" w:themeColor="text1"/>
      <w:sz w:val="20"/>
      <w:szCs w:val="20"/>
      <w:lang w:eastAsia="ja-JP"/>
    </w:rPr>
  </w:style>
  <w:style w:type="paragraph" w:styleId="TOC2">
    <w:name w:val="toc 2"/>
    <w:basedOn w:val="Normal"/>
    <w:next w:val="Normal"/>
    <w:autoRedefine/>
    <w:uiPriority w:val="39"/>
    <w:qFormat/>
    <w:rsid w:val="002D66B4"/>
    <w:pPr>
      <w:tabs>
        <w:tab w:val="left" w:pos="1418"/>
        <w:tab w:val="right" w:pos="9072"/>
      </w:tabs>
      <w:spacing w:before="120" w:line="240" w:lineRule="atLeast"/>
      <w:ind w:left="794"/>
      <w:contextualSpacing/>
    </w:pPr>
    <w:rPr>
      <w:rFonts w:ascii="Arial" w:eastAsiaTheme="minorEastAsia" w:hAnsi="Arial" w:cs="Arial"/>
      <w:bCs/>
      <w:color w:val="000000" w:themeColor="text1"/>
      <w:sz w:val="20"/>
      <w:szCs w:val="20"/>
      <w:lang w:eastAsia="ja-JP"/>
    </w:rPr>
  </w:style>
  <w:style w:type="paragraph" w:styleId="TOC4">
    <w:name w:val="toc 4"/>
    <w:basedOn w:val="Normal"/>
    <w:next w:val="Normal"/>
    <w:autoRedefine/>
    <w:uiPriority w:val="39"/>
    <w:rsid w:val="002D66B4"/>
    <w:pPr>
      <w:ind w:left="720"/>
    </w:pPr>
    <w:rPr>
      <w:rFonts w:ascii="Arial" w:eastAsiaTheme="minorEastAsia" w:hAnsi="Arial" w:cs="Arial"/>
      <w:color w:val="000000" w:themeColor="text1"/>
      <w:sz w:val="20"/>
      <w:szCs w:val="20"/>
      <w:lang w:eastAsia="ja-JP"/>
    </w:rPr>
  </w:style>
  <w:style w:type="paragraph" w:styleId="TOC5">
    <w:name w:val="toc 5"/>
    <w:basedOn w:val="Normal"/>
    <w:next w:val="Normal"/>
    <w:autoRedefine/>
    <w:uiPriority w:val="39"/>
    <w:rsid w:val="002D66B4"/>
    <w:pPr>
      <w:ind w:left="960"/>
    </w:pPr>
    <w:rPr>
      <w:rFonts w:ascii="Arial" w:eastAsiaTheme="minorEastAsia" w:hAnsi="Arial" w:cs="Arial"/>
      <w:color w:val="000000" w:themeColor="text1"/>
      <w:sz w:val="20"/>
      <w:szCs w:val="20"/>
      <w:lang w:eastAsia="ja-JP"/>
    </w:rPr>
  </w:style>
  <w:style w:type="paragraph" w:styleId="TOC6">
    <w:name w:val="toc 6"/>
    <w:basedOn w:val="Normal"/>
    <w:next w:val="Normal"/>
    <w:autoRedefine/>
    <w:uiPriority w:val="39"/>
    <w:rsid w:val="002D66B4"/>
    <w:pPr>
      <w:ind w:left="1200"/>
    </w:pPr>
    <w:rPr>
      <w:rFonts w:ascii="Arial" w:eastAsiaTheme="minorEastAsia" w:hAnsi="Arial" w:cs="Arial"/>
      <w:color w:val="000000" w:themeColor="text1"/>
      <w:sz w:val="20"/>
      <w:szCs w:val="20"/>
      <w:lang w:eastAsia="ja-JP"/>
    </w:rPr>
  </w:style>
  <w:style w:type="paragraph" w:styleId="TOC7">
    <w:name w:val="toc 7"/>
    <w:basedOn w:val="Normal"/>
    <w:next w:val="Normal"/>
    <w:autoRedefine/>
    <w:uiPriority w:val="39"/>
    <w:rsid w:val="002D66B4"/>
    <w:pPr>
      <w:ind w:left="1440"/>
    </w:pPr>
    <w:rPr>
      <w:rFonts w:ascii="Arial" w:eastAsiaTheme="minorEastAsia" w:hAnsi="Arial" w:cs="Arial"/>
      <w:color w:val="000000" w:themeColor="text1"/>
      <w:sz w:val="20"/>
      <w:szCs w:val="20"/>
      <w:lang w:eastAsia="ja-JP"/>
    </w:rPr>
  </w:style>
  <w:style w:type="paragraph" w:styleId="TOC8">
    <w:name w:val="toc 8"/>
    <w:basedOn w:val="Normal"/>
    <w:next w:val="Normal"/>
    <w:autoRedefine/>
    <w:uiPriority w:val="39"/>
    <w:rsid w:val="002D66B4"/>
    <w:pPr>
      <w:ind w:left="1680"/>
    </w:pPr>
    <w:rPr>
      <w:rFonts w:ascii="Arial" w:eastAsiaTheme="minorEastAsia" w:hAnsi="Arial" w:cs="Arial"/>
      <w:color w:val="000000" w:themeColor="text1"/>
      <w:sz w:val="20"/>
      <w:szCs w:val="20"/>
      <w:lang w:eastAsia="ja-JP"/>
    </w:rPr>
  </w:style>
  <w:style w:type="paragraph" w:styleId="TOC9">
    <w:name w:val="toc 9"/>
    <w:basedOn w:val="Normal"/>
    <w:next w:val="Normal"/>
    <w:autoRedefine/>
    <w:uiPriority w:val="39"/>
    <w:rsid w:val="002D66B4"/>
    <w:pPr>
      <w:ind w:left="1920"/>
    </w:pPr>
    <w:rPr>
      <w:rFonts w:ascii="Arial" w:eastAsiaTheme="minorEastAsia" w:hAnsi="Arial" w:cs="Arial"/>
      <w:color w:val="000000" w:themeColor="text1"/>
      <w:sz w:val="20"/>
      <w:szCs w:val="20"/>
      <w:lang w:eastAsia="ja-JP"/>
    </w:rPr>
  </w:style>
  <w:style w:type="paragraph" w:customStyle="1" w:styleId="Text">
    <w:name w:val="Text"/>
    <w:basedOn w:val="NoParagraphStyle"/>
    <w:autoRedefine/>
    <w:locked/>
    <w:rsid w:val="002D66B4"/>
    <w:pPr>
      <w:tabs>
        <w:tab w:val="left" w:pos="170"/>
      </w:tabs>
      <w:suppressAutoHyphens/>
      <w:spacing w:line="240" w:lineRule="atLeast"/>
    </w:pPr>
    <w:rPr>
      <w:rFonts w:cs="Arial"/>
      <w:b/>
      <w:color w:val="FFFFFF" w:themeColor="background1"/>
    </w:rPr>
  </w:style>
  <w:style w:type="paragraph" w:customStyle="1" w:styleId="Referencetext8pt">
    <w:name w:val="Reference text 8pt"/>
    <w:basedOn w:val="BodyText1"/>
    <w:next w:val="BodyText1"/>
    <w:qFormat/>
    <w:rsid w:val="002D66B4"/>
    <w:pPr>
      <w:autoSpaceDE/>
      <w:autoSpaceDN/>
      <w:adjustRightInd/>
      <w:spacing w:before="0" w:after="0" w:line="220" w:lineRule="exact"/>
      <w:jc w:val="both"/>
    </w:pPr>
    <w:rPr>
      <w:rFonts w:eastAsiaTheme="minorEastAsia" w:cs="ArialMT"/>
      <w:color w:val="000000" w:themeColor="text1"/>
      <w:spacing w:val="0"/>
      <w:sz w:val="16"/>
      <w:szCs w:val="18"/>
      <w:lang w:eastAsia="ja-JP"/>
    </w:rPr>
  </w:style>
  <w:style w:type="paragraph" w:customStyle="1" w:styleId="Addressline1">
    <w:name w:val="Address line 1"/>
    <w:basedOn w:val="12Subheadbluecoverpage"/>
    <w:qFormat/>
    <w:rsid w:val="002D66B4"/>
    <w:pPr>
      <w:jc w:val="left"/>
    </w:pPr>
  </w:style>
  <w:style w:type="paragraph" w:customStyle="1" w:styleId="12Subheadbluecoverpage">
    <w:name w:val="12 Subhead blue (cover page)"/>
    <w:basedOn w:val="SubheadBlue12"/>
    <w:link w:val="12SubheadbluecoverpageChar"/>
    <w:rsid w:val="002D66B4"/>
    <w:pPr>
      <w:ind w:left="0"/>
    </w:pPr>
    <w:rPr>
      <w:rFonts w:eastAsiaTheme="minorEastAsia"/>
    </w:rPr>
  </w:style>
  <w:style w:type="character" w:customStyle="1" w:styleId="12SubheadbluecoverpageChar">
    <w:name w:val="12 Subhead blue (cover page) Char"/>
    <w:basedOn w:val="SubheadBlue12Char"/>
    <w:link w:val="12Subheadbluecoverpage"/>
    <w:rsid w:val="002D66B4"/>
    <w:rPr>
      <w:rFonts w:ascii="Arial" w:eastAsiaTheme="minorEastAsia" w:hAnsi="Arial" w:cs="Arial"/>
      <w:color w:val="0093D5"/>
      <w:sz w:val="24"/>
      <w:szCs w:val="24"/>
      <w:lang w:val="en-GB" w:eastAsia="ja-JP" w:bidi="ar-SA"/>
    </w:rPr>
  </w:style>
  <w:style w:type="paragraph" w:customStyle="1" w:styleId="NameofClient">
    <w:name w:val="Name of Client"/>
    <w:basedOn w:val="12Subheadbluecoverpage"/>
    <w:qFormat/>
    <w:rsid w:val="002D66B4"/>
    <w:pPr>
      <w:jc w:val="left"/>
    </w:pPr>
    <w:rPr>
      <w:b/>
    </w:rPr>
  </w:style>
  <w:style w:type="paragraph" w:customStyle="1" w:styleId="Postcode">
    <w:name w:val="Postcode"/>
    <w:basedOn w:val="SubheadBlue12"/>
    <w:qFormat/>
    <w:rsid w:val="002D66B4"/>
    <w:pPr>
      <w:ind w:left="0"/>
      <w:jc w:val="left"/>
    </w:pPr>
    <w:rPr>
      <w:rFonts w:eastAsiaTheme="minorEastAsia"/>
    </w:rPr>
  </w:style>
  <w:style w:type="paragraph" w:customStyle="1" w:styleId="Dateofreport">
    <w:name w:val="Date of report"/>
    <w:basedOn w:val="SubheadBlue12"/>
    <w:qFormat/>
    <w:rsid w:val="002D66B4"/>
    <w:pPr>
      <w:ind w:left="0"/>
      <w:jc w:val="left"/>
    </w:pPr>
    <w:rPr>
      <w:rFonts w:eastAsiaTheme="minorEastAsia"/>
    </w:rPr>
  </w:style>
  <w:style w:type="paragraph" w:customStyle="1" w:styleId="Footerlandscape">
    <w:name w:val="Footer landscape"/>
    <w:basedOn w:val="Normal"/>
    <w:qFormat/>
    <w:rsid w:val="002D66B4"/>
    <w:pPr>
      <w:framePr w:w="14572" w:h="748" w:hRule="exact" w:wrap="around" w:vAnchor="page" w:hAnchor="page" w:x="1379" w:y="10723"/>
      <w:tabs>
        <w:tab w:val="right" w:pos="14572"/>
      </w:tabs>
      <w:spacing w:line="200" w:lineRule="exact"/>
    </w:pPr>
    <w:rPr>
      <w:rFonts w:ascii="Arial" w:eastAsiaTheme="minorEastAsia" w:hAnsi="Arial" w:cs="Arial"/>
      <w:color w:val="000000" w:themeColor="text1"/>
      <w:sz w:val="16"/>
      <w:szCs w:val="20"/>
      <w:lang w:eastAsia="ja-JP"/>
    </w:rPr>
  </w:style>
  <w:style w:type="paragraph" w:customStyle="1" w:styleId="FooterPortrait">
    <w:name w:val="Footer Portrait"/>
    <w:basedOn w:val="Normal"/>
    <w:qFormat/>
    <w:rsid w:val="002D66B4"/>
    <w:pPr>
      <w:framePr w:w="9639" w:h="748" w:hRule="exact" w:wrap="around" w:vAnchor="page" w:hAnchor="page" w:x="1379" w:y="15656"/>
      <w:tabs>
        <w:tab w:val="right" w:pos="9639"/>
      </w:tabs>
      <w:spacing w:line="200" w:lineRule="exact"/>
    </w:pPr>
    <w:rPr>
      <w:rFonts w:ascii="Arial" w:eastAsiaTheme="minorEastAsia" w:hAnsi="Arial" w:cs="Arial"/>
      <w:color w:val="000000" w:themeColor="text1"/>
      <w:sz w:val="16"/>
      <w:szCs w:val="20"/>
      <w:lang w:eastAsia="ja-JP"/>
    </w:rPr>
  </w:style>
  <w:style w:type="character" w:customStyle="1" w:styleId="Filelocation6pt">
    <w:name w:val="File location 6pt"/>
    <w:basedOn w:val="DefaultParagraphFont"/>
    <w:uiPriority w:val="1"/>
    <w:qFormat/>
    <w:rsid w:val="002D66B4"/>
    <w:rPr>
      <w:rFonts w:ascii="Arial" w:hAnsi="Arial"/>
      <w:b w:val="0"/>
      <w:i w:val="0"/>
      <w:sz w:val="12"/>
    </w:rPr>
  </w:style>
  <w:style w:type="paragraph" w:customStyle="1" w:styleId="TableBodytext">
    <w:name w:val="Table Body text"/>
    <w:basedOn w:val="Normal"/>
    <w:link w:val="TableBodytextChar"/>
    <w:qFormat/>
    <w:rsid w:val="002D66B4"/>
    <w:pPr>
      <w:spacing w:before="60" w:after="60" w:line="240" w:lineRule="atLeast"/>
    </w:pPr>
    <w:rPr>
      <w:rFonts w:ascii="Arial" w:eastAsiaTheme="minorEastAsia" w:hAnsi="Arial" w:cs="Arial"/>
      <w:color w:val="000000" w:themeColor="text1"/>
      <w:sz w:val="18"/>
      <w:szCs w:val="18"/>
      <w:lang w:eastAsia="ja-JP"/>
    </w:rPr>
  </w:style>
  <w:style w:type="character" w:customStyle="1" w:styleId="TableBodytextChar">
    <w:name w:val="Table Body text Char"/>
    <w:basedOn w:val="DefaultParagraphFont"/>
    <w:link w:val="TableBodytext"/>
    <w:rsid w:val="002D66B4"/>
    <w:rPr>
      <w:rFonts w:ascii="Arial" w:eastAsiaTheme="minorEastAsia" w:hAnsi="Arial" w:cs="Arial"/>
      <w:color w:val="000000" w:themeColor="text1"/>
      <w:sz w:val="18"/>
      <w:szCs w:val="18"/>
      <w:lang w:eastAsia="ja-JP"/>
    </w:rPr>
  </w:style>
  <w:style w:type="paragraph" w:customStyle="1" w:styleId="NameofDevelopment">
    <w:name w:val="Name of Development"/>
    <w:basedOn w:val="NameofClient"/>
    <w:qFormat/>
    <w:rsid w:val="002D66B4"/>
    <w:rPr>
      <w:b w:val="0"/>
    </w:rPr>
  </w:style>
  <w:style w:type="paragraph" w:customStyle="1" w:styleId="Appendices">
    <w:name w:val="Appendices"/>
    <w:qFormat/>
    <w:rsid w:val="003D16C5"/>
    <w:pPr>
      <w:numPr>
        <w:numId w:val="19"/>
      </w:numPr>
      <w:spacing w:after="200"/>
      <w:jc w:val="both"/>
    </w:pPr>
    <w:rPr>
      <w:rFonts w:ascii="Arial" w:eastAsiaTheme="minorEastAsia" w:hAnsi="Arial" w:cs="Arial"/>
      <w:color w:val="000000" w:themeColor="text1"/>
      <w:szCs w:val="24"/>
      <w:lang w:eastAsia="ja-JP"/>
    </w:rPr>
  </w:style>
  <w:style w:type="paragraph" w:customStyle="1" w:styleId="12SubheadGreyCoverpage">
    <w:name w:val="12 Subhead Grey (Cover page)"/>
    <w:basedOn w:val="SubheadGrey12"/>
    <w:link w:val="12SubheadGreyCoverpageChar"/>
    <w:rsid w:val="002D66B4"/>
    <w:pPr>
      <w:spacing w:line="300" w:lineRule="exact"/>
      <w:ind w:left="0"/>
    </w:pPr>
    <w:rPr>
      <w:rFonts w:eastAsiaTheme="minorEastAsia"/>
    </w:rPr>
  </w:style>
  <w:style w:type="character" w:customStyle="1" w:styleId="12SubheadGreyCoverpageChar">
    <w:name w:val="12 Subhead Grey (Cover page) Char"/>
    <w:basedOn w:val="SubheadGrey12Char"/>
    <w:link w:val="12SubheadGreyCoverpage"/>
    <w:rsid w:val="002D66B4"/>
    <w:rPr>
      <w:rFonts w:ascii="Arial" w:eastAsiaTheme="minorEastAsia" w:hAnsi="Arial" w:cs="Arial"/>
      <w:color w:val="33393A"/>
      <w:sz w:val="24"/>
      <w:szCs w:val="24"/>
      <w:lang w:val="en-GB" w:eastAsia="ja-JP" w:bidi="ar-SA"/>
    </w:rPr>
  </w:style>
  <w:style w:type="paragraph" w:customStyle="1" w:styleId="QuoteBulletBlack">
    <w:name w:val="Quote Bullet Black"/>
    <w:basedOn w:val="Bulletblackplain"/>
    <w:link w:val="QuoteBulletBlackChar"/>
    <w:qFormat/>
    <w:rsid w:val="003D16C5"/>
    <w:pPr>
      <w:numPr>
        <w:numId w:val="10"/>
      </w:numPr>
      <w:ind w:left="1078" w:hanging="284"/>
    </w:pPr>
    <w:rPr>
      <w:rFonts w:eastAsiaTheme="minorEastAsia"/>
      <w:i/>
      <w:color w:val="000000" w:themeColor="text1"/>
      <w:spacing w:val="-4"/>
    </w:rPr>
  </w:style>
  <w:style w:type="character" w:customStyle="1" w:styleId="QuoteBulletBlackChar">
    <w:name w:val="Quote Bullet Black Char"/>
    <w:basedOn w:val="BulletblackplainChar"/>
    <w:link w:val="QuoteBulletBlack"/>
    <w:rsid w:val="003D16C5"/>
    <w:rPr>
      <w:rFonts w:ascii="Arial" w:eastAsiaTheme="minorEastAsia" w:hAnsi="Arial" w:cs="Arial"/>
      <w:i/>
      <w:color w:val="000000" w:themeColor="text1"/>
      <w:spacing w:val="-4"/>
      <w:szCs w:val="18"/>
      <w:lang w:val="en-GB" w:eastAsia="ja-JP" w:bidi="ar-SA"/>
    </w:rPr>
  </w:style>
  <w:style w:type="character" w:customStyle="1" w:styleId="HTMLPreformattedChar">
    <w:name w:val="HTML Preformatted Char"/>
    <w:basedOn w:val="DefaultParagraphFont"/>
    <w:link w:val="HTMLPreformatted"/>
    <w:uiPriority w:val="99"/>
    <w:semiHidden/>
    <w:rsid w:val="002D66B4"/>
    <w:rPr>
      <w:rFonts w:ascii="Courier New" w:hAnsi="Courier New" w:cs="Courier New"/>
    </w:rPr>
  </w:style>
  <w:style w:type="paragraph" w:styleId="HTMLPreformatted">
    <w:name w:val="HTML Preformatted"/>
    <w:basedOn w:val="Normal"/>
    <w:link w:val="HTMLPreformattedChar"/>
    <w:uiPriority w:val="99"/>
    <w:semiHidden/>
    <w:unhideWhenUsed/>
    <w:rsid w:val="002D6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semiHidden/>
    <w:rsid w:val="002D66B4"/>
    <w:rPr>
      <w:rFonts w:ascii="Consolas" w:hAnsi="Consolas" w:cs="Consolas"/>
    </w:rPr>
  </w:style>
  <w:style w:type="character" w:customStyle="1" w:styleId="CommentTextChar1">
    <w:name w:val="Comment Text Char1"/>
    <w:basedOn w:val="DefaultParagraphFont"/>
    <w:uiPriority w:val="99"/>
    <w:semiHidden/>
    <w:rsid w:val="002D66B4"/>
    <w:rPr>
      <w:rFonts w:ascii="Arial" w:hAnsi="Arial"/>
      <w:sz w:val="20"/>
      <w:szCs w:val="20"/>
    </w:rPr>
  </w:style>
  <w:style w:type="character" w:customStyle="1" w:styleId="BodyTextIndentChar1">
    <w:name w:val="Body Text Indent Char1"/>
    <w:basedOn w:val="DefaultParagraphFont"/>
    <w:rsid w:val="002D66B4"/>
    <w:rPr>
      <w:rFonts w:ascii="Arial" w:hAnsi="Arial"/>
      <w:sz w:val="20"/>
    </w:rPr>
  </w:style>
  <w:style w:type="character" w:customStyle="1" w:styleId="BodyTextIndent3Char1">
    <w:name w:val="Body Text Indent 3 Char1"/>
    <w:basedOn w:val="DefaultParagraphFont"/>
    <w:uiPriority w:val="99"/>
    <w:semiHidden/>
    <w:rsid w:val="002D66B4"/>
    <w:rPr>
      <w:rFonts w:ascii="Arial" w:hAnsi="Arial"/>
      <w:sz w:val="16"/>
      <w:szCs w:val="16"/>
    </w:rPr>
  </w:style>
  <w:style w:type="character" w:customStyle="1" w:styleId="CommentSubjectChar1">
    <w:name w:val="Comment Subject Char1"/>
    <w:basedOn w:val="CommentTextChar1"/>
    <w:uiPriority w:val="99"/>
    <w:semiHidden/>
    <w:rsid w:val="002D66B4"/>
    <w:rPr>
      <w:rFonts w:ascii="Arial" w:hAnsi="Arial"/>
      <w:b/>
      <w:bCs/>
      <w:sz w:val="20"/>
      <w:szCs w:val="20"/>
    </w:rPr>
  </w:style>
  <w:style w:type="character" w:customStyle="1" w:styleId="z-BottomofFormChar1">
    <w:name w:val="z-Bottom of Form Char1"/>
    <w:basedOn w:val="DefaultParagraphFont"/>
    <w:uiPriority w:val="99"/>
    <w:semiHidden/>
    <w:rsid w:val="002D66B4"/>
    <w:rPr>
      <w:rFonts w:ascii="Arial" w:hAnsi="Arial" w:cs="Arial"/>
      <w:vanish/>
      <w:sz w:val="16"/>
      <w:szCs w:val="16"/>
    </w:rPr>
  </w:style>
  <w:style w:type="paragraph" w:customStyle="1" w:styleId="Quotes">
    <w:name w:val="Quotes"/>
    <w:next w:val="Normal"/>
    <w:uiPriority w:val="99"/>
    <w:rsid w:val="002D66B4"/>
    <w:pPr>
      <w:spacing w:before="240" w:after="240"/>
      <w:ind w:right="956"/>
    </w:pPr>
    <w:rPr>
      <w:rFonts w:ascii="Arial" w:hAnsi="Arial" w:cs="Arial"/>
      <w:i/>
      <w:color w:val="D2711C"/>
      <w:spacing w:val="-4"/>
      <w:sz w:val="22"/>
      <w:szCs w:val="24"/>
    </w:rPr>
  </w:style>
  <w:style w:type="paragraph" w:customStyle="1" w:styleId="HeadChapt">
    <w:name w:val="Head Chapt"/>
    <w:basedOn w:val="Normal"/>
    <w:next w:val="Normal"/>
    <w:qFormat/>
    <w:rsid w:val="003D16C5"/>
    <w:pPr>
      <w:numPr>
        <w:ilvl w:val="1"/>
        <w:numId w:val="20"/>
      </w:numPr>
      <w:pBdr>
        <w:bottom w:val="single" w:sz="4" w:space="1" w:color="4F81BD"/>
      </w:pBdr>
      <w:tabs>
        <w:tab w:val="clear" w:pos="199"/>
      </w:tabs>
      <w:spacing w:before="1200" w:after="600" w:line="276" w:lineRule="auto"/>
      <w:ind w:left="5670" w:firstLine="0"/>
      <w:jc w:val="right"/>
      <w:outlineLvl w:val="0"/>
    </w:pPr>
    <w:rPr>
      <w:rFonts w:ascii="Calibri" w:eastAsia="Calibri" w:hAnsi="Calibri"/>
      <w:b/>
      <w:color w:val="4F81BD"/>
      <w:sz w:val="40"/>
      <w:szCs w:val="20"/>
    </w:rPr>
  </w:style>
  <w:style w:type="paragraph" w:customStyle="1" w:styleId="smalldecimal">
    <w:name w:val="# small decimal"/>
    <w:basedOn w:val="Normal"/>
    <w:autoRedefine/>
    <w:qFormat/>
    <w:rsid w:val="002D66B4"/>
    <w:pPr>
      <w:tabs>
        <w:tab w:val="num" w:pos="199"/>
      </w:tabs>
      <w:spacing w:after="200" w:line="276" w:lineRule="auto"/>
      <w:ind w:left="505" w:hanging="363"/>
      <w:jc w:val="both"/>
    </w:pPr>
    <w:rPr>
      <w:rFonts w:ascii="Calibri" w:eastAsia="Calibri" w:hAnsi="Calibri"/>
      <w:sz w:val="20"/>
      <w:szCs w:val="20"/>
    </w:rPr>
  </w:style>
  <w:style w:type="paragraph" w:customStyle="1" w:styleId="headmainnumbered">
    <w:name w:val="head main numbered"/>
    <w:basedOn w:val="Headmain"/>
    <w:qFormat/>
    <w:rsid w:val="003D16C5"/>
    <w:pPr>
      <w:numPr>
        <w:numId w:val="21"/>
      </w:numPr>
      <w:tabs>
        <w:tab w:val="num" w:pos="720"/>
        <w:tab w:val="num" w:pos="794"/>
      </w:tabs>
      <w:spacing w:before="240"/>
      <w:ind w:left="794" w:hanging="794"/>
    </w:pPr>
    <w:rPr>
      <w:rFonts w:eastAsia="Calibri"/>
      <w:color w:val="44546A" w:themeColor="text2"/>
      <w:lang w:eastAsia="en-GB"/>
    </w:rPr>
  </w:style>
  <w:style w:type="paragraph" w:customStyle="1" w:styleId="bigserial">
    <w:name w:val="# big serial"/>
    <w:basedOn w:val="smallserial"/>
    <w:link w:val="bigserialChar"/>
    <w:qFormat/>
    <w:rsid w:val="003D16C5"/>
    <w:pPr>
      <w:numPr>
        <w:ilvl w:val="0"/>
        <w:numId w:val="22"/>
      </w:numPr>
    </w:pPr>
  </w:style>
  <w:style w:type="character" w:customStyle="1" w:styleId="bigserialChar">
    <w:name w:val="# big serial Char"/>
    <w:basedOn w:val="smallserialChar"/>
    <w:link w:val="bigserial"/>
    <w:rsid w:val="003D16C5"/>
    <w:rPr>
      <w:rFonts w:ascii="Calibri" w:hAnsi="Calibri"/>
      <w:sz w:val="24"/>
      <w:szCs w:val="22"/>
    </w:rPr>
  </w:style>
  <w:style w:type="table" w:customStyle="1" w:styleId="ListTable3-Accent11">
    <w:name w:val="List Table 3 - Accent 11"/>
    <w:basedOn w:val="TableNormal"/>
    <w:uiPriority w:val="48"/>
    <w:rsid w:val="006F2628"/>
    <w:rPr>
      <w:rFonts w:asciiTheme="minorHAnsi" w:eastAsiaTheme="minorHAnsi" w:hAnsiTheme="minorHAnsi" w:cstheme="minorBidi"/>
      <w:sz w:val="22"/>
      <w:szCs w:val="22"/>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ype">
    <w:name w:val="type"/>
    <w:basedOn w:val="Normal"/>
    <w:rsid w:val="006F2628"/>
    <w:pPr>
      <w:spacing w:before="100" w:beforeAutospacing="1" w:after="100" w:afterAutospacing="1"/>
    </w:pPr>
  </w:style>
  <w:style w:type="paragraph" w:customStyle="1" w:styleId="04Bodytext-10pt">
    <w:name w:val="04 Body text - 10pt"/>
    <w:basedOn w:val="Normal"/>
    <w:link w:val="04Bodytext-10ptChar"/>
    <w:qFormat/>
    <w:rsid w:val="006B151D"/>
    <w:pPr>
      <w:spacing w:line="240" w:lineRule="atLeast"/>
    </w:pPr>
    <w:rPr>
      <w:rFonts w:ascii="Arial" w:eastAsiaTheme="minorEastAsia" w:hAnsi="Arial" w:cs="Arial"/>
      <w:color w:val="000000" w:themeColor="text1"/>
      <w:sz w:val="20"/>
      <w:szCs w:val="18"/>
      <w:lang w:eastAsia="ja-JP"/>
    </w:rPr>
  </w:style>
  <w:style w:type="character" w:customStyle="1" w:styleId="04Bodytext-10ptChar">
    <w:name w:val="04 Body text - 10pt Char"/>
    <w:basedOn w:val="DefaultParagraphFont"/>
    <w:link w:val="04Bodytext-10pt"/>
    <w:locked/>
    <w:rsid w:val="006B151D"/>
    <w:rPr>
      <w:rFonts w:ascii="Arial" w:eastAsiaTheme="minorEastAsia" w:hAnsi="Arial" w:cs="Arial"/>
      <w:color w:val="000000" w:themeColor="text1"/>
      <w:szCs w:val="18"/>
      <w:lang w:eastAsia="ja-JP"/>
    </w:rPr>
  </w:style>
  <w:style w:type="table" w:customStyle="1" w:styleId="ListTable3-Accent210">
    <w:name w:val="List Table 3 - Accent 210"/>
    <w:basedOn w:val="TableNormal"/>
    <w:uiPriority w:val="48"/>
    <w:rsid w:val="00986E0B"/>
    <w:rPr>
      <w:rFonts w:ascii="Arial" w:eastAsiaTheme="minorEastAsia" w:hAnsi="Arial" w:cs="Arial"/>
      <w:color w:val="000000" w:themeColor="text1"/>
      <w:lang w:val="en-US" w:eastAsia="ja-JP"/>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Emphasis">
    <w:name w:val="Emphasis"/>
    <w:basedOn w:val="DefaultParagraphFont"/>
    <w:qFormat/>
    <w:rsid w:val="006C3831"/>
    <w:rPr>
      <w:i/>
      <w:iCs/>
    </w:rPr>
  </w:style>
  <w:style w:type="table" w:customStyle="1" w:styleId="TableGridLight10">
    <w:name w:val="Table Grid Light10"/>
    <w:basedOn w:val="TableNormal"/>
    <w:uiPriority w:val="40"/>
    <w:rsid w:val="00667881"/>
    <w:pPr>
      <w:keepNex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26C9"/>
  </w:style>
  <w:style w:type="character" w:styleId="LineNumber">
    <w:name w:val="line number"/>
    <w:basedOn w:val="DefaultParagraphFont"/>
    <w:rsid w:val="00D026C9"/>
    <w:rPr>
      <w:rFonts w:ascii="Arial" w:hAnsi="Arial"/>
      <w:b w:val="0"/>
      <w:bCs w:val="0"/>
      <w:i w:val="0"/>
      <w:iCs w:val="0"/>
      <w:caps w:val="0"/>
      <w:smallCaps w:val="0"/>
      <w:strike w:val="0"/>
      <w:dstrike w:val="0"/>
      <w:vanish w:val="0"/>
      <w:color w:val="595959" w:themeColor="text1" w:themeTint="A6"/>
      <w:sz w:val="16"/>
      <w:szCs w:val="16"/>
      <w:u w:val="none"/>
      <w:vertAlign w:val="baseline"/>
    </w:rPr>
  </w:style>
  <w:style w:type="paragraph" w:styleId="TableofFigures">
    <w:name w:val="table of figures"/>
    <w:basedOn w:val="Normal"/>
    <w:next w:val="Normal"/>
    <w:rsid w:val="00D026C9"/>
    <w:pPr>
      <w:tabs>
        <w:tab w:val="left" w:pos="1021"/>
        <w:tab w:val="left" w:pos="8222"/>
      </w:tabs>
      <w:spacing w:after="240" w:line="240" w:lineRule="exact"/>
    </w:pPr>
    <w:rPr>
      <w:b/>
    </w:rPr>
  </w:style>
  <w:style w:type="paragraph" w:customStyle="1" w:styleId="Style22">
    <w:name w:val="Style22"/>
    <w:basedOn w:val="Normal"/>
    <w:link w:val="Style22Char"/>
    <w:qFormat/>
    <w:rsid w:val="006F3A16"/>
    <w:pPr>
      <w:tabs>
        <w:tab w:val="left" w:pos="567"/>
        <w:tab w:val="num" w:pos="720"/>
      </w:tabs>
      <w:spacing w:before="120" w:after="160" w:line="300" w:lineRule="auto"/>
      <w:ind w:left="794" w:hanging="397"/>
    </w:pPr>
    <w:rPr>
      <w:rFonts w:asciiTheme="minorHAnsi" w:eastAsiaTheme="majorEastAsia" w:hAnsiTheme="minorHAnsi" w:cstheme="majorBidi"/>
      <w:szCs w:val="20"/>
      <w:lang w:eastAsia="en-US"/>
    </w:rPr>
  </w:style>
  <w:style w:type="character" w:customStyle="1" w:styleId="Style22Char">
    <w:name w:val="Style22 Char"/>
    <w:basedOn w:val="DefaultParagraphFont"/>
    <w:link w:val="Style22"/>
    <w:rsid w:val="006F3A16"/>
    <w:rPr>
      <w:rFonts w:asciiTheme="minorHAnsi" w:eastAsiaTheme="majorEastAsia" w:hAnsiTheme="minorHAnsi" w:cstheme="majorBidi"/>
      <w:sz w:val="24"/>
      <w:lang w:eastAsia="en-US"/>
    </w:rPr>
  </w:style>
  <w:style w:type="paragraph" w:customStyle="1" w:styleId="21">
    <w:name w:val="2.1"/>
    <w:basedOn w:val="Normal"/>
    <w:autoRedefine/>
    <w:qFormat/>
    <w:rsid w:val="003D16C5"/>
    <w:pPr>
      <w:numPr>
        <w:numId w:val="24"/>
      </w:numPr>
      <w:adjustRightInd w:val="0"/>
      <w:spacing w:after="160" w:line="259" w:lineRule="auto"/>
    </w:pPr>
    <w:rPr>
      <w:rFonts w:asciiTheme="minorHAnsi" w:eastAsiaTheme="minorHAnsi" w:hAnsiTheme="minorHAnsi" w:cstheme="minorBidi"/>
      <w:lang w:eastAsia="en-US"/>
    </w:rPr>
  </w:style>
  <w:style w:type="table" w:customStyle="1" w:styleId="ListTable3-Accent211">
    <w:name w:val="List Table 3 - Accent 211"/>
    <w:basedOn w:val="TableNormal"/>
    <w:uiPriority w:val="48"/>
    <w:rsid w:val="006F3A16"/>
    <w:rPr>
      <w:rFonts w:ascii="Arial" w:eastAsiaTheme="minorEastAsia" w:hAnsi="Arial" w:cs="Arial"/>
      <w:color w:val="000000" w:themeColor="text1"/>
      <w:lang w:val="en-US" w:eastAsia="ja-JP"/>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BookTitle">
    <w:name w:val="Book Title"/>
    <w:basedOn w:val="DefaultParagraphFont"/>
    <w:uiPriority w:val="33"/>
    <w:qFormat/>
    <w:rsid w:val="00607F94"/>
    <w:rPr>
      <w:b/>
      <w:bCs/>
      <w:i/>
      <w:iCs/>
      <w:spacing w:val="5"/>
    </w:rPr>
  </w:style>
  <w:style w:type="paragraph" w:styleId="Subtitle">
    <w:name w:val="Subtitle"/>
    <w:aliases w:val="Policy Title"/>
    <w:basedOn w:val="Normal"/>
    <w:next w:val="Normal"/>
    <w:link w:val="SubtitleChar"/>
    <w:uiPriority w:val="11"/>
    <w:qFormat/>
    <w:rsid w:val="00607F94"/>
    <w:pPr>
      <w:numPr>
        <w:ilvl w:val="1"/>
      </w:numPr>
      <w:spacing w:after="200" w:line="276" w:lineRule="auto"/>
    </w:pPr>
    <w:rPr>
      <w:rFonts w:asciiTheme="majorHAnsi" w:eastAsiaTheme="majorEastAsia" w:hAnsiTheme="majorHAnsi" w:cstheme="majorBidi"/>
      <w:i/>
      <w:iCs/>
      <w:color w:val="2F9925"/>
      <w:spacing w:val="15"/>
      <w:sz w:val="20"/>
      <w:lang w:eastAsia="en-US"/>
    </w:rPr>
  </w:style>
  <w:style w:type="character" w:customStyle="1" w:styleId="SubtitleChar">
    <w:name w:val="Subtitle Char"/>
    <w:aliases w:val="Policy Title Char"/>
    <w:basedOn w:val="DefaultParagraphFont"/>
    <w:link w:val="Subtitle"/>
    <w:uiPriority w:val="11"/>
    <w:rsid w:val="00607F94"/>
    <w:rPr>
      <w:rFonts w:asciiTheme="majorHAnsi" w:eastAsiaTheme="majorEastAsia" w:hAnsiTheme="majorHAnsi" w:cstheme="majorBidi"/>
      <w:i/>
      <w:iCs/>
      <w:color w:val="2F9925"/>
      <w:spacing w:val="15"/>
      <w:szCs w:val="24"/>
      <w:lang w:eastAsia="en-US"/>
    </w:rPr>
  </w:style>
  <w:style w:type="table" w:styleId="LightList-Accent3">
    <w:name w:val="Light List Accent 3"/>
    <w:basedOn w:val="TableNormal"/>
    <w:uiPriority w:val="61"/>
    <w:rsid w:val="00881493"/>
    <w:rPr>
      <w:rFonts w:ascii="Arial" w:eastAsiaTheme="minorEastAsia" w:hAnsi="Arial" w:cs="Arial"/>
      <w:color w:val="000000" w:themeColor="text1"/>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maintitle">
    <w:name w:val="maintitle"/>
    <w:rsid w:val="00881493"/>
  </w:style>
  <w:style w:type="paragraph" w:customStyle="1" w:styleId="articledetails">
    <w:name w:val="articledetails"/>
    <w:basedOn w:val="Normal"/>
    <w:rsid w:val="00881493"/>
    <w:pPr>
      <w:spacing w:before="100" w:beforeAutospacing="1" w:after="100" w:afterAutospacing="1"/>
    </w:pPr>
  </w:style>
  <w:style w:type="character" w:customStyle="1" w:styleId="Heading1Char1">
    <w:name w:val="Heading 1 Char1"/>
    <w:aliases w:val="Numbered - 1 Char1,CBC Heading 1 Char1,Section Char1,Level 1 Char1,Section Heading Char1,h1 Char1,H1 Char1,H11 Char1,H12 Char1,H111 Char1,H13 Char1,H112 Char1,H14 Char1,H113 Char1,H15 Char1,H114 Char1,H16 Char1,H115 Char1,H17 Char1"/>
    <w:basedOn w:val="DefaultParagraphFont"/>
    <w:rsid w:val="00881493"/>
    <w:rPr>
      <w:rFonts w:asciiTheme="majorHAnsi" w:eastAsiaTheme="majorEastAsia" w:hAnsiTheme="majorHAnsi" w:cstheme="majorBidi"/>
      <w:b/>
      <w:bCs/>
      <w:color w:val="2E74B5" w:themeColor="accent1" w:themeShade="BF"/>
      <w:sz w:val="28"/>
      <w:szCs w:val="28"/>
      <w:lang w:val="en-US"/>
    </w:rPr>
  </w:style>
  <w:style w:type="table" w:customStyle="1" w:styleId="Style1">
    <w:name w:val="Style1"/>
    <w:basedOn w:val="TableNormal"/>
    <w:uiPriority w:val="99"/>
    <w:rsid w:val="003D47F0"/>
    <w:pPr>
      <w:spacing w:line="300" w:lineRule="auto"/>
    </w:pPr>
    <w:rPr>
      <w:rFonts w:ascii="Arial" w:eastAsiaTheme="minorHAnsi" w:hAnsi="Arial" w:cstheme="minorBidi"/>
      <w:szCs w:val="22"/>
      <w:lang w:eastAsia="en-US"/>
    </w:rPr>
    <w:tblP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pPr>
        <w:jc w:val="center"/>
      </w:pPr>
      <w:rPr>
        <w:rFonts w:ascii="Arial" w:hAnsi="Arial"/>
        <w:b w:val="0"/>
        <w:i w:val="0"/>
        <w:color w:val="FFFFFF" w:themeColor="background1"/>
        <w:sz w:val="20"/>
      </w:rPr>
      <w:tblPr/>
      <w:tcPr>
        <w:shd w:val="clear" w:color="auto" w:fill="ED7D31" w:themeFill="accent2"/>
      </w:tcPr>
    </w:tblStylePr>
    <w:tblStylePr w:type="firstCol">
      <w:pPr>
        <w:jc w:val="left"/>
      </w:pPr>
      <w:tblPr/>
      <w:tcPr>
        <w:vAlign w:val="center"/>
      </w:tcPr>
    </w:tblStylePr>
  </w:style>
  <w:style w:type="paragraph" w:styleId="Caption">
    <w:name w:val="caption"/>
    <w:basedOn w:val="Normal"/>
    <w:next w:val="Normal"/>
    <w:link w:val="CaptionChar0"/>
    <w:unhideWhenUsed/>
    <w:qFormat/>
    <w:rsid w:val="00605EB0"/>
    <w:pPr>
      <w:spacing w:line="300" w:lineRule="auto"/>
      <w:jc w:val="center"/>
    </w:pPr>
    <w:rPr>
      <w:rFonts w:ascii="Arial" w:hAnsi="Arial" w:cs="Arial"/>
      <w:iCs/>
      <w:color w:val="44546A" w:themeColor="text2"/>
      <w:sz w:val="20"/>
      <w:szCs w:val="20"/>
    </w:rPr>
  </w:style>
  <w:style w:type="character" w:customStyle="1" w:styleId="CaptionChar0">
    <w:name w:val="Caption Char"/>
    <w:basedOn w:val="DefaultParagraphFont"/>
    <w:link w:val="Caption"/>
    <w:uiPriority w:val="99"/>
    <w:rsid w:val="00605EB0"/>
    <w:rPr>
      <w:rFonts w:ascii="Arial" w:hAnsi="Arial" w:cs="Arial"/>
      <w:iCs/>
      <w:color w:val="44546A" w:themeColor="text2"/>
    </w:rPr>
  </w:style>
  <w:style w:type="paragraph" w:customStyle="1" w:styleId="Style24">
    <w:name w:val="Style24"/>
    <w:basedOn w:val="Normal"/>
    <w:link w:val="Style24Char"/>
    <w:qFormat/>
    <w:rsid w:val="00641D57"/>
    <w:pPr>
      <w:widowControl w:val="0"/>
      <w:spacing w:line="300" w:lineRule="auto"/>
    </w:pPr>
    <w:rPr>
      <w:rFonts w:asciiTheme="minorHAnsi" w:eastAsia="MS PGothic" w:hAnsiTheme="minorHAnsi" w:cs="Arial"/>
      <w:bCs/>
      <w:color w:val="000000"/>
      <w:sz w:val="20"/>
      <w:szCs w:val="20"/>
      <w:lang w:eastAsia="ja-JP"/>
    </w:rPr>
  </w:style>
  <w:style w:type="character" w:customStyle="1" w:styleId="Style24Char">
    <w:name w:val="Style24 Char"/>
    <w:basedOn w:val="DefaultParagraphFont"/>
    <w:link w:val="Style24"/>
    <w:rsid w:val="00641D57"/>
    <w:rPr>
      <w:rFonts w:asciiTheme="minorHAnsi" w:eastAsia="MS PGothic" w:hAnsiTheme="minorHAnsi" w:cs="Arial"/>
      <w:bCs/>
      <w:color w:val="000000"/>
      <w:lang w:eastAsia="ja-JP"/>
    </w:rPr>
  </w:style>
  <w:style w:type="paragraph" w:customStyle="1" w:styleId="bulletCBA">
    <w:name w:val="bullet CBA"/>
    <w:basedOn w:val="Normal"/>
    <w:link w:val="bulletCBAChar"/>
    <w:qFormat/>
    <w:rsid w:val="003D16C5"/>
    <w:pPr>
      <w:spacing w:line="259" w:lineRule="auto"/>
      <w:ind w:left="1208" w:hanging="357"/>
      <w:contextualSpacing/>
    </w:pPr>
    <w:rPr>
      <w:rFonts w:asciiTheme="minorHAnsi" w:eastAsiaTheme="majorEastAsia" w:hAnsiTheme="minorHAnsi"/>
    </w:rPr>
  </w:style>
  <w:style w:type="character" w:customStyle="1" w:styleId="bulletCBAChar">
    <w:name w:val="bullet CBA Char"/>
    <w:basedOn w:val="DefaultParagraphFont"/>
    <w:link w:val="bulletCBA"/>
    <w:rsid w:val="003D16C5"/>
    <w:rPr>
      <w:rFonts w:asciiTheme="minorHAnsi" w:eastAsiaTheme="majorEastAsia" w:hAnsiTheme="minorHAnsi"/>
      <w:sz w:val="24"/>
      <w:szCs w:val="24"/>
    </w:rPr>
  </w:style>
  <w:style w:type="paragraph" w:customStyle="1" w:styleId="Syle111">
    <w:name w:val="Syle 11.1"/>
    <w:basedOn w:val="11Body"/>
    <w:qFormat/>
    <w:rsid w:val="003D16C5"/>
    <w:pPr>
      <w:widowControl w:val="0"/>
      <w:numPr>
        <w:numId w:val="25"/>
      </w:numPr>
      <w:spacing w:before="0" w:line="300" w:lineRule="auto"/>
    </w:pPr>
    <w:rPr>
      <w:rFonts w:cs="Arial"/>
      <w:lang w:val="en-GB"/>
    </w:rPr>
  </w:style>
  <w:style w:type="table" w:customStyle="1" w:styleId="GridTable4-Accent11">
    <w:name w:val="Grid Table 4 - Accent 11"/>
    <w:basedOn w:val="TableNormal"/>
    <w:uiPriority w:val="49"/>
    <w:rsid w:val="00901C74"/>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AA3856"/>
    <w:rPr>
      <w:color w:val="808080"/>
      <w:shd w:val="clear" w:color="auto" w:fill="E6E6E6"/>
    </w:rPr>
  </w:style>
  <w:style w:type="paragraph" w:styleId="ListBullet">
    <w:name w:val="List Bullet"/>
    <w:basedOn w:val="Normal"/>
    <w:qFormat/>
    <w:rsid w:val="006C2637"/>
    <w:pPr>
      <w:numPr>
        <w:numId w:val="27"/>
      </w:numPr>
      <w:spacing w:after="240" w:line="360" w:lineRule="auto"/>
      <w:ind w:left="357" w:hanging="357"/>
      <w:jc w:val="both"/>
    </w:pPr>
    <w:rPr>
      <w:rFonts w:asciiTheme="minorHAnsi" w:hAnsiTheme="minorHAnsi"/>
      <w:sz w:val="20"/>
      <w:szCs w:val="20"/>
    </w:rPr>
  </w:style>
  <w:style w:type="paragraph" w:customStyle="1" w:styleId="BodyTextbeforebullet">
    <w:name w:val="Body Text_before bullet"/>
    <w:basedOn w:val="BodyText"/>
    <w:next w:val="ListBullet"/>
    <w:uiPriority w:val="1"/>
    <w:qFormat/>
    <w:rsid w:val="006C2637"/>
    <w:pPr>
      <w:keepNext/>
      <w:keepLines/>
      <w:numPr>
        <w:ilvl w:val="1"/>
      </w:numPr>
      <w:tabs>
        <w:tab w:val="num" w:pos="0"/>
      </w:tabs>
      <w:spacing w:line="360" w:lineRule="auto"/>
      <w:ind w:hanging="709"/>
      <w:jc w:val="both"/>
    </w:pPr>
    <w:rPr>
      <w:rFonts w:asciiTheme="minorHAnsi" w:hAnsiTheme="minorHAnsi"/>
      <w:lang w:eastAsia="en-GB"/>
    </w:rPr>
  </w:style>
  <w:style w:type="paragraph" w:customStyle="1" w:styleId="BodytextAppendices">
    <w:name w:val="Body text_Appendices"/>
    <w:basedOn w:val="Normal"/>
    <w:uiPriority w:val="1"/>
    <w:qFormat/>
    <w:rsid w:val="006C2637"/>
    <w:pPr>
      <w:tabs>
        <w:tab w:val="left" w:pos="0"/>
      </w:tabs>
      <w:spacing w:after="360" w:line="360" w:lineRule="auto"/>
      <w:ind w:hanging="709"/>
      <w:jc w:val="both"/>
    </w:pPr>
    <w:rPr>
      <w:rFonts w:asciiTheme="minorHAnsi" w:hAnsiTheme="minorHAnsi"/>
      <w:sz w:val="20"/>
      <w:szCs w:val="20"/>
    </w:rPr>
  </w:style>
  <w:style w:type="paragraph" w:customStyle="1" w:styleId="HeadingAppendices">
    <w:name w:val="Heading Appendices"/>
    <w:basedOn w:val="Normal"/>
    <w:next w:val="BodytextAppendices"/>
    <w:uiPriority w:val="2"/>
    <w:qFormat/>
    <w:rsid w:val="006C2637"/>
    <w:pPr>
      <w:keepNext/>
      <w:keepLines/>
      <w:pageBreakBefore/>
      <w:spacing w:after="600" w:line="360" w:lineRule="auto"/>
      <w:ind w:hanging="709"/>
      <w:jc w:val="both"/>
    </w:pPr>
    <w:rPr>
      <w:rFonts w:asciiTheme="majorHAnsi" w:hAnsiTheme="majorHAnsi"/>
      <w:b/>
      <w:caps/>
      <w:sz w:val="28"/>
      <w:szCs w:val="20"/>
    </w:rPr>
  </w:style>
  <w:style w:type="paragraph" w:styleId="ListBullet2">
    <w:name w:val="List Bullet 2"/>
    <w:basedOn w:val="Normal"/>
    <w:qFormat/>
    <w:rsid w:val="006C2637"/>
    <w:pPr>
      <w:numPr>
        <w:numId w:val="28"/>
      </w:numPr>
      <w:spacing w:after="240" w:line="360" w:lineRule="auto"/>
      <w:ind w:left="641" w:hanging="357"/>
      <w:jc w:val="both"/>
    </w:pPr>
    <w:rPr>
      <w:rFonts w:asciiTheme="minorHAnsi" w:hAnsiTheme="minorHAnsi"/>
      <w:sz w:val="20"/>
      <w:szCs w:val="20"/>
    </w:rPr>
  </w:style>
  <w:style w:type="table" w:styleId="TableTheme">
    <w:name w:val="Table Theme"/>
    <w:basedOn w:val="TableNormal"/>
    <w:rsid w:val="0093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9E675F"/>
    <w:rPr>
      <w:rFonts w:ascii="Calibri" w:eastAsiaTheme="minorHAnsi" w:hAnsi="Calibri" w:cs="Calibri"/>
      <w:sz w:val="22"/>
      <w:szCs w:val="22"/>
    </w:rPr>
  </w:style>
  <w:style w:type="paragraph" w:customStyle="1" w:styleId="01Heading">
    <w:name w:val="01 Heading"/>
    <w:basedOn w:val="Normal"/>
    <w:qFormat/>
    <w:rsid w:val="00884DB3"/>
    <w:pPr>
      <w:spacing w:line="520" w:lineRule="exact"/>
    </w:pPr>
    <w:rPr>
      <w:rFonts w:ascii="Arial" w:eastAsiaTheme="minorEastAsia" w:hAnsi="Arial" w:cs="Arial"/>
      <w:color w:val="0093D5"/>
      <w:sz w:val="48"/>
      <w:szCs w:val="48"/>
      <w:lang w:eastAsia="ja-JP"/>
    </w:rPr>
  </w:style>
  <w:style w:type="paragraph" w:styleId="ListNumber">
    <w:name w:val="List Number"/>
    <w:basedOn w:val="Normal"/>
    <w:uiPriority w:val="1"/>
    <w:qFormat/>
    <w:rsid w:val="00884DB3"/>
    <w:pPr>
      <w:numPr>
        <w:numId w:val="29"/>
      </w:numPr>
      <w:spacing w:after="120" w:line="240" w:lineRule="atLeast"/>
    </w:pPr>
    <w:rPr>
      <w:rFonts w:asciiTheme="minorHAnsi" w:eastAsiaTheme="minorHAnsi" w:hAnsiTheme="minorHAnsi" w:cstheme="minorBidi"/>
      <w:kern w:val="18"/>
      <w:sz w:val="18"/>
      <w:szCs w:val="18"/>
      <w:lang w:eastAsia="en-US"/>
    </w:rPr>
  </w:style>
  <w:style w:type="paragraph" w:styleId="ListNumber2">
    <w:name w:val="List Number 2"/>
    <w:basedOn w:val="Normal"/>
    <w:uiPriority w:val="1"/>
    <w:qFormat/>
    <w:rsid w:val="00884DB3"/>
    <w:pPr>
      <w:numPr>
        <w:ilvl w:val="1"/>
        <w:numId w:val="29"/>
      </w:numPr>
      <w:spacing w:after="120" w:line="240" w:lineRule="atLeast"/>
    </w:pPr>
    <w:rPr>
      <w:rFonts w:asciiTheme="minorHAnsi" w:eastAsiaTheme="minorHAnsi" w:hAnsiTheme="minorHAnsi" w:cstheme="minorBidi"/>
      <w:kern w:val="18"/>
      <w:sz w:val="18"/>
      <w:szCs w:val="18"/>
      <w:lang w:eastAsia="en-US"/>
    </w:rPr>
  </w:style>
  <w:style w:type="paragraph" w:styleId="ListNumber3">
    <w:name w:val="List Number 3"/>
    <w:basedOn w:val="Normal"/>
    <w:uiPriority w:val="13"/>
    <w:qFormat/>
    <w:rsid w:val="00884DB3"/>
    <w:pPr>
      <w:numPr>
        <w:ilvl w:val="2"/>
        <w:numId w:val="29"/>
      </w:numPr>
      <w:spacing w:after="120" w:line="240" w:lineRule="atLeast"/>
    </w:pPr>
    <w:rPr>
      <w:rFonts w:asciiTheme="minorHAnsi" w:eastAsiaTheme="minorHAnsi" w:hAnsiTheme="minorHAnsi" w:cstheme="minorBidi"/>
      <w:kern w:val="18"/>
      <w:sz w:val="18"/>
      <w:szCs w:val="18"/>
      <w:lang w:eastAsia="en-US"/>
    </w:rPr>
  </w:style>
  <w:style w:type="character" w:styleId="UnresolvedMention">
    <w:name w:val="Unresolved Mention"/>
    <w:basedOn w:val="DefaultParagraphFont"/>
    <w:uiPriority w:val="99"/>
    <w:semiHidden/>
    <w:unhideWhenUsed/>
    <w:rsid w:val="00BA482C"/>
    <w:rPr>
      <w:color w:val="605E5C"/>
      <w:shd w:val="clear" w:color="auto" w:fill="E1DFDD"/>
    </w:rPr>
  </w:style>
  <w:style w:type="paragraph" w:customStyle="1" w:styleId="Reportlistnumbered">
    <w:name w:val="Report list numbered"/>
    <w:basedOn w:val="Normal"/>
    <w:link w:val="ReportlistnumberedCharChar"/>
    <w:rsid w:val="00B21374"/>
    <w:pPr>
      <w:tabs>
        <w:tab w:val="num" w:pos="643"/>
      </w:tabs>
      <w:ind w:left="643" w:hanging="360"/>
    </w:pPr>
  </w:style>
  <w:style w:type="character" w:customStyle="1" w:styleId="ReportlistnumberedCharChar">
    <w:name w:val="Report list numbered Char Char"/>
    <w:link w:val="Reportlistnumbered"/>
    <w:rsid w:val="00B21374"/>
    <w:rPr>
      <w:sz w:val="24"/>
      <w:szCs w:val="24"/>
    </w:rPr>
  </w:style>
  <w:style w:type="paragraph" w:customStyle="1" w:styleId="BodyTextfortables">
    <w:name w:val="Body Text_for tables"/>
    <w:basedOn w:val="BodyText"/>
    <w:uiPriority w:val="1"/>
    <w:rsid w:val="0007167E"/>
    <w:pPr>
      <w:spacing w:before="60" w:after="60" w:line="264" w:lineRule="auto"/>
    </w:pPr>
    <w:rPr>
      <w:rFonts w:asciiTheme="minorHAnsi" w:hAnsiTheme="minorHAnsi"/>
      <w:lang w:eastAsia="en-GB"/>
    </w:rPr>
  </w:style>
  <w:style w:type="paragraph" w:customStyle="1" w:styleId="Notes">
    <w:name w:val="Notes"/>
    <w:basedOn w:val="Normal"/>
    <w:next w:val="BodyText"/>
    <w:uiPriority w:val="6"/>
    <w:rsid w:val="0007167E"/>
    <w:pPr>
      <w:tabs>
        <w:tab w:val="left" w:pos="709"/>
      </w:tabs>
      <w:spacing w:before="60" w:after="240" w:line="480" w:lineRule="auto"/>
    </w:pPr>
    <w:rPr>
      <w:rFonts w:asciiTheme="minorHAnsi" w:hAnsiTheme="minorHAnsi"/>
      <w:color w:val="808080" w:themeColor="background1" w:themeShade="80"/>
      <w:sz w:val="18"/>
      <w:szCs w:val="18"/>
    </w:rPr>
  </w:style>
  <w:style w:type="paragraph" w:customStyle="1" w:styleId="NormalIndent">
    <w:name w:val="Normal_Indent"/>
    <w:basedOn w:val="Normal"/>
    <w:uiPriority w:val="7"/>
    <w:rsid w:val="0007167E"/>
    <w:pPr>
      <w:spacing w:after="360" w:line="360" w:lineRule="auto"/>
      <w:ind w:left="567" w:hanging="567"/>
      <w:jc w:val="both"/>
    </w:pPr>
    <w:rPr>
      <w:rFonts w:asciiTheme="minorHAnsi" w:hAnsiTheme="minorHAnsi"/>
      <w:sz w:val="20"/>
      <w:szCs w:val="20"/>
    </w:rPr>
  </w:style>
  <w:style w:type="paragraph" w:customStyle="1" w:styleId="Normalbeforebullet">
    <w:name w:val="Normal_before bullet"/>
    <w:basedOn w:val="Normal"/>
    <w:uiPriority w:val="7"/>
    <w:rsid w:val="0007167E"/>
    <w:pPr>
      <w:spacing w:after="120" w:line="360" w:lineRule="auto"/>
      <w:jc w:val="both"/>
    </w:pPr>
    <w:rPr>
      <w:rFonts w:asciiTheme="minorHAnsi" w:hAnsiTheme="minorHAnsi"/>
      <w:sz w:val="20"/>
      <w:szCs w:val="20"/>
    </w:rPr>
  </w:style>
  <w:style w:type="paragraph" w:customStyle="1" w:styleId="TOCtitle">
    <w:name w:val="TOC title"/>
    <w:basedOn w:val="Normal"/>
    <w:uiPriority w:val="9"/>
    <w:semiHidden/>
    <w:rsid w:val="0007167E"/>
    <w:pPr>
      <w:keepNext/>
      <w:keepLines/>
      <w:pageBreakBefore/>
      <w:spacing w:after="1440" w:line="360" w:lineRule="auto"/>
      <w:jc w:val="both"/>
    </w:pPr>
    <w:rPr>
      <w:rFonts w:asciiTheme="minorHAnsi" w:hAnsiTheme="minorHAnsi"/>
      <w:b/>
      <w:caps/>
      <w:color w:val="000000" w:themeColor="text1"/>
      <w:sz w:val="28"/>
      <w:szCs w:val="28"/>
    </w:rPr>
  </w:style>
  <w:style w:type="paragraph" w:customStyle="1" w:styleId="Clientlinktofooter">
    <w:name w:val="Client_link to footer"/>
    <w:basedOn w:val="Normal"/>
    <w:uiPriority w:val="5"/>
    <w:semiHidden/>
    <w:rsid w:val="0007167E"/>
    <w:pPr>
      <w:spacing w:after="360" w:line="360" w:lineRule="auto"/>
      <w:ind w:right="4005"/>
    </w:pPr>
    <w:rPr>
      <w:rFonts w:asciiTheme="minorHAnsi" w:hAnsiTheme="minorHAnsi"/>
      <w:szCs w:val="20"/>
    </w:rPr>
  </w:style>
  <w:style w:type="paragraph" w:customStyle="1" w:styleId="Datelinktofooter">
    <w:name w:val="Date_link to footer"/>
    <w:basedOn w:val="Normal"/>
    <w:uiPriority w:val="5"/>
    <w:semiHidden/>
    <w:rsid w:val="0007167E"/>
    <w:pPr>
      <w:spacing w:after="360" w:line="360" w:lineRule="auto"/>
      <w:jc w:val="both"/>
    </w:pPr>
    <w:rPr>
      <w:rFonts w:asciiTheme="minorHAnsi" w:hAnsiTheme="minorHAnsi"/>
      <w:szCs w:val="28"/>
    </w:rPr>
  </w:style>
  <w:style w:type="paragraph" w:customStyle="1" w:styleId="Contactdetails">
    <w:name w:val="Contact details"/>
    <w:basedOn w:val="Normal"/>
    <w:uiPriority w:val="5"/>
    <w:semiHidden/>
    <w:rsid w:val="0007167E"/>
    <w:pPr>
      <w:spacing w:line="288" w:lineRule="auto"/>
      <w:jc w:val="both"/>
    </w:pPr>
    <w:rPr>
      <w:rFonts w:asciiTheme="minorHAnsi" w:hAnsiTheme="minorHAnsi"/>
      <w:sz w:val="18"/>
      <w:szCs w:val="20"/>
    </w:rPr>
  </w:style>
  <w:style w:type="table" w:customStyle="1" w:styleId="ICENITABLES">
    <w:name w:val="¬ICENI TABLES"/>
    <w:basedOn w:val="TableNormal"/>
    <w:uiPriority w:val="99"/>
    <w:rsid w:val="0007167E"/>
    <w:pPr>
      <w:jc w:val="center"/>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rPr>
      <w:cantSplit/>
    </w:trPr>
    <w:tcPr>
      <w:shd w:val="clear" w:color="auto" w:fill="FFFFFF" w:themeFill="background1"/>
    </w:tcPr>
    <w:tblStylePr w:type="firstRow">
      <w:tblPr/>
      <w:tcPr>
        <w:tcBorders>
          <w:bottom w:val="single" w:sz="4" w:space="0" w:color="000000" w:themeColor="text1"/>
        </w:tcBorders>
        <w:shd w:val="clear" w:color="auto" w:fill="F2F2F2" w:themeFill="background1" w:themeFillShade="F2"/>
      </w:tcPr>
    </w:tblStylePr>
    <w:tblStylePr w:type="firstCol">
      <w:pPr>
        <w:wordWrap/>
        <w:jc w:val="left"/>
      </w:pPr>
    </w:tblStylePr>
  </w:style>
  <w:style w:type="character" w:customStyle="1" w:styleId="Bold">
    <w:name w:val="Bold"/>
    <w:basedOn w:val="DefaultParagraphFont"/>
    <w:semiHidden/>
    <w:rsid w:val="0007167E"/>
    <w:rPr>
      <w:b/>
    </w:rPr>
  </w:style>
  <w:style w:type="paragraph" w:customStyle="1" w:styleId="Sidebartext1">
    <w:name w:val="Sidebar text1"/>
    <w:basedOn w:val="Normal"/>
    <w:uiPriority w:val="5"/>
    <w:semiHidden/>
    <w:rsid w:val="0007167E"/>
    <w:pPr>
      <w:ind w:left="113" w:right="113"/>
      <w:jc w:val="both"/>
    </w:pPr>
    <w:rPr>
      <w:rFonts w:asciiTheme="minorHAnsi" w:hAnsiTheme="minorHAnsi"/>
      <w:caps/>
      <w:color w:val="1E1C5B"/>
      <w:sz w:val="20"/>
      <w:szCs w:val="20"/>
    </w:rPr>
  </w:style>
  <w:style w:type="paragraph" w:customStyle="1" w:styleId="Normalwhite">
    <w:name w:val="Normal_white"/>
    <w:basedOn w:val="Normal"/>
    <w:uiPriority w:val="7"/>
    <w:rsid w:val="0007167E"/>
    <w:pPr>
      <w:spacing w:after="360" w:line="360" w:lineRule="auto"/>
      <w:jc w:val="both"/>
    </w:pPr>
    <w:rPr>
      <w:rFonts w:asciiTheme="minorHAnsi" w:hAnsiTheme="minorHAnsi"/>
      <w:color w:val="FFFFFF" w:themeColor="background1"/>
      <w:sz w:val="20"/>
      <w:szCs w:val="20"/>
    </w:rPr>
  </w:style>
  <w:style w:type="paragraph" w:customStyle="1" w:styleId="Pull-outheading">
    <w:name w:val="Pull-out heading"/>
    <w:basedOn w:val="Normal"/>
    <w:next w:val="Normal"/>
    <w:uiPriority w:val="7"/>
    <w:rsid w:val="0007167E"/>
    <w:pPr>
      <w:spacing w:before="180" w:after="360" w:line="360" w:lineRule="auto"/>
      <w:jc w:val="both"/>
    </w:pPr>
    <w:rPr>
      <w:rFonts w:asciiTheme="minorHAnsi" w:hAnsiTheme="minorHAnsi"/>
      <w:b/>
      <w:sz w:val="20"/>
      <w:szCs w:val="20"/>
    </w:rPr>
  </w:style>
  <w:style w:type="paragraph" w:customStyle="1" w:styleId="Pull-outheadingwhite">
    <w:name w:val="Pull-out heading_white"/>
    <w:basedOn w:val="Pull-outheading"/>
    <w:next w:val="Normalwhite"/>
    <w:uiPriority w:val="7"/>
    <w:rsid w:val="0007167E"/>
    <w:rPr>
      <w:color w:val="FFFFFF" w:themeColor="background1"/>
    </w:rPr>
  </w:style>
  <w:style w:type="paragraph" w:customStyle="1" w:styleId="Logo">
    <w:name w:val="Logo"/>
    <w:basedOn w:val="Normal"/>
    <w:uiPriority w:val="7"/>
    <w:semiHidden/>
    <w:rsid w:val="0007167E"/>
    <w:pPr>
      <w:spacing w:before="720"/>
      <w:jc w:val="both"/>
    </w:pPr>
    <w:rPr>
      <w:rFonts w:asciiTheme="minorHAnsi" w:hAnsiTheme="minorHAnsi"/>
      <w:noProof/>
      <w:sz w:val="20"/>
      <w:szCs w:val="20"/>
    </w:rPr>
  </w:style>
  <w:style w:type="paragraph" w:customStyle="1" w:styleId="Sidebartext2">
    <w:name w:val="Sidebar text2"/>
    <w:basedOn w:val="Sidebartext1"/>
    <w:uiPriority w:val="5"/>
    <w:semiHidden/>
    <w:rsid w:val="0007167E"/>
    <w:rPr>
      <w:b/>
      <w:caps w:val="0"/>
      <w:sz w:val="28"/>
    </w:rPr>
  </w:style>
  <w:style w:type="paragraph" w:customStyle="1" w:styleId="Sub-title">
    <w:name w:val="Sub-title"/>
    <w:basedOn w:val="Subtitle"/>
    <w:uiPriority w:val="4"/>
    <w:semiHidden/>
    <w:rsid w:val="0007167E"/>
    <w:pPr>
      <w:numPr>
        <w:ilvl w:val="0"/>
      </w:numPr>
      <w:spacing w:after="0" w:line="240" w:lineRule="auto"/>
    </w:pPr>
    <w:rPr>
      <w:rFonts w:asciiTheme="minorHAnsi" w:eastAsia="Times New Roman" w:hAnsiTheme="minorHAnsi" w:cs="Times New Roman"/>
      <w:i w:val="0"/>
      <w:iCs w:val="0"/>
      <w:color w:val="auto"/>
      <w:spacing w:val="0"/>
      <w:sz w:val="32"/>
      <w:szCs w:val="32"/>
      <w:lang w:eastAsia="en-GB"/>
    </w:rPr>
  </w:style>
  <w:style w:type="paragraph" w:customStyle="1" w:styleId="Contents">
    <w:name w:val="Contents"/>
    <w:basedOn w:val="TOCtitle"/>
    <w:uiPriority w:val="7"/>
    <w:rsid w:val="0007167E"/>
  </w:style>
  <w:style w:type="character" w:styleId="SubtleReference">
    <w:name w:val="Subtle Reference"/>
    <w:basedOn w:val="DefaultParagraphFont"/>
    <w:uiPriority w:val="99"/>
    <w:qFormat/>
    <w:rsid w:val="0007167E"/>
    <w:rPr>
      <w:smallCaps/>
      <w:color w:val="5A5A5A" w:themeColor="text1" w:themeTint="A5"/>
    </w:rPr>
  </w:style>
  <w:style w:type="paragraph" w:customStyle="1" w:styleId="ChilmarkNumberedText">
    <w:name w:val="Chilmark Numbered Text"/>
    <w:basedOn w:val="Normal"/>
    <w:rsid w:val="0007167E"/>
    <w:pPr>
      <w:numPr>
        <w:ilvl w:val="1"/>
        <w:numId w:val="34"/>
      </w:numPr>
      <w:spacing w:before="120" w:after="120"/>
      <w:jc w:val="both"/>
    </w:pPr>
    <w:rPr>
      <w:rFonts w:ascii="Helvetica Neue" w:hAnsi="Helvetica Neue"/>
      <w:bCs/>
      <w:sz w:val="22"/>
      <w:szCs w:val="22"/>
      <w:lang w:eastAsia="en-US"/>
    </w:rPr>
  </w:style>
  <w:style w:type="paragraph" w:customStyle="1" w:styleId="ChilmarkHeader1">
    <w:name w:val="Chilmark Header 1"/>
    <w:basedOn w:val="Heading1"/>
    <w:next w:val="Normal"/>
    <w:rsid w:val="0007167E"/>
    <w:pPr>
      <w:keepLines/>
      <w:numPr>
        <w:numId w:val="34"/>
      </w:numPr>
      <w:spacing w:before="480" w:after="0"/>
    </w:pPr>
    <w:rPr>
      <w:rFonts w:ascii="Helvetica Neue" w:eastAsiaTheme="majorEastAsia" w:hAnsi="Helvetica Neue" w:cstheme="majorBidi"/>
      <w:color w:val="DB004C"/>
      <w:kern w:val="0"/>
      <w:sz w:val="36"/>
      <w:szCs w:val="36"/>
      <w:lang w:val="en-US" w:eastAsia="en-US"/>
    </w:rPr>
  </w:style>
  <w:style w:type="table" w:customStyle="1" w:styleId="TableGrid1">
    <w:name w:val="Table Grid1"/>
    <w:basedOn w:val="TableNormal"/>
    <w:next w:val="TableGrid"/>
    <w:uiPriority w:val="39"/>
    <w:rsid w:val="000716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07167E"/>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2">
    <w:name w:val="Plain Table 2"/>
    <w:basedOn w:val="TableNormal"/>
    <w:uiPriority w:val="42"/>
    <w:rsid w:val="000716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asicParagraph">
    <w:name w:val="[Basic Paragraph]"/>
    <w:basedOn w:val="Normal"/>
    <w:locked/>
    <w:rsid w:val="00CC789D"/>
    <w:pPr>
      <w:widowControl w:val="0"/>
      <w:autoSpaceDE w:val="0"/>
      <w:autoSpaceDN w:val="0"/>
      <w:adjustRightInd w:val="0"/>
      <w:spacing w:line="288" w:lineRule="auto"/>
      <w:textAlignment w:val="center"/>
    </w:pPr>
    <w:rPr>
      <w:rFonts w:ascii="Times-Roman" w:eastAsiaTheme="minorEastAsia" w:hAnsi="Times-Roman" w:cs="Times-Roman"/>
      <w:color w:val="000000"/>
      <w:sz w:val="20"/>
      <w:szCs w:val="20"/>
      <w:lang w:eastAsia="ja-JP"/>
    </w:rPr>
  </w:style>
  <w:style w:type="paragraph" w:customStyle="1" w:styleId="Mainheading">
    <w:name w:val="Main heading"/>
    <w:basedOn w:val="NoParagraphStyle"/>
    <w:semiHidden/>
    <w:locked/>
    <w:rsid w:val="00CC789D"/>
    <w:pPr>
      <w:tabs>
        <w:tab w:val="left" w:pos="794"/>
      </w:tabs>
      <w:suppressAutoHyphens/>
      <w:spacing w:line="300" w:lineRule="atLeast"/>
    </w:pPr>
    <w:rPr>
      <w:rFonts w:ascii="Arial-BoldMT" w:hAnsi="Arial-BoldMT" w:cs="Arial-BoldMT"/>
      <w:b/>
      <w:bCs/>
    </w:rPr>
  </w:style>
  <w:style w:type="paragraph" w:customStyle="1" w:styleId="Largespaceabove">
    <w:name w:val="Large space above"/>
    <w:basedOn w:val="BodyText1"/>
    <w:semiHidden/>
    <w:qFormat/>
    <w:rsid w:val="00CC789D"/>
    <w:pPr>
      <w:autoSpaceDE/>
      <w:autoSpaceDN/>
      <w:adjustRightInd/>
      <w:spacing w:before="2000" w:after="0" w:line="360" w:lineRule="auto"/>
      <w:jc w:val="both"/>
    </w:pPr>
    <w:rPr>
      <w:rFonts w:eastAsiaTheme="minorEastAsia"/>
      <w:color w:val="000000" w:themeColor="text1"/>
      <w:spacing w:val="0"/>
      <w:szCs w:val="18"/>
      <w:lang w:eastAsia="ja-JP"/>
    </w:rPr>
  </w:style>
  <w:style w:type="paragraph" w:styleId="TOCHeading">
    <w:name w:val="TOC Heading"/>
    <w:basedOn w:val="Heading1"/>
    <w:next w:val="Normal"/>
    <w:unhideWhenUsed/>
    <w:qFormat/>
    <w:rsid w:val="00CC789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table" w:customStyle="1" w:styleId="GLHearntable2">
    <w:name w:val="GL Hearn table 2"/>
    <w:basedOn w:val="GLHearntable1"/>
    <w:uiPriority w:val="99"/>
    <w:rsid w:val="00CC789D"/>
    <w:rPr>
      <w:rFonts w:eastAsiaTheme="minorEastAsia"/>
      <w:color w:val="000000" w:themeColor="text1"/>
    </w:rPr>
    <w:tblPr>
      <w:tblBorders>
        <w:top w:val="single" w:sz="2" w:space="0" w:color="1C1C1C"/>
        <w:left w:val="single" w:sz="2" w:space="0" w:color="1C1C1C"/>
        <w:bottom w:val="single" w:sz="2" w:space="0" w:color="1C1C1C"/>
        <w:right w:val="single" w:sz="2" w:space="0" w:color="1C1C1C"/>
        <w:insideH w:val="single" w:sz="2" w:space="0" w:color="1C1C1C"/>
        <w:insideV w:val="single" w:sz="2" w:space="0" w:color="1C1C1C"/>
      </w:tblBorders>
    </w:tblPr>
    <w:tcPr>
      <w:shd w:val="clear" w:color="auto" w:fill="auto"/>
    </w:tcPr>
    <w:tblStylePr w:type="firstRow">
      <w:pPr>
        <w:jc w:val="left"/>
      </w:pPr>
      <w:rPr>
        <w:rFonts w:ascii="Arial" w:hAnsi="Arial"/>
        <w:b/>
        <w:color w:val="FFFFFF" w:themeColor="background1"/>
        <w:sz w:val="20"/>
        <w:u w:val="none"/>
      </w:rPr>
      <w:tblPr/>
      <w:tcPr>
        <w:shd w:val="clear" w:color="auto" w:fill="4D4D4D"/>
        <w:vAlign w:val="center"/>
      </w:tcPr>
    </w:tblStylePr>
    <w:tblStylePr w:type="lastRow">
      <w:rPr>
        <w:rFonts w:ascii="Arial" w:hAnsi="Arial"/>
        <w:b/>
        <w:sz w:val="18"/>
      </w:rPr>
      <w:tblPr/>
      <w:tcPr>
        <w:shd w:val="clear" w:color="auto" w:fill="B2B2B2"/>
      </w:tcPr>
    </w:tblStylePr>
    <w:tblStylePr w:type="firstCol">
      <w:rPr>
        <w:rFonts w:ascii="Arial" w:hAnsi="Arial"/>
        <w:b/>
        <w:i w:val="0"/>
        <w:color w:val="000000" w:themeColor="text1"/>
        <w:sz w:val="18"/>
      </w:rPr>
    </w:tblStylePr>
    <w:tblStylePr w:type="band2Horz">
      <w:tblPr/>
      <w:tcPr>
        <w:shd w:val="clear" w:color="auto" w:fill="ACB9CA" w:themeFill="text2" w:themeFillTint="66"/>
      </w:tcPr>
    </w:tblStylePr>
  </w:style>
  <w:style w:type="paragraph" w:customStyle="1" w:styleId="Pa0">
    <w:name w:val="Pa0"/>
    <w:basedOn w:val="Normal"/>
    <w:next w:val="Normal"/>
    <w:uiPriority w:val="99"/>
    <w:semiHidden/>
    <w:rsid w:val="00CC789D"/>
    <w:pPr>
      <w:widowControl w:val="0"/>
      <w:autoSpaceDE w:val="0"/>
      <w:autoSpaceDN w:val="0"/>
      <w:adjustRightInd w:val="0"/>
      <w:spacing w:line="241" w:lineRule="atLeast"/>
    </w:pPr>
    <w:rPr>
      <w:rFonts w:ascii="Arial" w:eastAsiaTheme="minorEastAsia" w:hAnsi="Arial"/>
      <w:color w:val="000000" w:themeColor="text1"/>
      <w:lang w:eastAsia="ja-JP"/>
    </w:rPr>
  </w:style>
  <w:style w:type="paragraph" w:customStyle="1" w:styleId="Pa2">
    <w:name w:val="Pa2"/>
    <w:basedOn w:val="Normal"/>
    <w:next w:val="Normal"/>
    <w:uiPriority w:val="99"/>
    <w:semiHidden/>
    <w:rsid w:val="00CC789D"/>
    <w:pPr>
      <w:widowControl w:val="0"/>
      <w:autoSpaceDE w:val="0"/>
      <w:autoSpaceDN w:val="0"/>
      <w:adjustRightInd w:val="0"/>
      <w:spacing w:line="181" w:lineRule="atLeast"/>
    </w:pPr>
    <w:rPr>
      <w:rFonts w:ascii="Arial" w:eastAsiaTheme="minorEastAsia" w:hAnsi="Arial"/>
      <w:color w:val="000000" w:themeColor="text1"/>
      <w:lang w:eastAsia="ja-JP"/>
    </w:rPr>
  </w:style>
  <w:style w:type="paragraph" w:customStyle="1" w:styleId="Pa3">
    <w:name w:val="Pa3"/>
    <w:basedOn w:val="Normal"/>
    <w:next w:val="Normal"/>
    <w:uiPriority w:val="99"/>
    <w:semiHidden/>
    <w:rsid w:val="00CC789D"/>
    <w:pPr>
      <w:widowControl w:val="0"/>
      <w:autoSpaceDE w:val="0"/>
      <w:autoSpaceDN w:val="0"/>
      <w:adjustRightInd w:val="0"/>
      <w:spacing w:line="201" w:lineRule="atLeast"/>
    </w:pPr>
    <w:rPr>
      <w:rFonts w:ascii="Arial" w:eastAsiaTheme="minorEastAsia" w:hAnsi="Arial"/>
      <w:color w:val="000000" w:themeColor="text1"/>
      <w:lang w:eastAsia="ja-JP"/>
    </w:rPr>
  </w:style>
  <w:style w:type="character" w:styleId="PlaceholderText">
    <w:name w:val="Placeholder Text"/>
    <w:basedOn w:val="DefaultParagraphFont"/>
    <w:uiPriority w:val="99"/>
    <w:semiHidden/>
    <w:rsid w:val="00CC789D"/>
    <w:rPr>
      <w:color w:val="808080"/>
    </w:rPr>
  </w:style>
  <w:style w:type="paragraph" w:customStyle="1" w:styleId="boldtype">
    <w:name w:val="boldtype"/>
    <w:basedOn w:val="Normal"/>
    <w:rsid w:val="00CC789D"/>
    <w:pPr>
      <w:spacing w:before="100" w:beforeAutospacing="1" w:after="100" w:afterAutospacing="1"/>
    </w:pPr>
    <w:rPr>
      <w:rFonts w:ascii="Arial" w:hAnsi="Arial" w:cs="Arial"/>
      <w:b/>
      <w:bCs/>
      <w:color w:val="000000"/>
      <w:sz w:val="22"/>
      <w:szCs w:val="22"/>
    </w:rPr>
  </w:style>
  <w:style w:type="table" w:styleId="LightShading-Accent6">
    <w:name w:val="Light Shading Accent 6"/>
    <w:basedOn w:val="TableNormal"/>
    <w:rsid w:val="00CC789D"/>
    <w:rPr>
      <w:rFonts w:ascii="Arial" w:eastAsiaTheme="minorEastAsia" w:hAnsi="Arial" w:cs="Arial"/>
      <w:color w:val="538135" w:themeColor="accent6" w:themeShade="BF"/>
      <w:lang w:val="en-US" w:eastAsia="ja-JP"/>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1">
    <w:name w:val="Light List Accent 1"/>
    <w:basedOn w:val="TableNormal"/>
    <w:uiPriority w:val="61"/>
    <w:rsid w:val="00CC789D"/>
    <w:rPr>
      <w:rFonts w:ascii="Arial" w:eastAsiaTheme="minorEastAsia" w:hAnsi="Arial" w:cs="Arial"/>
      <w:color w:val="000000" w:themeColor="text1"/>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
    <w:name w:val="Light List"/>
    <w:basedOn w:val="TableNormal"/>
    <w:uiPriority w:val="61"/>
    <w:rsid w:val="00CC789D"/>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4">
    <w:name w:val="Light Shading Accent 4"/>
    <w:basedOn w:val="TableNormal"/>
    <w:uiPriority w:val="60"/>
    <w:rsid w:val="00CC789D"/>
    <w:rPr>
      <w:rFonts w:ascii="Arial" w:eastAsiaTheme="minorEastAsia" w:hAnsi="Arial" w:cs="Arial"/>
      <w:color w:val="BF8F00" w:themeColor="accent4" w:themeShade="BF"/>
      <w:lang w:val="en-US" w:eastAsia="ja-JP"/>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caption10">
    <w:name w:val="caption1"/>
    <w:basedOn w:val="Normal"/>
    <w:rsid w:val="00CC789D"/>
    <w:pPr>
      <w:spacing w:after="240" w:line="319" w:lineRule="atLeast"/>
    </w:pPr>
    <w:rPr>
      <w:color w:val="666666"/>
      <w:sz w:val="22"/>
      <w:szCs w:val="22"/>
    </w:rPr>
  </w:style>
  <w:style w:type="table" w:styleId="LightShading">
    <w:name w:val="Light Shading"/>
    <w:basedOn w:val="TableNormal"/>
    <w:uiPriority w:val="60"/>
    <w:rsid w:val="00CC789D"/>
    <w:rPr>
      <w:rFonts w:ascii="Arial" w:eastAsiaTheme="minorEastAsia" w:hAnsi="Arial" w:cs="Arial"/>
      <w:color w:val="000000" w:themeColor="text1" w:themeShade="BF"/>
      <w:lang w:val="en-US"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unhideWhenUsed/>
    <w:rsid w:val="00CC789D"/>
    <w:rPr>
      <w:color w:val="800080"/>
      <w:u w:val="single"/>
    </w:rPr>
  </w:style>
  <w:style w:type="character" w:customStyle="1" w:styleId="Heading2Char2">
    <w:name w:val="Heading 2 Char2"/>
    <w:aliases w:val="F7 Sub Heading Char3,Main Heading Char3,Main Headi Char3,Heading 2a Char3,Sub Heading Char3,Numbered - 2 Char3,do not use Char3,h2 Char3,2 Char3,Titre 2 Char3,l2 Char3,list + change bar Char3,??? Char3,h21 Char3,ASection Char3,ash Char3"/>
    <w:semiHidden/>
    <w:locked/>
    <w:rsid w:val="00CC789D"/>
    <w:rPr>
      <w:rFonts w:ascii="Times New Roman" w:eastAsia="Times New Roman" w:hAnsi="Times New Roman"/>
      <w:b/>
      <w:bCs/>
      <w:i/>
      <w:iCs/>
      <w:color w:val="auto"/>
      <w:sz w:val="28"/>
      <w:szCs w:val="28"/>
      <w:lang w:val="en-GB" w:eastAsia="en-GB"/>
    </w:rPr>
  </w:style>
  <w:style w:type="paragraph" w:styleId="Index1">
    <w:name w:val="index 1"/>
    <w:basedOn w:val="Normal"/>
    <w:next w:val="Normal"/>
    <w:autoRedefine/>
    <w:semiHidden/>
    <w:unhideWhenUsed/>
    <w:rsid w:val="00CC789D"/>
    <w:pPr>
      <w:spacing w:line="300" w:lineRule="auto"/>
      <w:ind w:left="240" w:hanging="240"/>
    </w:pPr>
    <w:rPr>
      <w:sz w:val="22"/>
    </w:rPr>
  </w:style>
  <w:style w:type="paragraph" w:styleId="NormalIndent0">
    <w:name w:val="Normal Indent"/>
    <w:basedOn w:val="Normal"/>
    <w:next w:val="Normal"/>
    <w:unhideWhenUsed/>
    <w:rsid w:val="00CC789D"/>
    <w:pPr>
      <w:ind w:left="720"/>
      <w:jc w:val="both"/>
    </w:pPr>
    <w:rPr>
      <w:rFonts w:ascii="Book Antiqua" w:hAnsi="Book Antiqua"/>
      <w:color w:val="000000"/>
      <w:kern w:val="20"/>
      <w:szCs w:val="22"/>
    </w:rPr>
  </w:style>
  <w:style w:type="paragraph" w:styleId="IndexHeading">
    <w:name w:val="index heading"/>
    <w:basedOn w:val="Normal"/>
    <w:next w:val="Index1"/>
    <w:semiHidden/>
    <w:unhideWhenUsed/>
    <w:rsid w:val="00CC789D"/>
    <w:rPr>
      <w:color w:val="000000"/>
      <w:sz w:val="22"/>
      <w:szCs w:val="20"/>
    </w:rPr>
  </w:style>
  <w:style w:type="paragraph" w:styleId="EndnoteText">
    <w:name w:val="endnote text"/>
    <w:basedOn w:val="Normal"/>
    <w:link w:val="EndnoteTextChar"/>
    <w:unhideWhenUsed/>
    <w:rsid w:val="00CC789D"/>
    <w:rPr>
      <w:sz w:val="20"/>
      <w:szCs w:val="20"/>
    </w:rPr>
  </w:style>
  <w:style w:type="character" w:customStyle="1" w:styleId="EndnoteTextChar">
    <w:name w:val="Endnote Text Char"/>
    <w:basedOn w:val="DefaultParagraphFont"/>
    <w:link w:val="EndnoteText"/>
    <w:rsid w:val="00CC789D"/>
  </w:style>
  <w:style w:type="paragraph" w:styleId="List2">
    <w:name w:val="List 2"/>
    <w:basedOn w:val="Normal"/>
    <w:unhideWhenUsed/>
    <w:rsid w:val="00CC789D"/>
    <w:pPr>
      <w:ind w:left="566" w:hanging="283"/>
    </w:pPr>
  </w:style>
  <w:style w:type="paragraph" w:styleId="ListBullet3">
    <w:name w:val="List Bullet 3"/>
    <w:basedOn w:val="Normal"/>
    <w:autoRedefine/>
    <w:unhideWhenUsed/>
    <w:rsid w:val="00CC789D"/>
    <w:pPr>
      <w:tabs>
        <w:tab w:val="num" w:pos="1078"/>
      </w:tabs>
      <w:ind w:left="1077" w:hanging="283"/>
      <w:jc w:val="both"/>
    </w:pPr>
    <w:rPr>
      <w:rFonts w:ascii="Book Antiqua" w:hAnsi="Book Antiqua"/>
      <w:kern w:val="20"/>
      <w:szCs w:val="20"/>
    </w:rPr>
  </w:style>
  <w:style w:type="character" w:customStyle="1" w:styleId="BodyTextChar1">
    <w:name w:val="Body Text Char1"/>
    <w:aliases w:val="F4 Main Text Char1,Bulline Char1,Body Text2 Char1"/>
    <w:basedOn w:val="DefaultParagraphFont"/>
    <w:semiHidden/>
    <w:rsid w:val="00CC789D"/>
    <w:rPr>
      <w:lang w:val="en-GB"/>
    </w:rPr>
  </w:style>
  <w:style w:type="paragraph" w:styleId="Date">
    <w:name w:val="Date"/>
    <w:basedOn w:val="Normal"/>
    <w:next w:val="Normal"/>
    <w:link w:val="DateChar"/>
    <w:unhideWhenUsed/>
    <w:rsid w:val="00CC789D"/>
  </w:style>
  <w:style w:type="character" w:customStyle="1" w:styleId="DateChar">
    <w:name w:val="Date Char"/>
    <w:basedOn w:val="DefaultParagraphFont"/>
    <w:link w:val="Date"/>
    <w:rsid w:val="00CC789D"/>
    <w:rPr>
      <w:sz w:val="24"/>
      <w:szCs w:val="24"/>
    </w:rPr>
  </w:style>
  <w:style w:type="paragraph" w:styleId="BodyTextFirstIndent2">
    <w:name w:val="Body Text First Indent 2"/>
    <w:basedOn w:val="BodyTextIndent"/>
    <w:link w:val="BodyTextFirstIndent2Char"/>
    <w:unhideWhenUsed/>
    <w:rsid w:val="00CC789D"/>
    <w:pPr>
      <w:spacing w:line="300" w:lineRule="auto"/>
      <w:ind w:firstLine="210"/>
    </w:pPr>
    <w:rPr>
      <w:rFonts w:ascii="Arial" w:hAnsi="Arial"/>
      <w:sz w:val="22"/>
    </w:rPr>
  </w:style>
  <w:style w:type="character" w:customStyle="1" w:styleId="BodyTextFirstIndent2Char">
    <w:name w:val="Body Text First Indent 2 Char"/>
    <w:basedOn w:val="BodyTextIndentChar"/>
    <w:link w:val="BodyTextFirstIndent2"/>
    <w:rsid w:val="00CC789D"/>
    <w:rPr>
      <w:rFonts w:ascii="Arial" w:hAnsi="Arial"/>
      <w:sz w:val="22"/>
      <w:szCs w:val="24"/>
    </w:rPr>
  </w:style>
  <w:style w:type="paragraph" w:styleId="BodyText3">
    <w:name w:val="Body Text 3"/>
    <w:basedOn w:val="Normal"/>
    <w:link w:val="BodyText3Char"/>
    <w:unhideWhenUsed/>
    <w:rsid w:val="00CC789D"/>
  </w:style>
  <w:style w:type="character" w:customStyle="1" w:styleId="BodyText3Char">
    <w:name w:val="Body Text 3 Char"/>
    <w:basedOn w:val="DefaultParagraphFont"/>
    <w:link w:val="BodyText3"/>
    <w:rsid w:val="00CC789D"/>
    <w:rPr>
      <w:sz w:val="24"/>
      <w:szCs w:val="24"/>
    </w:rPr>
  </w:style>
  <w:style w:type="paragraph" w:styleId="BodyTextIndent2">
    <w:name w:val="Body Text Indent 2"/>
    <w:basedOn w:val="Normal"/>
    <w:link w:val="BodyTextIndent2Char"/>
    <w:unhideWhenUsed/>
    <w:rsid w:val="00CC789D"/>
    <w:pPr>
      <w:ind w:left="794" w:hanging="397"/>
    </w:pPr>
  </w:style>
  <w:style w:type="character" w:customStyle="1" w:styleId="BodyTextIndent2Char">
    <w:name w:val="Body Text Indent 2 Char"/>
    <w:basedOn w:val="DefaultParagraphFont"/>
    <w:link w:val="BodyTextIndent2"/>
    <w:rsid w:val="00CC789D"/>
    <w:rPr>
      <w:sz w:val="24"/>
      <w:szCs w:val="24"/>
    </w:rPr>
  </w:style>
  <w:style w:type="paragraph" w:styleId="BlockText">
    <w:name w:val="Block Text"/>
    <w:basedOn w:val="Normal"/>
    <w:unhideWhenUsed/>
    <w:rsid w:val="00CC789D"/>
    <w:pPr>
      <w:spacing w:line="300" w:lineRule="auto"/>
      <w:ind w:left="397" w:right="397"/>
    </w:pPr>
    <w:rPr>
      <w:i/>
      <w:iCs/>
      <w:sz w:val="22"/>
    </w:rPr>
  </w:style>
  <w:style w:type="paragraph" w:styleId="DocumentMap">
    <w:name w:val="Document Map"/>
    <w:basedOn w:val="Normal"/>
    <w:link w:val="DocumentMapChar"/>
    <w:semiHidden/>
    <w:unhideWhenUsed/>
    <w:rsid w:val="00CC789D"/>
    <w:pPr>
      <w:shd w:val="clear" w:color="auto" w:fill="000080"/>
      <w:spacing w:line="300" w:lineRule="auto"/>
    </w:pPr>
    <w:rPr>
      <w:rFonts w:ascii="Tahoma" w:hAnsi="Tahoma"/>
      <w:sz w:val="22"/>
    </w:rPr>
  </w:style>
  <w:style w:type="character" w:customStyle="1" w:styleId="DocumentMapChar">
    <w:name w:val="Document Map Char"/>
    <w:basedOn w:val="DefaultParagraphFont"/>
    <w:link w:val="DocumentMap"/>
    <w:semiHidden/>
    <w:rsid w:val="00CC789D"/>
    <w:rPr>
      <w:rFonts w:ascii="Tahoma" w:hAnsi="Tahoma"/>
      <w:sz w:val="22"/>
      <w:szCs w:val="24"/>
      <w:shd w:val="clear" w:color="auto" w:fill="000080"/>
    </w:rPr>
  </w:style>
  <w:style w:type="character" w:customStyle="1" w:styleId="ReportTextChar1">
    <w:name w:val="Report Text Char1"/>
    <w:link w:val="ReportText"/>
    <w:locked/>
    <w:rsid w:val="00CC789D"/>
    <w:rPr>
      <w:sz w:val="24"/>
      <w:szCs w:val="24"/>
    </w:rPr>
  </w:style>
  <w:style w:type="character" w:customStyle="1" w:styleId="ReportTableHeadingChar1">
    <w:name w:val="Report Table Heading Char1"/>
    <w:link w:val="ReportTableHeading"/>
    <w:locked/>
    <w:rsid w:val="00CC789D"/>
    <w:rPr>
      <w:b/>
      <w:sz w:val="24"/>
      <w:szCs w:val="22"/>
      <w:shd w:val="clear" w:color="auto" w:fill="FF9900"/>
    </w:rPr>
  </w:style>
  <w:style w:type="paragraph" w:customStyle="1" w:styleId="ReportTableHeading">
    <w:name w:val="Report Table Heading"/>
    <w:basedOn w:val="Normal"/>
    <w:link w:val="ReportTableHeadingChar1"/>
    <w:rsid w:val="00CC789D"/>
    <w:pPr>
      <w:keepNext/>
      <w:keepLines/>
      <w:pBdr>
        <w:bottom w:val="single" w:sz="4" w:space="3" w:color="FF9900"/>
      </w:pBdr>
      <w:shd w:val="clear" w:color="auto" w:fill="FF9900"/>
      <w:jc w:val="center"/>
    </w:pPr>
    <w:rPr>
      <w:b/>
      <w:szCs w:val="22"/>
    </w:rPr>
  </w:style>
  <w:style w:type="paragraph" w:customStyle="1" w:styleId="ReportBulletList0">
    <w:name w:val="Report Bullet List"/>
    <w:basedOn w:val="Normal"/>
    <w:rsid w:val="00CC789D"/>
    <w:pPr>
      <w:tabs>
        <w:tab w:val="num" w:pos="1078"/>
        <w:tab w:val="num" w:pos="1260"/>
      </w:tabs>
      <w:ind w:left="1260" w:hanging="448"/>
    </w:pPr>
    <w:rPr>
      <w:rFonts w:ascii="Arial" w:hAnsi="Arial" w:cs="Arial"/>
    </w:rPr>
  </w:style>
  <w:style w:type="character" w:customStyle="1" w:styleId="ReportTablebodyChar">
    <w:name w:val="Report Table body Char"/>
    <w:link w:val="ReportTablebody"/>
    <w:locked/>
    <w:rsid w:val="00CC789D"/>
  </w:style>
  <w:style w:type="paragraph" w:customStyle="1" w:styleId="ReportTablebody">
    <w:name w:val="Report Table body"/>
    <w:basedOn w:val="Normal"/>
    <w:link w:val="ReportTablebodyChar"/>
    <w:rsid w:val="00CC789D"/>
    <w:pPr>
      <w:keepNext/>
      <w:keepLines/>
      <w:pBdr>
        <w:top w:val="single" w:sz="2" w:space="2" w:color="FFFFFF"/>
        <w:left w:val="single" w:sz="2" w:space="4" w:color="FFFFFF"/>
        <w:bottom w:val="single" w:sz="2" w:space="2" w:color="FFFFFF"/>
        <w:right w:val="single" w:sz="2" w:space="4" w:color="FFFFFF"/>
      </w:pBdr>
      <w:jc w:val="both"/>
    </w:pPr>
    <w:rPr>
      <w:sz w:val="20"/>
      <w:szCs w:val="20"/>
    </w:rPr>
  </w:style>
  <w:style w:type="paragraph" w:customStyle="1" w:styleId="Reportheading3">
    <w:name w:val="Report heading 3"/>
    <w:basedOn w:val="ReportHeading2"/>
    <w:rsid w:val="00CC789D"/>
    <w:pPr>
      <w:spacing w:after="0"/>
    </w:pPr>
    <w:rPr>
      <w:rFonts w:ascii="Arial" w:eastAsiaTheme="minorEastAsia" w:hAnsi="Arial" w:cs="Arial"/>
      <w:i/>
      <w:color w:val="000000" w:themeColor="text1"/>
      <w:sz w:val="22"/>
      <w:lang w:val="en-US" w:eastAsia="ja-JP"/>
    </w:rPr>
  </w:style>
  <w:style w:type="paragraph" w:customStyle="1" w:styleId="ReportFooterleft">
    <w:name w:val="Report Footer left"/>
    <w:basedOn w:val="Normal"/>
    <w:rsid w:val="00CC789D"/>
    <w:pPr>
      <w:pBdr>
        <w:top w:val="dotted" w:sz="4" w:space="4" w:color="auto"/>
      </w:pBdr>
      <w:spacing w:before="240"/>
    </w:pPr>
    <w:rPr>
      <w:i/>
      <w:color w:val="000000"/>
      <w:spacing w:val="20"/>
      <w:kern w:val="20"/>
      <w:sz w:val="17"/>
      <w:szCs w:val="17"/>
    </w:rPr>
  </w:style>
  <w:style w:type="paragraph" w:customStyle="1" w:styleId="ReportBulletList2">
    <w:name w:val="Report Bullet List 2"/>
    <w:basedOn w:val="Normal"/>
    <w:rsid w:val="00CC789D"/>
    <w:pPr>
      <w:tabs>
        <w:tab w:val="num" w:pos="720"/>
      </w:tabs>
      <w:ind w:left="720" w:hanging="360"/>
    </w:pPr>
    <w:rPr>
      <w:rFonts w:ascii="Book Antiqua" w:hAnsi="Book Antiqua"/>
      <w:kern w:val="20"/>
      <w:szCs w:val="20"/>
    </w:rPr>
  </w:style>
  <w:style w:type="paragraph" w:customStyle="1" w:styleId="ReportNoteundertable">
    <w:name w:val="Report Note under table"/>
    <w:basedOn w:val="Normal"/>
    <w:next w:val="Normal"/>
    <w:rsid w:val="00CC789D"/>
    <w:pPr>
      <w:tabs>
        <w:tab w:val="left" w:pos="397"/>
      </w:tabs>
      <w:ind w:left="397" w:hanging="397"/>
      <w:jc w:val="both"/>
    </w:pPr>
    <w:rPr>
      <w:rFonts w:ascii="Arial Narrow" w:hAnsi="Arial Narrow"/>
      <w:i/>
      <w:kern w:val="20"/>
      <w:sz w:val="20"/>
      <w:szCs w:val="20"/>
    </w:rPr>
  </w:style>
  <w:style w:type="paragraph" w:customStyle="1" w:styleId="xl24">
    <w:name w:val="xl24"/>
    <w:basedOn w:val="Normal"/>
    <w:rsid w:val="00CC789D"/>
    <w:pPr>
      <w:spacing w:before="100" w:beforeAutospacing="1" w:after="100" w:afterAutospacing="1"/>
      <w:jc w:val="center"/>
    </w:pPr>
    <w:rPr>
      <w:rFonts w:cs="Arial"/>
      <w:sz w:val="22"/>
      <w:szCs w:val="22"/>
    </w:rPr>
  </w:style>
  <w:style w:type="paragraph" w:customStyle="1" w:styleId="Normalbutnospace">
    <w:name w:val="Normal but no space"/>
    <w:basedOn w:val="Normal"/>
    <w:rsid w:val="00CC789D"/>
    <w:pPr>
      <w:spacing w:line="240" w:lineRule="exact"/>
      <w:jc w:val="both"/>
    </w:pPr>
    <w:rPr>
      <w:rFonts w:ascii="Book Antiqua" w:hAnsi="Book Antiqua"/>
      <w:kern w:val="20"/>
      <w:sz w:val="22"/>
      <w:szCs w:val="22"/>
    </w:rPr>
  </w:style>
  <w:style w:type="paragraph" w:customStyle="1" w:styleId="BodyText22">
    <w:name w:val="Body Text 22"/>
    <w:basedOn w:val="Normal"/>
    <w:rsid w:val="00CC789D"/>
    <w:pPr>
      <w:snapToGrid w:val="0"/>
      <w:spacing w:line="300" w:lineRule="auto"/>
      <w:jc w:val="both"/>
    </w:pPr>
    <w:rPr>
      <w:rFonts w:cs="Arial"/>
      <w:sz w:val="22"/>
    </w:rPr>
  </w:style>
  <w:style w:type="paragraph" w:customStyle="1" w:styleId="StyleArial95ptBoldCenteredBefore3ptAfter3pt">
    <w:name w:val="Style Arial 9.5 pt Bold Centered Before:  3 pt After:  3 pt"/>
    <w:basedOn w:val="Normal"/>
    <w:rsid w:val="00CC789D"/>
    <w:pPr>
      <w:spacing w:before="60" w:after="60" w:line="300" w:lineRule="auto"/>
      <w:jc w:val="center"/>
    </w:pPr>
    <w:rPr>
      <w:b/>
      <w:bCs/>
      <w:sz w:val="19"/>
      <w:szCs w:val="20"/>
    </w:rPr>
  </w:style>
  <w:style w:type="paragraph" w:customStyle="1" w:styleId="StyleZurichBT22ptBlackCentered">
    <w:name w:val="Style Zurich BT 22 pt Black Centered"/>
    <w:basedOn w:val="Normal"/>
    <w:rsid w:val="00CC789D"/>
    <w:pPr>
      <w:spacing w:line="300" w:lineRule="auto"/>
      <w:jc w:val="center"/>
    </w:pPr>
    <w:rPr>
      <w:rFonts w:ascii="Zurich BT" w:hAnsi="Zurich BT"/>
      <w:color w:val="000000"/>
      <w:kern w:val="20"/>
      <w:sz w:val="44"/>
      <w:szCs w:val="20"/>
    </w:rPr>
  </w:style>
  <w:style w:type="paragraph" w:customStyle="1" w:styleId="HeaderRight">
    <w:name w:val="Header Right"/>
    <w:basedOn w:val="Normal"/>
    <w:rsid w:val="00CC789D"/>
    <w:pPr>
      <w:pBdr>
        <w:bottom w:val="dotted" w:sz="4" w:space="3" w:color="auto"/>
      </w:pBdr>
      <w:tabs>
        <w:tab w:val="center" w:pos="4819"/>
        <w:tab w:val="right" w:pos="9071"/>
      </w:tabs>
      <w:spacing w:line="300" w:lineRule="auto"/>
      <w:jc w:val="right"/>
    </w:pPr>
    <w:rPr>
      <w:rFonts w:ascii="ClassGarmnd BT" w:hAnsi="ClassGarmnd BT"/>
      <w:i/>
      <w:color w:val="000000"/>
      <w:spacing w:val="20"/>
      <w:kern w:val="20"/>
      <w:sz w:val="18"/>
      <w:szCs w:val="20"/>
    </w:rPr>
  </w:style>
  <w:style w:type="paragraph" w:customStyle="1" w:styleId="FooterLeft">
    <w:name w:val="Footer Left"/>
    <w:basedOn w:val="Normal"/>
    <w:rsid w:val="00CC789D"/>
    <w:pPr>
      <w:pBdr>
        <w:top w:val="dotted" w:sz="4" w:space="4" w:color="auto"/>
      </w:pBdr>
      <w:tabs>
        <w:tab w:val="center" w:pos="4819"/>
        <w:tab w:val="right" w:pos="9071"/>
      </w:tabs>
      <w:spacing w:before="240" w:line="300" w:lineRule="auto"/>
    </w:pPr>
    <w:rPr>
      <w:rFonts w:ascii="ClassGarmnd BT" w:hAnsi="ClassGarmnd BT"/>
      <w:i/>
      <w:color w:val="000000"/>
      <w:spacing w:val="20"/>
      <w:kern w:val="20"/>
      <w:sz w:val="18"/>
      <w:szCs w:val="20"/>
    </w:rPr>
  </w:style>
  <w:style w:type="paragraph" w:customStyle="1" w:styleId="Quotationsource">
    <w:name w:val="Quotation source"/>
    <w:basedOn w:val="Normal"/>
    <w:autoRedefine/>
    <w:rsid w:val="00CC789D"/>
    <w:pPr>
      <w:snapToGrid w:val="0"/>
      <w:spacing w:before="60" w:after="60"/>
    </w:pPr>
    <w:rPr>
      <w:rFonts w:ascii="Arial Narrow" w:hAnsi="Arial Narrow"/>
      <w:i/>
      <w:iCs/>
      <w:color w:val="000000"/>
      <w:kern w:val="20"/>
      <w:szCs w:val="22"/>
    </w:rPr>
  </w:style>
  <w:style w:type="paragraph" w:customStyle="1" w:styleId="NormalIndent1">
    <w:name w:val="Normal Indent1"/>
    <w:basedOn w:val="Normal"/>
    <w:rsid w:val="00CC789D"/>
    <w:pPr>
      <w:spacing w:line="300" w:lineRule="auto"/>
      <w:ind w:left="720"/>
    </w:pPr>
    <w:rPr>
      <w:rFonts w:cs="Arial"/>
      <w:sz w:val="22"/>
    </w:rPr>
  </w:style>
  <w:style w:type="paragraph" w:customStyle="1" w:styleId="FooterRight">
    <w:name w:val="Footer Right"/>
    <w:basedOn w:val="Normal"/>
    <w:autoRedefine/>
    <w:rsid w:val="00CC789D"/>
    <w:pPr>
      <w:pBdr>
        <w:top w:val="dotted" w:sz="4" w:space="4" w:color="auto"/>
      </w:pBdr>
      <w:tabs>
        <w:tab w:val="center" w:pos="4819"/>
        <w:tab w:val="right" w:pos="9071"/>
      </w:tabs>
      <w:spacing w:before="240" w:line="300" w:lineRule="auto"/>
      <w:jc w:val="right"/>
    </w:pPr>
    <w:rPr>
      <w:rFonts w:ascii="Zurich BT" w:hAnsi="Zurich BT"/>
      <w:i/>
      <w:color w:val="000000"/>
      <w:spacing w:val="20"/>
      <w:kern w:val="20"/>
      <w:sz w:val="17"/>
      <w:szCs w:val="17"/>
    </w:rPr>
  </w:style>
  <w:style w:type="paragraph" w:customStyle="1" w:styleId="Normal1">
    <w:name w:val="Normal_1"/>
    <w:basedOn w:val="Normal"/>
    <w:next w:val="Normal"/>
    <w:rsid w:val="00CC789D"/>
    <w:pPr>
      <w:tabs>
        <w:tab w:val="left" w:pos="397"/>
      </w:tabs>
      <w:spacing w:line="300" w:lineRule="auto"/>
    </w:pPr>
    <w:rPr>
      <w:szCs w:val="20"/>
    </w:rPr>
  </w:style>
  <w:style w:type="paragraph" w:customStyle="1" w:styleId="HeaderLeft">
    <w:name w:val="Header Left"/>
    <w:basedOn w:val="Normal"/>
    <w:rsid w:val="00CC789D"/>
    <w:pPr>
      <w:pBdr>
        <w:bottom w:val="dotted" w:sz="4" w:space="3" w:color="auto"/>
      </w:pBdr>
      <w:tabs>
        <w:tab w:val="center" w:pos="4819"/>
        <w:tab w:val="right" w:pos="9071"/>
      </w:tabs>
      <w:spacing w:line="300" w:lineRule="auto"/>
    </w:pPr>
    <w:rPr>
      <w:i/>
      <w:color w:val="000000"/>
      <w:spacing w:val="20"/>
      <w:sz w:val="18"/>
    </w:rPr>
  </w:style>
  <w:style w:type="paragraph" w:customStyle="1" w:styleId="FromCompany">
    <w:name w:val="FromCompany"/>
    <w:basedOn w:val="Normal"/>
    <w:rsid w:val="00CC789D"/>
    <w:rPr>
      <w:color w:val="000000"/>
      <w:sz w:val="28"/>
      <w:szCs w:val="20"/>
    </w:rPr>
  </w:style>
  <w:style w:type="paragraph" w:customStyle="1" w:styleId="ReportHeadingExecSummary">
    <w:name w:val="Report Heading Exec Summary"/>
    <w:basedOn w:val="Normal"/>
    <w:next w:val="Normal"/>
    <w:rsid w:val="00CC789D"/>
    <w:pPr>
      <w:spacing w:line="300" w:lineRule="auto"/>
    </w:pPr>
    <w:rPr>
      <w:b/>
      <w:bCs/>
      <w:i/>
      <w:iCs/>
      <w:kern w:val="20"/>
      <w:sz w:val="22"/>
      <w:szCs w:val="20"/>
    </w:rPr>
  </w:style>
  <w:style w:type="paragraph" w:customStyle="1" w:styleId="Reportotherheading">
    <w:name w:val="Report other heading"/>
    <w:basedOn w:val="Normal"/>
    <w:next w:val="Normal"/>
    <w:rsid w:val="00CC789D"/>
    <w:pPr>
      <w:keepNext/>
      <w:spacing w:after="120" w:line="300" w:lineRule="auto"/>
    </w:pPr>
    <w:rPr>
      <w:i/>
      <w:sz w:val="22"/>
    </w:rPr>
  </w:style>
  <w:style w:type="paragraph" w:customStyle="1" w:styleId="ReportHeading2ExecSummary">
    <w:name w:val="Report Heading 2 Exec Summary"/>
    <w:basedOn w:val="ReportHeadingExecSummary"/>
    <w:rsid w:val="00CC789D"/>
    <w:rPr>
      <w:i w:val="0"/>
    </w:rPr>
  </w:style>
  <w:style w:type="paragraph" w:customStyle="1" w:styleId="ReportBlockText">
    <w:name w:val="Report Block Text"/>
    <w:basedOn w:val="Normal"/>
    <w:rsid w:val="00CC789D"/>
    <w:pPr>
      <w:spacing w:line="300" w:lineRule="auto"/>
      <w:ind w:left="720" w:right="397"/>
    </w:pPr>
    <w:rPr>
      <w:i/>
      <w:iCs/>
      <w:kern w:val="20"/>
      <w:sz w:val="22"/>
      <w:szCs w:val="20"/>
    </w:rPr>
  </w:style>
  <w:style w:type="paragraph" w:customStyle="1" w:styleId="09Coverheading2">
    <w:name w:val="09_Cover heading 2"/>
    <w:basedOn w:val="Normal"/>
    <w:rsid w:val="00CC789D"/>
    <w:pPr>
      <w:jc w:val="right"/>
    </w:pPr>
    <w:rPr>
      <w:b/>
      <w:sz w:val="40"/>
      <w:szCs w:val="20"/>
    </w:rPr>
  </w:style>
  <w:style w:type="paragraph" w:customStyle="1" w:styleId="reportTableSourcenote">
    <w:name w:val="report Table Source note"/>
    <w:basedOn w:val="Normal"/>
    <w:next w:val="Normal"/>
    <w:rsid w:val="00CC789D"/>
    <w:pPr>
      <w:spacing w:line="300" w:lineRule="auto"/>
      <w:jc w:val="both"/>
    </w:pPr>
    <w:rPr>
      <w:rFonts w:ascii="Arial Narrow" w:hAnsi="Arial Narrow"/>
      <w:i/>
      <w:iCs/>
      <w:color w:val="000000"/>
      <w:kern w:val="20"/>
      <w:szCs w:val="20"/>
    </w:rPr>
  </w:style>
  <w:style w:type="character" w:customStyle="1" w:styleId="ReporttextCharCharCharChar">
    <w:name w:val="Report text Char Char Char Char"/>
    <w:link w:val="ReporttextCharCharChar"/>
    <w:locked/>
    <w:rsid w:val="00CC789D"/>
    <w:rPr>
      <w:rFonts w:ascii="ClassGarmnd BT" w:hAnsi="ClassGarmnd BT"/>
      <w:kern w:val="20"/>
      <w:sz w:val="22"/>
      <w:lang w:eastAsia="en-US"/>
    </w:rPr>
  </w:style>
  <w:style w:type="paragraph" w:customStyle="1" w:styleId="ReporttextCharCharChar">
    <w:name w:val="Report text Char Char Char"/>
    <w:basedOn w:val="Normal"/>
    <w:link w:val="ReporttextCharCharCharChar"/>
    <w:rsid w:val="00CC789D"/>
    <w:pPr>
      <w:keepLines/>
      <w:spacing w:line="300" w:lineRule="auto"/>
    </w:pPr>
    <w:rPr>
      <w:rFonts w:ascii="ClassGarmnd BT" w:hAnsi="ClassGarmnd BT"/>
      <w:kern w:val="20"/>
      <w:sz w:val="22"/>
      <w:szCs w:val="20"/>
      <w:lang w:eastAsia="en-US"/>
    </w:rPr>
  </w:style>
  <w:style w:type="paragraph" w:customStyle="1" w:styleId="StyleReportHeading118pt">
    <w:name w:val="Style Report Heading 1 + 18 pt"/>
    <w:basedOn w:val="ReportHeading1"/>
    <w:rsid w:val="00CC789D"/>
    <w:pPr>
      <w:pageBreakBefore w:val="0"/>
    </w:pPr>
    <w:rPr>
      <w:rFonts w:ascii="Arial" w:eastAsiaTheme="minorEastAsia" w:hAnsi="Arial" w:cs="Arial"/>
      <w:bCs/>
      <w:color w:val="000000" w:themeColor="text1"/>
      <w:sz w:val="36"/>
      <w:lang w:val="en-US" w:eastAsia="ja-JP"/>
    </w:rPr>
  </w:style>
  <w:style w:type="paragraph" w:customStyle="1" w:styleId="ReportTableHeadin">
    <w:name w:val="Report Table Headin"/>
    <w:basedOn w:val="Normal"/>
    <w:rsid w:val="00CC789D"/>
    <w:rPr>
      <w:b/>
      <w:kern w:val="20"/>
      <w:szCs w:val="20"/>
    </w:rPr>
  </w:style>
  <w:style w:type="paragraph" w:customStyle="1" w:styleId="Normal2">
    <w:name w:val="Normal_2"/>
    <w:basedOn w:val="Normal"/>
    <w:next w:val="Normal"/>
    <w:rsid w:val="00CC789D"/>
    <w:pPr>
      <w:tabs>
        <w:tab w:val="left" w:pos="397"/>
      </w:tabs>
      <w:jc w:val="both"/>
    </w:pPr>
    <w:rPr>
      <w:rFonts w:ascii="Book Antiqua" w:hAnsi="Book Antiqua"/>
      <w:szCs w:val="20"/>
    </w:rPr>
  </w:style>
  <w:style w:type="paragraph" w:customStyle="1" w:styleId="Keypointtext">
    <w:name w:val="Key point text"/>
    <w:basedOn w:val="Normal"/>
    <w:rsid w:val="00CC789D"/>
    <w:pPr>
      <w:pBdr>
        <w:left w:val="single" w:sz="48" w:space="18" w:color="CCFFCC"/>
      </w:pBdr>
      <w:shd w:val="clear" w:color="auto" w:fill="FFFFFF"/>
      <w:spacing w:after="120"/>
      <w:ind w:left="1276" w:hanging="737"/>
      <w:jc w:val="both"/>
    </w:pPr>
    <w:rPr>
      <w:i/>
      <w:color w:val="0000FF"/>
      <w:spacing w:val="2"/>
      <w:kern w:val="20"/>
      <w:szCs w:val="20"/>
    </w:rPr>
  </w:style>
  <w:style w:type="paragraph" w:customStyle="1" w:styleId="Figuretitle">
    <w:name w:val="Figure title"/>
    <w:basedOn w:val="Heading2"/>
    <w:rsid w:val="00CC789D"/>
    <w:pPr>
      <w:keepLines w:val="0"/>
      <w:spacing w:before="60" w:after="60"/>
    </w:pPr>
    <w:rPr>
      <w:rFonts w:ascii="Times New Roman" w:eastAsia="Times New Roman" w:hAnsi="Times New Roman" w:cs="Arial"/>
      <w:b/>
      <w:i/>
      <w:iCs/>
      <w:color w:val="000000"/>
      <w:sz w:val="28"/>
      <w:szCs w:val="20"/>
    </w:rPr>
  </w:style>
  <w:style w:type="paragraph" w:customStyle="1" w:styleId="Reporttitle0">
    <w:name w:val="Report title"/>
    <w:basedOn w:val="Heading1"/>
    <w:rsid w:val="00CC789D"/>
    <w:pPr>
      <w:jc w:val="center"/>
    </w:pPr>
    <w:rPr>
      <w:rFonts w:ascii="Arial Narrow" w:hAnsi="Arial Narrow"/>
      <w:bCs w:val="0"/>
      <w:w w:val="200"/>
      <w:sz w:val="72"/>
      <w:szCs w:val="20"/>
    </w:rPr>
  </w:style>
  <w:style w:type="paragraph" w:customStyle="1" w:styleId="Reporttitlevolumedetails">
    <w:name w:val="Report title volume details"/>
    <w:basedOn w:val="Reporttitle0"/>
    <w:rsid w:val="00CC789D"/>
    <w:pPr>
      <w:numPr>
        <w:numId w:val="42"/>
      </w:numPr>
      <w:ind w:left="0" w:firstLine="0"/>
    </w:pPr>
    <w:rPr>
      <w:w w:val="150"/>
      <w:sz w:val="52"/>
    </w:rPr>
  </w:style>
  <w:style w:type="paragraph" w:customStyle="1" w:styleId="Normal4">
    <w:name w:val="Normal[4"/>
    <w:basedOn w:val="Normal"/>
    <w:rsid w:val="00CC789D"/>
    <w:pPr>
      <w:ind w:left="360" w:hanging="360"/>
      <w:jc w:val="both"/>
    </w:pPr>
    <w:rPr>
      <w:szCs w:val="20"/>
    </w:rPr>
  </w:style>
  <w:style w:type="paragraph" w:customStyle="1" w:styleId="NormalIndent6">
    <w:name w:val="Normal Indent6"/>
    <w:basedOn w:val="Normal"/>
    <w:next w:val="Normal"/>
    <w:rsid w:val="00CC789D"/>
    <w:pPr>
      <w:widowControl w:val="0"/>
      <w:ind w:left="720"/>
      <w:jc w:val="both"/>
    </w:pPr>
    <w:rPr>
      <w:color w:val="000000"/>
      <w:szCs w:val="20"/>
    </w:rPr>
  </w:style>
  <w:style w:type="paragraph" w:customStyle="1" w:styleId="Normal0">
    <w:name w:val="Normal["/>
    <w:basedOn w:val="Normal"/>
    <w:rsid w:val="00CC789D"/>
    <w:pPr>
      <w:ind w:left="360" w:hanging="360"/>
      <w:jc w:val="both"/>
    </w:pPr>
    <w:rPr>
      <w:color w:val="000000"/>
      <w:szCs w:val="20"/>
    </w:rPr>
  </w:style>
  <w:style w:type="paragraph" w:customStyle="1" w:styleId="xl25">
    <w:name w:val="xl25"/>
    <w:basedOn w:val="Normal"/>
    <w:rsid w:val="00CC789D"/>
    <w:pPr>
      <w:spacing w:before="100" w:beforeAutospacing="1" w:after="100" w:afterAutospacing="1"/>
      <w:jc w:val="center"/>
    </w:pPr>
    <w:rPr>
      <w:rFonts w:cs="Arial"/>
      <w:szCs w:val="22"/>
    </w:rPr>
  </w:style>
  <w:style w:type="paragraph" w:customStyle="1" w:styleId="reportHeading20">
    <w:name w:val="report Heading 2"/>
    <w:basedOn w:val="Normal"/>
    <w:rsid w:val="00CC789D"/>
    <w:pPr>
      <w:jc w:val="both"/>
    </w:pPr>
    <w:rPr>
      <w:rFonts w:ascii="Book Antiqua" w:hAnsi="Book Antiqua"/>
      <w:b/>
      <w:bCs/>
      <w:kern w:val="20"/>
      <w:szCs w:val="22"/>
    </w:rPr>
  </w:style>
  <w:style w:type="paragraph" w:customStyle="1" w:styleId="StyleHeading2TimesNewRomanLeft">
    <w:name w:val="Style Heading 2 + Times New Roman Left"/>
    <w:basedOn w:val="Heading2"/>
    <w:rsid w:val="00CC789D"/>
    <w:pPr>
      <w:keepLines w:val="0"/>
      <w:tabs>
        <w:tab w:val="left" w:pos="397"/>
      </w:tabs>
      <w:spacing w:before="240" w:after="60"/>
      <w:ind w:left="-284"/>
    </w:pPr>
    <w:rPr>
      <w:rFonts w:ascii="Times New Roman" w:eastAsia="Times New Roman" w:hAnsi="Times New Roman" w:cs="Arial"/>
      <w:b/>
      <w:bCs/>
      <w:i/>
      <w:iCs/>
      <w:color w:val="auto"/>
      <w:sz w:val="28"/>
      <w:szCs w:val="20"/>
    </w:rPr>
  </w:style>
  <w:style w:type="paragraph" w:customStyle="1" w:styleId="StyleReportHeading1Left">
    <w:name w:val="Style Report Heading 1 + Left"/>
    <w:basedOn w:val="Normal"/>
    <w:rsid w:val="00CC789D"/>
    <w:pPr>
      <w:pageBreakBefore/>
      <w:numPr>
        <w:numId w:val="43"/>
      </w:numPr>
      <w:tabs>
        <w:tab w:val="clear" w:pos="-170"/>
        <w:tab w:val="num" w:pos="720"/>
      </w:tabs>
      <w:spacing w:before="60" w:after="60"/>
      <w:ind w:left="720" w:hanging="360"/>
      <w:outlineLvl w:val="0"/>
    </w:pPr>
    <w:rPr>
      <w:rFonts w:ascii="Book Antiqua" w:hAnsi="Book Antiqua"/>
      <w:b/>
      <w:bCs/>
      <w:kern w:val="20"/>
      <w:sz w:val="32"/>
      <w:szCs w:val="20"/>
    </w:rPr>
  </w:style>
  <w:style w:type="paragraph" w:customStyle="1" w:styleId="StyleReporttextLinespacingsingle">
    <w:name w:val="Style Report text + Line spacing:  single"/>
    <w:basedOn w:val="Reporttext0"/>
    <w:rsid w:val="00CC789D"/>
    <w:pPr>
      <w:numPr>
        <w:ilvl w:val="0"/>
        <w:numId w:val="0"/>
      </w:numPr>
      <w:tabs>
        <w:tab w:val="num" w:pos="2099"/>
      </w:tabs>
      <w:ind w:left="720" w:hanging="720"/>
    </w:pPr>
    <w:rPr>
      <w:rFonts w:ascii="Arial" w:eastAsiaTheme="minorEastAsia" w:hAnsi="Arial" w:cs="Arial"/>
      <w:color w:val="000000" w:themeColor="text1"/>
      <w:lang w:val="en-US" w:eastAsia="ja-JP"/>
    </w:rPr>
  </w:style>
  <w:style w:type="paragraph" w:customStyle="1" w:styleId="ReporttextLinespacingAtleast125pt">
    <w:name w:val="Report text + Line spacing:  At least 1.25 pt"/>
    <w:basedOn w:val="Reporttext0"/>
    <w:rsid w:val="00CC789D"/>
    <w:pPr>
      <w:numPr>
        <w:ilvl w:val="0"/>
        <w:numId w:val="0"/>
      </w:numPr>
      <w:tabs>
        <w:tab w:val="num" w:pos="2099"/>
      </w:tabs>
      <w:ind w:left="720" w:hanging="720"/>
    </w:pPr>
    <w:rPr>
      <w:rFonts w:ascii="Arial" w:eastAsiaTheme="minorEastAsia" w:hAnsi="Arial" w:cs="Arial"/>
      <w:color w:val="000000" w:themeColor="text1"/>
      <w:lang w:val="en-US" w:eastAsia="ja-JP"/>
    </w:rPr>
  </w:style>
  <w:style w:type="paragraph" w:customStyle="1" w:styleId="QuotationnoFIRSTlineNoBullet">
    <w:name w:val="Quotation no FIRST line No Bullet"/>
    <w:basedOn w:val="Normal"/>
    <w:rsid w:val="00CC789D"/>
    <w:pPr>
      <w:pBdr>
        <w:bottom w:val="single" w:sz="2" w:space="1" w:color="auto"/>
      </w:pBdr>
      <w:shd w:val="clear" w:color="auto" w:fill="FFFFFF"/>
      <w:ind w:left="1418"/>
      <w:jc w:val="both"/>
    </w:pPr>
    <w:rPr>
      <w:rFonts w:ascii="Book Antiqua" w:hAnsi="Book Antiqua"/>
      <w:i/>
      <w:kern w:val="20"/>
      <w:szCs w:val="20"/>
    </w:rPr>
  </w:style>
  <w:style w:type="paragraph" w:customStyle="1" w:styleId="greentable">
    <w:name w:val="greentable"/>
    <w:basedOn w:val="Normal"/>
    <w:rsid w:val="00CC789D"/>
    <w:pPr>
      <w:keepNext/>
      <w:keepLines/>
    </w:pPr>
    <w:rPr>
      <w:rFonts w:cs="Arial"/>
      <w:b/>
    </w:rPr>
  </w:style>
  <w:style w:type="paragraph" w:customStyle="1" w:styleId="reporttext1">
    <w:name w:val="reporttext"/>
    <w:basedOn w:val="Normal"/>
    <w:rsid w:val="00CC789D"/>
    <w:pPr>
      <w:tabs>
        <w:tab w:val="num" w:pos="1440"/>
      </w:tabs>
      <w:ind w:left="720" w:hanging="720"/>
    </w:pPr>
    <w:rPr>
      <w:rFonts w:cs="Arial"/>
      <w:szCs w:val="22"/>
    </w:rPr>
  </w:style>
  <w:style w:type="paragraph" w:customStyle="1" w:styleId="reportheading21">
    <w:name w:val="reportheading2"/>
    <w:basedOn w:val="Normal"/>
    <w:rsid w:val="00CC789D"/>
    <w:pPr>
      <w:spacing w:after="240"/>
    </w:pPr>
    <w:rPr>
      <w:rFonts w:cs="Arial"/>
      <w:b/>
      <w:bCs/>
    </w:rPr>
  </w:style>
  <w:style w:type="paragraph" w:customStyle="1" w:styleId="StyleLinespacing15lines">
    <w:name w:val="Style Line spacing:  1.5 lines"/>
    <w:basedOn w:val="Normal"/>
    <w:rsid w:val="00CC789D"/>
    <w:rPr>
      <w:szCs w:val="20"/>
    </w:rPr>
  </w:style>
  <w:style w:type="paragraph" w:customStyle="1" w:styleId="Smalldepartmentheadings">
    <w:name w:val="Small department headings"/>
    <w:basedOn w:val="Normal"/>
    <w:rsid w:val="00CC789D"/>
    <w:rPr>
      <w:szCs w:val="20"/>
    </w:rPr>
  </w:style>
  <w:style w:type="paragraph" w:customStyle="1" w:styleId="Tabledata">
    <w:name w:val="Table data"/>
    <w:basedOn w:val="Normal"/>
    <w:rsid w:val="00CC789D"/>
    <w:pPr>
      <w:ind w:right="113"/>
      <w:jc w:val="right"/>
    </w:pPr>
    <w:rPr>
      <w:color w:val="000000"/>
    </w:rPr>
  </w:style>
  <w:style w:type="paragraph" w:customStyle="1" w:styleId="Tablesidehead">
    <w:name w:val="Table side head"/>
    <w:basedOn w:val="Tabledata"/>
    <w:rsid w:val="00CC789D"/>
    <w:pPr>
      <w:jc w:val="left"/>
    </w:pPr>
    <w:rPr>
      <w:b/>
    </w:rPr>
  </w:style>
  <w:style w:type="paragraph" w:customStyle="1" w:styleId="wfxRecipient">
    <w:name w:val="wfxRecipient"/>
    <w:basedOn w:val="Normal"/>
    <w:rsid w:val="00CC789D"/>
  </w:style>
  <w:style w:type="paragraph" w:customStyle="1" w:styleId="TABLEHEADING0">
    <w:name w:val="TABLE HEADING"/>
    <w:basedOn w:val="Normal"/>
    <w:rsid w:val="00CC789D"/>
    <w:rPr>
      <w:b/>
    </w:rPr>
  </w:style>
  <w:style w:type="paragraph" w:customStyle="1" w:styleId="bullet1">
    <w:name w:val="bullet1"/>
    <w:basedOn w:val="Normal"/>
    <w:rsid w:val="00CC789D"/>
    <w:pPr>
      <w:numPr>
        <w:numId w:val="44"/>
      </w:numPr>
    </w:pPr>
  </w:style>
  <w:style w:type="paragraph" w:customStyle="1" w:styleId="Quotation">
    <w:name w:val="Quotation"/>
    <w:basedOn w:val="Normal"/>
    <w:rsid w:val="00CC789D"/>
    <w:pPr>
      <w:pBdr>
        <w:top w:val="single" w:sz="2" w:space="4" w:color="auto"/>
        <w:bottom w:val="single" w:sz="2" w:space="1" w:color="auto"/>
      </w:pBdr>
      <w:shd w:val="clear" w:color="auto" w:fill="FFFFFF"/>
      <w:ind w:left="1418"/>
      <w:jc w:val="both"/>
    </w:pPr>
    <w:rPr>
      <w:rFonts w:ascii="Book Antiqua" w:hAnsi="Book Antiqua"/>
      <w:i/>
      <w:kern w:val="20"/>
      <w:szCs w:val="20"/>
    </w:rPr>
  </w:style>
  <w:style w:type="paragraph" w:customStyle="1" w:styleId="Quotatationnolastline">
    <w:name w:val="Quotatation no last line"/>
    <w:basedOn w:val="Quotation"/>
    <w:rsid w:val="00CC789D"/>
    <w:pPr>
      <w:pBdr>
        <w:bottom w:val="none" w:sz="0" w:space="0" w:color="auto"/>
      </w:pBdr>
    </w:pPr>
    <w:rPr>
      <w:iCs/>
    </w:rPr>
  </w:style>
  <w:style w:type="paragraph" w:customStyle="1" w:styleId="style50">
    <w:name w:val="style5"/>
    <w:basedOn w:val="Normal"/>
    <w:rsid w:val="00CC789D"/>
    <w:pPr>
      <w:spacing w:before="100" w:beforeAutospacing="1" w:after="100" w:afterAutospacing="1"/>
    </w:pPr>
    <w:rPr>
      <w:color w:val="333333"/>
      <w:lang w:val="en-US" w:eastAsia="en-US"/>
    </w:rPr>
  </w:style>
  <w:style w:type="paragraph" w:customStyle="1" w:styleId="F5Bullettext">
    <w:name w:val="F5 Bullet text"/>
    <w:basedOn w:val="Normal"/>
    <w:rsid w:val="00CC789D"/>
    <w:pPr>
      <w:spacing w:before="240" w:after="240"/>
      <w:jc w:val="both"/>
    </w:pPr>
    <w:rPr>
      <w:rFonts w:ascii="Verdana" w:hAnsi="Verdana"/>
      <w:sz w:val="20"/>
      <w:lang w:eastAsia="en-US"/>
    </w:rPr>
  </w:style>
  <w:style w:type="paragraph" w:customStyle="1" w:styleId="F7Subheading">
    <w:name w:val="F7 Sub heading"/>
    <w:basedOn w:val="Normal"/>
    <w:rsid w:val="00CC789D"/>
    <w:pPr>
      <w:spacing w:after="240"/>
      <w:ind w:left="576"/>
    </w:pPr>
    <w:rPr>
      <w:rFonts w:ascii="Dax-Medium" w:hAnsi="Dax-Medium"/>
      <w:b/>
      <w:color w:val="0000FF"/>
      <w:sz w:val="28"/>
      <w:lang w:eastAsia="en-US"/>
    </w:rPr>
  </w:style>
  <w:style w:type="paragraph" w:customStyle="1" w:styleId="F4Maintext">
    <w:name w:val="F4 Main text"/>
    <w:basedOn w:val="Heading3"/>
    <w:rsid w:val="00CC789D"/>
    <w:pPr>
      <w:keepNext w:val="0"/>
      <w:spacing w:after="240"/>
      <w:ind w:left="864"/>
      <w:jc w:val="both"/>
      <w:outlineLvl w:val="9"/>
    </w:pPr>
    <w:rPr>
      <w:rFonts w:ascii="Verdana" w:hAnsi="Verdana" w:cs="Times New Roman"/>
      <w:b w:val="0"/>
      <w:bCs w:val="0"/>
      <w:sz w:val="20"/>
      <w:szCs w:val="24"/>
      <w:lang w:eastAsia="en-US"/>
    </w:rPr>
  </w:style>
  <w:style w:type="paragraph" w:customStyle="1" w:styleId="F8MainHeading">
    <w:name w:val="F8 Main Heading"/>
    <w:basedOn w:val="Normal"/>
    <w:rsid w:val="00CC789D"/>
    <w:pPr>
      <w:numPr>
        <w:numId w:val="45"/>
      </w:numPr>
      <w:spacing w:after="360"/>
    </w:pPr>
    <w:rPr>
      <w:rFonts w:ascii="Dax-Medium" w:hAnsi="Dax-Medium"/>
      <w:b/>
      <w:color w:val="0000FF"/>
      <w:sz w:val="32"/>
      <w:lang w:eastAsia="en-US"/>
    </w:rPr>
  </w:style>
  <w:style w:type="paragraph" w:customStyle="1" w:styleId="Tabletitle">
    <w:name w:val="Table title"/>
    <w:basedOn w:val="BodyText"/>
    <w:rsid w:val="00CC789D"/>
    <w:pPr>
      <w:spacing w:before="120"/>
      <w:jc w:val="center"/>
    </w:pPr>
    <w:rPr>
      <w:rFonts w:ascii="Verdana" w:eastAsiaTheme="minorEastAsia" w:hAnsi="Verdana"/>
      <w:b/>
      <w:color w:val="000000" w:themeColor="text1"/>
      <w:sz w:val="18"/>
      <w:szCs w:val="24"/>
      <w:lang w:val="en-US"/>
      <w14:shadow w14:blurRad="50800" w14:dist="38100" w14:dir="2700000" w14:sx="100000" w14:sy="100000" w14:kx="0" w14:ky="0" w14:algn="tl">
        <w14:srgbClr w14:val="000000">
          <w14:alpha w14:val="60000"/>
        </w14:srgbClr>
      </w14:shadow>
    </w:rPr>
  </w:style>
  <w:style w:type="paragraph" w:customStyle="1" w:styleId="Tabletext">
    <w:name w:val="Table text"/>
    <w:basedOn w:val="Tabletitle"/>
    <w:rsid w:val="00CC789D"/>
    <w:pPr>
      <w:spacing w:before="60" w:after="60"/>
      <w:jc w:val="left"/>
    </w:pPr>
    <w:rPr>
      <w:b w:val="0"/>
      <w14:shadow w14:blurRad="0" w14:dist="0" w14:dir="0" w14:sx="0" w14:sy="0" w14:kx="0" w14:ky="0" w14:algn="none">
        <w14:srgbClr w14:val="000000"/>
      </w14:shadow>
    </w:rPr>
  </w:style>
  <w:style w:type="paragraph" w:customStyle="1" w:styleId="Bulletsublist">
    <w:name w:val="Bullet sub list"/>
    <w:basedOn w:val="Normal"/>
    <w:rsid w:val="00CC789D"/>
    <w:pPr>
      <w:numPr>
        <w:numId w:val="46"/>
      </w:numPr>
      <w:spacing w:line="300" w:lineRule="auto"/>
    </w:pPr>
    <w:rPr>
      <w:rFonts w:ascii="Arial" w:hAnsi="Arial"/>
      <w:sz w:val="22"/>
      <w:lang w:eastAsia="en-US"/>
    </w:rPr>
  </w:style>
  <w:style w:type="character" w:customStyle="1" w:styleId="10BodytextChar">
    <w:name w:val="10 Body text Char"/>
    <w:link w:val="10Bodytext"/>
    <w:locked/>
    <w:rsid w:val="00CC789D"/>
    <w:rPr>
      <w:rFonts w:eastAsia="MS Mincho"/>
      <w:color w:val="000000"/>
      <w:szCs w:val="18"/>
    </w:rPr>
  </w:style>
  <w:style w:type="paragraph" w:customStyle="1" w:styleId="10Bodytext">
    <w:name w:val="10 Body text"/>
    <w:basedOn w:val="Normal"/>
    <w:link w:val="10BodytextChar"/>
    <w:qFormat/>
    <w:rsid w:val="00CC789D"/>
    <w:pPr>
      <w:spacing w:line="240" w:lineRule="exact"/>
    </w:pPr>
    <w:rPr>
      <w:rFonts w:eastAsia="MS Mincho"/>
      <w:color w:val="000000"/>
      <w:sz w:val="20"/>
      <w:szCs w:val="18"/>
    </w:rPr>
  </w:style>
  <w:style w:type="paragraph" w:customStyle="1" w:styleId="11Boldtext">
    <w:name w:val="11 Bold text"/>
    <w:basedOn w:val="10Bodytext"/>
    <w:next w:val="10Bodytext"/>
    <w:rsid w:val="00CC789D"/>
    <w:rPr>
      <w:b/>
      <w:bCs/>
    </w:rPr>
  </w:style>
  <w:style w:type="paragraph" w:customStyle="1" w:styleId="20FooterPageno">
    <w:name w:val="20 Footer Page no."/>
    <w:basedOn w:val="Footer"/>
    <w:rsid w:val="00CC789D"/>
    <w:pPr>
      <w:framePr w:wrap="around" w:vAnchor="text" w:hAnchor="margin" w:xAlign="right" w:y="1"/>
      <w:tabs>
        <w:tab w:val="clear" w:pos="4153"/>
        <w:tab w:val="clear" w:pos="8306"/>
        <w:tab w:val="center" w:pos="4320"/>
        <w:tab w:val="right" w:pos="8640"/>
      </w:tabs>
    </w:pPr>
    <w:rPr>
      <w:rFonts w:ascii="Arial" w:eastAsia="MS Mincho" w:hAnsi="Arial" w:cs="Arial"/>
      <w:color w:val="000000"/>
      <w:sz w:val="16"/>
      <w:szCs w:val="20"/>
      <w:lang w:eastAsia="ja-JP"/>
    </w:rPr>
  </w:style>
  <w:style w:type="paragraph" w:customStyle="1" w:styleId="02Headingbold">
    <w:name w:val="02 Heading bold"/>
    <w:basedOn w:val="01Heading"/>
    <w:rsid w:val="00CC789D"/>
    <w:pPr>
      <w:spacing w:line="300" w:lineRule="exact"/>
    </w:pPr>
    <w:rPr>
      <w:rFonts w:eastAsia="MS Mincho"/>
      <w:b/>
      <w:bCs/>
      <w:color w:val="000000"/>
      <w:sz w:val="24"/>
      <w:szCs w:val="24"/>
      <w:lang w:val="en-US"/>
    </w:rPr>
  </w:style>
  <w:style w:type="paragraph" w:customStyle="1" w:styleId="12Subheadboldblue">
    <w:name w:val="12 Subhead bold blue"/>
    <w:basedOn w:val="11Boldtext"/>
    <w:next w:val="11Boldtext"/>
    <w:rsid w:val="00CC789D"/>
    <w:pPr>
      <w:keepNext/>
      <w:spacing w:line="300" w:lineRule="exact"/>
      <w:contextualSpacing/>
    </w:pPr>
    <w:rPr>
      <w:b w:val="0"/>
      <w:bCs w:val="0"/>
      <w:color w:val="0093D5"/>
      <w:sz w:val="24"/>
      <w:szCs w:val="24"/>
    </w:rPr>
  </w:style>
  <w:style w:type="paragraph" w:customStyle="1" w:styleId="70Space">
    <w:name w:val="70 Space"/>
    <w:basedOn w:val="10Bodytext"/>
    <w:semiHidden/>
    <w:rsid w:val="00CC789D"/>
    <w:pPr>
      <w:spacing w:before="2000"/>
    </w:pPr>
  </w:style>
  <w:style w:type="paragraph" w:customStyle="1" w:styleId="15Reference">
    <w:name w:val="15 Reference"/>
    <w:basedOn w:val="10Bodytext"/>
    <w:next w:val="10Bodytext"/>
    <w:rsid w:val="00CC789D"/>
    <w:pPr>
      <w:spacing w:line="220" w:lineRule="exact"/>
    </w:pPr>
    <w:rPr>
      <w:rFonts w:cs="ArialMT"/>
      <w:sz w:val="16"/>
    </w:rPr>
  </w:style>
  <w:style w:type="paragraph" w:customStyle="1" w:styleId="04FigureHeading">
    <w:name w:val="04 Figure Heading"/>
    <w:basedOn w:val="02Headingbold"/>
    <w:next w:val="10aIndenttext"/>
    <w:rsid w:val="00CC789D"/>
    <w:pPr>
      <w:tabs>
        <w:tab w:val="num" w:pos="360"/>
        <w:tab w:val="num" w:pos="720"/>
        <w:tab w:val="num" w:pos="794"/>
      </w:tabs>
      <w:ind w:left="720" w:hanging="360"/>
    </w:pPr>
  </w:style>
  <w:style w:type="character" w:customStyle="1" w:styleId="BlockQuoteChar">
    <w:name w:val="Block Quote Char"/>
    <w:link w:val="BlockQuote"/>
    <w:locked/>
    <w:rsid w:val="00CC789D"/>
    <w:rPr>
      <w:rFonts w:eastAsia="MS Mincho"/>
      <w:bCs/>
      <w:i/>
      <w:color w:val="000000"/>
    </w:rPr>
  </w:style>
  <w:style w:type="paragraph" w:customStyle="1" w:styleId="BlockQuote">
    <w:name w:val="Block Quote"/>
    <w:basedOn w:val="03NumberedHeadings"/>
    <w:link w:val="BlockQuoteChar"/>
    <w:rsid w:val="00CC789D"/>
    <w:pPr>
      <w:numPr>
        <w:numId w:val="0"/>
      </w:numPr>
      <w:ind w:left="1701" w:right="697"/>
    </w:pPr>
    <w:rPr>
      <w:rFonts w:ascii="Times New Roman" w:hAnsi="Times New Roman"/>
      <w:b w:val="0"/>
      <w:i/>
      <w:caps w:val="0"/>
      <w:lang w:val="en-GB" w:eastAsia="en-GB"/>
    </w:rPr>
  </w:style>
  <w:style w:type="character" w:customStyle="1" w:styleId="111BodyListChar">
    <w:name w:val="1.1.1 Body List Char"/>
    <w:link w:val="111BodyList"/>
    <w:locked/>
    <w:rsid w:val="00CC789D"/>
    <w:rPr>
      <w:rFonts w:ascii="Arial" w:eastAsia="MS Mincho" w:hAnsi="Arial"/>
      <w:bCs/>
      <w:color w:val="000000"/>
      <w:lang w:val="en-US" w:eastAsia="ja-JP"/>
    </w:rPr>
  </w:style>
  <w:style w:type="character" w:customStyle="1" w:styleId="BulletlistChar">
    <w:name w:val="Bullet list Char"/>
    <w:link w:val="Bulletlist"/>
    <w:locked/>
    <w:rsid w:val="00CC789D"/>
    <w:rPr>
      <w:rFonts w:eastAsia="MS Mincho"/>
      <w:color w:val="000000"/>
      <w:szCs w:val="18"/>
    </w:rPr>
  </w:style>
  <w:style w:type="paragraph" w:customStyle="1" w:styleId="Bulletlist">
    <w:name w:val="Bullet list"/>
    <w:basedOn w:val="10aIndenttext"/>
    <w:link w:val="BulletlistChar"/>
    <w:rsid w:val="00CC789D"/>
    <w:pPr>
      <w:numPr>
        <w:numId w:val="47"/>
      </w:numPr>
      <w:ind w:left="1588" w:hanging="567"/>
    </w:pPr>
    <w:rPr>
      <w:rFonts w:ascii="Times New Roman" w:hAnsi="Times New Roman"/>
    </w:rPr>
  </w:style>
  <w:style w:type="paragraph" w:customStyle="1" w:styleId="Caption11">
    <w:name w:val="Caption11"/>
    <w:basedOn w:val="Normal"/>
    <w:next w:val="Normal"/>
    <w:rsid w:val="00CC789D"/>
    <w:pPr>
      <w:keepNext/>
      <w:spacing w:before="120" w:after="120"/>
      <w:jc w:val="center"/>
    </w:pPr>
    <w:rPr>
      <w:rFonts w:eastAsia="MS Mincho" w:cs="Arial"/>
      <w:b/>
      <w:bCs/>
    </w:rPr>
  </w:style>
  <w:style w:type="paragraph" w:customStyle="1" w:styleId="Caption3">
    <w:name w:val="Caption3"/>
    <w:basedOn w:val="Normal"/>
    <w:next w:val="Normal"/>
    <w:rsid w:val="00CC789D"/>
    <w:pPr>
      <w:keepNext/>
      <w:spacing w:before="120" w:after="120"/>
      <w:jc w:val="center"/>
    </w:pPr>
    <w:rPr>
      <w:rFonts w:eastAsia="MS Mincho" w:cs="Arial"/>
      <w:b/>
      <w:bCs/>
    </w:rPr>
  </w:style>
  <w:style w:type="character" w:styleId="EndnoteReference">
    <w:name w:val="endnote reference"/>
    <w:unhideWhenUsed/>
    <w:rsid w:val="00CC789D"/>
    <w:rPr>
      <w:vertAlign w:val="superscript"/>
    </w:rPr>
  </w:style>
  <w:style w:type="character" w:customStyle="1" w:styleId="ReportTableHeadingChar">
    <w:name w:val="Report Table Heading Char"/>
    <w:rsid w:val="00CC789D"/>
    <w:rPr>
      <w:rFonts w:ascii="Arial" w:hAnsi="Arial" w:cs="Arial" w:hint="default"/>
      <w:sz w:val="22"/>
      <w:szCs w:val="22"/>
      <w:lang w:val="en-GB" w:eastAsia="en-US" w:bidi="ar-SA"/>
    </w:rPr>
  </w:style>
  <w:style w:type="character" w:customStyle="1" w:styleId="ReportBulletListCharChar">
    <w:name w:val="Report Bullet List Char Char"/>
    <w:rsid w:val="00CC789D"/>
    <w:rPr>
      <w:rFonts w:ascii="Arial" w:hAnsi="Arial" w:cs="Arial" w:hint="default"/>
      <w:kern w:val="20"/>
      <w:sz w:val="22"/>
      <w:lang w:val="en-GB" w:eastAsia="en-US" w:bidi="ar-SA"/>
    </w:rPr>
  </w:style>
  <w:style w:type="paragraph" w:styleId="z-TopofForm">
    <w:name w:val="HTML Top of Form"/>
    <w:basedOn w:val="Normal"/>
    <w:next w:val="Normal"/>
    <w:link w:val="z-TopofFormChar"/>
    <w:hidden/>
    <w:unhideWhenUsed/>
    <w:rsid w:val="00CC789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CC789D"/>
    <w:rPr>
      <w:rFonts w:ascii="Arial" w:hAnsi="Arial" w:cs="Arial"/>
      <w:vanish/>
      <w:sz w:val="16"/>
      <w:szCs w:val="16"/>
    </w:rPr>
  </w:style>
  <w:style w:type="character" w:customStyle="1" w:styleId="ReportTextChar">
    <w:name w:val="Report Text Char"/>
    <w:rsid w:val="00CC789D"/>
    <w:rPr>
      <w:rFonts w:ascii="Book Antiqua" w:hAnsi="Book Antiqua" w:hint="default"/>
      <w:kern w:val="20"/>
      <w:sz w:val="22"/>
      <w:lang w:val="en-GB" w:eastAsia="en-US" w:bidi="ar-SA"/>
    </w:rPr>
  </w:style>
  <w:style w:type="character" w:customStyle="1" w:styleId="ReportHeading1Char">
    <w:name w:val="Report Heading 1 Char"/>
    <w:rsid w:val="00CC789D"/>
    <w:rPr>
      <w:rFonts w:ascii="Book Antiqua" w:hAnsi="Book Antiqua" w:hint="default"/>
      <w:b/>
      <w:bCs w:val="0"/>
      <w:kern w:val="20"/>
      <w:sz w:val="32"/>
      <w:lang w:val="en-GB" w:eastAsia="en-US" w:bidi="ar-SA"/>
    </w:rPr>
  </w:style>
  <w:style w:type="character" w:customStyle="1" w:styleId="ReportlistnumberedChar">
    <w:name w:val="Report list numbered Char"/>
    <w:rsid w:val="00CC789D"/>
    <w:rPr>
      <w:rFonts w:ascii="Arial" w:hAnsi="Arial" w:cs="Arial" w:hint="default"/>
      <w:sz w:val="22"/>
      <w:szCs w:val="24"/>
      <w:lang w:val="en-GB" w:eastAsia="en-US" w:bidi="ar-SA"/>
    </w:rPr>
  </w:style>
  <w:style w:type="character" w:customStyle="1" w:styleId="CharChar26">
    <w:name w:val="Char Char26"/>
    <w:rsid w:val="00CC789D"/>
    <w:rPr>
      <w:rFonts w:ascii="Arial" w:hAnsi="Arial" w:cs="Arial" w:hint="default"/>
      <w:b/>
      <w:bCs w:val="0"/>
      <w:i/>
      <w:iCs w:val="0"/>
      <w:sz w:val="28"/>
      <w:lang w:val="en-GB" w:eastAsia="en-US"/>
    </w:rPr>
  </w:style>
  <w:style w:type="character" w:customStyle="1" w:styleId="CharChar14">
    <w:name w:val="Char Char14"/>
    <w:rsid w:val="00CC789D"/>
    <w:rPr>
      <w:rFonts w:ascii="Arial" w:hAnsi="Arial" w:cs="Arial" w:hint="default"/>
      <w:lang w:val="en-GB" w:eastAsia="en-US"/>
    </w:rPr>
  </w:style>
  <w:style w:type="character" w:customStyle="1" w:styleId="CharChar27">
    <w:name w:val="Char Char27"/>
    <w:rsid w:val="00CC789D"/>
    <w:rPr>
      <w:rFonts w:ascii="Arial" w:hAnsi="Arial" w:cs="Arial" w:hint="default"/>
      <w:b/>
      <w:bCs w:val="0"/>
      <w:kern w:val="32"/>
      <w:sz w:val="32"/>
      <w:lang w:val="en-GB" w:eastAsia="en-US"/>
    </w:rPr>
  </w:style>
  <w:style w:type="character" w:customStyle="1" w:styleId="RichardFordham">
    <w:name w:val="Richard Fordham"/>
    <w:semiHidden/>
    <w:rsid w:val="00CC789D"/>
    <w:rPr>
      <w:rFonts w:ascii="Arial" w:hAnsi="Arial" w:cs="Arial" w:hint="default"/>
      <w:color w:val="auto"/>
      <w:sz w:val="20"/>
      <w:szCs w:val="20"/>
    </w:rPr>
  </w:style>
  <w:style w:type="character" w:customStyle="1" w:styleId="bigtext11">
    <w:name w:val="bigtext11"/>
    <w:rsid w:val="00CC789D"/>
    <w:rPr>
      <w:b/>
      <w:bCs/>
      <w:color w:val="147860"/>
      <w:sz w:val="29"/>
      <w:szCs w:val="29"/>
    </w:rPr>
  </w:style>
  <w:style w:type="character" w:customStyle="1" w:styleId="F7SubHeadingChar1">
    <w:name w:val="F7 Sub Heading Char1"/>
    <w:aliases w:val="Main Heading Char1,Main Headi Char1,Heading 2a Char1,Sub Heading Char1,Numbered - 2 Char1,do not use Char1,h2 Char1,2 Char1,Titre 2 Char1,l2 Char1,list + change bar Char1,??? Char1,h21 Char1,ASection Char1,ash Char1,PARA2 Char1"/>
    <w:locked/>
    <w:rsid w:val="00CC789D"/>
    <w:rPr>
      <w:rFonts w:ascii="Arial" w:hAnsi="Arial" w:cs="Arial" w:hint="default"/>
      <w:b/>
      <w:bCs/>
      <w:i/>
      <w:iCs/>
      <w:sz w:val="28"/>
      <w:szCs w:val="28"/>
      <w:lang w:eastAsia="en-US"/>
    </w:rPr>
  </w:style>
  <w:style w:type="character" w:customStyle="1" w:styleId="TransportTrafficChar1">
    <w:name w:val="Transport &amp; Traffic Char1"/>
    <w:aliases w:val="Running Head Char Char1"/>
    <w:locked/>
    <w:rsid w:val="00CC789D"/>
    <w:rPr>
      <w:rFonts w:ascii="Times New Roman" w:hAnsi="Times New Roman" w:cs="Times New Roman" w:hint="default"/>
    </w:rPr>
  </w:style>
  <w:style w:type="character" w:customStyle="1" w:styleId="11Boldtextcharacter">
    <w:name w:val="11 Bold text character"/>
    <w:rsid w:val="00CC789D"/>
    <w:rPr>
      <w:rFonts w:ascii="Arial" w:hAnsi="Arial" w:cs="Arial" w:hint="default"/>
      <w:b/>
      <w:bCs w:val="0"/>
    </w:rPr>
  </w:style>
  <w:style w:type="character" w:customStyle="1" w:styleId="F6SubsubHeadingChar1">
    <w:name w:val="F6 Sub sub Heading Char1"/>
    <w:aliases w:val="Numbered Paragraph Char1,Body of Text Numbering Char1,PA Minor Section Char1,Mia Char Char1"/>
    <w:locked/>
    <w:rsid w:val="00CC789D"/>
    <w:rPr>
      <w:rFonts w:ascii="Calibri" w:eastAsia="MS Gothic" w:hAnsi="Calibri" w:hint="default"/>
      <w:b/>
      <w:bCs w:val="0"/>
      <w:color w:val="4F81BD"/>
    </w:rPr>
  </w:style>
  <w:style w:type="character" w:customStyle="1" w:styleId="Heading5unusedChar1">
    <w:name w:val="Heading 5(unused) Char1"/>
    <w:aliases w:val="Level 3 - (i) Char1,Third Level Heading Char1,h5 Char1,Response Type Char1,Response Type1 Char1,Response Type2 Char1,Response Type3 Char1,Response Type4 Char1,Response Type5 Char1,Response Type6 Char1,Response Type7 Char1"/>
    <w:locked/>
    <w:rsid w:val="00CC789D"/>
    <w:rPr>
      <w:rFonts w:ascii="Calibri" w:eastAsia="MS Gothic" w:hAnsi="Calibri" w:hint="default"/>
      <w:color w:val="243F60"/>
    </w:rPr>
  </w:style>
  <w:style w:type="character" w:customStyle="1" w:styleId="Heading2Char1">
    <w:name w:val="Heading 2 Char1"/>
    <w:aliases w:val="F7 Sub Heading Char2,Main Heading Char2,Main Headi Char2,Heading 2a Char2,Sub Heading Char2,Numbered - 2 Char2,do not use Char2,h2 Char2,2 Char2,Titre 2 Char2,l2 Char2,list + change bar Char2,??? Char2,h21 Char2,ASection Char2,ash Char2"/>
    <w:rsid w:val="00CC789D"/>
    <w:rPr>
      <w:rFonts w:ascii="Arial" w:hAnsi="Arial" w:cs="Arial" w:hint="default"/>
      <w:b/>
      <w:bCs w:val="0"/>
      <w:i/>
      <w:iCs w:val="0"/>
      <w:sz w:val="28"/>
      <w:lang w:val="en-GB" w:eastAsia="en-US"/>
    </w:rPr>
  </w:style>
  <w:style w:type="character" w:customStyle="1" w:styleId="CharChar3">
    <w:name w:val="Char Char3"/>
    <w:rsid w:val="00CC789D"/>
    <w:rPr>
      <w:rFonts w:ascii="Courier New" w:hAnsi="Courier New" w:cs="Courier New" w:hint="default"/>
      <w:lang w:val="en-GB" w:eastAsia="en-US"/>
    </w:rPr>
  </w:style>
  <w:style w:type="character" w:customStyle="1" w:styleId="CharChar31">
    <w:name w:val="Char Char31"/>
    <w:rsid w:val="00CC789D"/>
    <w:rPr>
      <w:rFonts w:ascii="Courier New" w:hAnsi="Courier New" w:cs="Courier New" w:hint="default"/>
      <w:lang w:val="en-GB" w:eastAsia="en-US"/>
    </w:rPr>
  </w:style>
  <w:style w:type="character" w:customStyle="1" w:styleId="CharChar13">
    <w:name w:val="Char Char13"/>
    <w:rsid w:val="00CC789D"/>
    <w:rPr>
      <w:rFonts w:ascii="Arial" w:hAnsi="Arial" w:cs="Arial" w:hint="default"/>
      <w:sz w:val="24"/>
      <w:lang w:val="en-GB" w:eastAsia="en-US"/>
    </w:rPr>
  </w:style>
  <w:style w:type="character" w:customStyle="1" w:styleId="screen-reader">
    <w:name w:val="screen-reader"/>
    <w:basedOn w:val="DefaultParagraphFont"/>
    <w:rsid w:val="00CC789D"/>
  </w:style>
  <w:style w:type="table" w:styleId="TableClassic1">
    <w:name w:val="Table Classic 1"/>
    <w:basedOn w:val="TableNormal"/>
    <w:unhideWhenUsed/>
    <w:rsid w:val="00CC789D"/>
    <w:pPr>
      <w:spacing w:line="300" w:lineRule="auto"/>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unhideWhenUsed/>
    <w:rsid w:val="00CC789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3Deffects1">
    <w:name w:val="Table 3D effects 1"/>
    <w:basedOn w:val="TableNormal"/>
    <w:unhideWhenUsed/>
    <w:rsid w:val="00CC789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ightList-Accent6">
    <w:name w:val="Light List Accent 6"/>
    <w:basedOn w:val="TableNormal"/>
    <w:rsid w:val="00CC789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ReportTable1">
    <w:name w:val="Report Table1"/>
    <w:basedOn w:val="TableNormal"/>
    <w:rsid w:val="00CC789D"/>
    <w:pPr>
      <w:keepLines/>
      <w:jc w:val="center"/>
    </w:pPr>
    <w:rPr>
      <w:rFonts w:ascii="Arial" w:hAnsi="Arial"/>
    </w:rPr>
    <w:tblPr>
      <w:tblBorders>
        <w:top w:val="single" w:sz="4" w:space="0" w:color="999999"/>
        <w:left w:val="single" w:sz="4" w:space="0" w:color="999999"/>
        <w:bottom w:val="single" w:sz="4" w:space="0" w:color="999999"/>
        <w:right w:val="single" w:sz="4" w:space="0" w:color="999999"/>
      </w:tblBorders>
    </w:tblPr>
    <w:tcPr>
      <w:vAlign w:val="center"/>
    </w:tcPr>
    <w:tblStylePr w:type="firstRow">
      <w:rPr>
        <w:rFonts w:ascii="Arial" w:hAnsi="Arial" w:cs="Arial" w:hint="default"/>
        <w:b/>
        <w:sz w:val="22"/>
        <w:szCs w:val="22"/>
      </w:rPr>
      <w:tblPr/>
      <w:tcPr>
        <w:shd w:val="clear" w:color="auto" w:fill="FF9900"/>
      </w:tcPr>
    </w:tblStylePr>
    <w:tblStylePr w:type="firstCol">
      <w:pPr>
        <w:jc w:val="left"/>
      </w:p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Tablenoorange">
    <w:name w:val="Table no orange"/>
    <w:basedOn w:val="TableGrid"/>
    <w:rsid w:val="00CC789D"/>
    <w:pPr>
      <w:keepNext w:val="0"/>
    </w:pPr>
    <w:tblPr>
      <w:jc w:val="left"/>
    </w:tblPr>
    <w:trPr>
      <w:jc w:val="left"/>
    </w:trPr>
    <w:tblStylePr w:type="firstRow">
      <w:rPr>
        <w:rFonts w:ascii="Arial" w:hAnsi="Arial" w:cs="Arial" w:hint="default"/>
        <w:b w:val="0"/>
        <w:sz w:val="22"/>
        <w:szCs w:val="22"/>
      </w:rPr>
      <w:tblPr/>
      <w:tcPr>
        <w:tcBorders>
          <w:top w:val="single" w:sz="4" w:space="0" w:color="C0C0C0"/>
          <w:left w:val="single" w:sz="4" w:space="0" w:color="C0C0C0"/>
          <w:bottom w:val="nil"/>
          <w:right w:val="single" w:sz="4" w:space="0" w:color="C0C0C0"/>
          <w:insideH w:val="nil"/>
          <w:insideV w:val="nil"/>
          <w:tl2br w:val="nil"/>
          <w:tr2bl w:val="nil"/>
        </w:tcBorders>
        <w:shd w:val="clear" w:color="auto" w:fill="FF9900"/>
      </w:tcPr>
    </w:tblStylePr>
    <w:tblStylePr w:type="firstCol">
      <w:pPr>
        <w:jc w:val="left"/>
      </w:p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Reportexamplebox">
    <w:name w:val="Report example box"/>
    <w:basedOn w:val="TableGrid"/>
    <w:rsid w:val="00CC789D"/>
    <w:pPr>
      <w:keepNext w:val="0"/>
    </w:pPr>
    <w:tblPr>
      <w:tblStyleRowBandSize w:val="1"/>
      <w:tblStyleColBandSize w:val="1"/>
      <w:jc w:val="left"/>
      <w:tblBorders>
        <w:top w:val="single" w:sz="6" w:space="0" w:color="000000"/>
        <w:left w:val="single" w:sz="6" w:space="0" w:color="000000"/>
        <w:bottom w:val="single" w:sz="6" w:space="0" w:color="000000"/>
        <w:right w:val="single" w:sz="6" w:space="0" w:color="000000"/>
        <w:insideV w:val="single" w:sz="6" w:space="0" w:color="000000"/>
      </w:tblBorders>
    </w:tblPr>
    <w:trPr>
      <w:jc w:val="left"/>
    </w:trPr>
    <w:tblStylePr w:type="firstRow">
      <w:pPr>
        <w:jc w:val="center"/>
      </w:pPr>
      <w:rPr>
        <w:rFonts w:ascii="Arial" w:hAnsi="Arial" w:cs="Arial" w:hint="default"/>
        <w:b w:val="0"/>
        <w:sz w:val="20"/>
        <w:szCs w:val="20"/>
      </w:rPr>
      <w:tblPr/>
      <w:tcPr>
        <w:shd w:val="clear" w:color="auto" w:fill="FF9900"/>
      </w:tcPr>
    </w:tblStylePr>
    <w:tblStylePr w:type="firstCol">
      <w:pPr>
        <w:jc w:val="left"/>
      </w:pPr>
      <w:rPr>
        <w:rFonts w:ascii="Arial" w:hAnsi="Arial" w:cs="Arial" w:hint="default"/>
        <w:b/>
        <w:sz w:val="20"/>
        <w:szCs w:val="20"/>
      </w:rPr>
      <w:tblPr/>
      <w:tcPr>
        <w:shd w:val="clear" w:color="auto" w:fill="FFCC99"/>
        <w:vAlign w:val="top"/>
      </w:tcPr>
    </w:tblStylePr>
    <w:tblStylePr w:type="lastCol">
      <w:rPr>
        <w:rFonts w:ascii="Arial" w:hAnsi="Arial" w:cs="Arial" w:hint="default"/>
        <w:i/>
        <w:sz w:val="20"/>
        <w:szCs w:val="20"/>
      </w:rPr>
    </w:tblStylePr>
    <w:tblStylePr w:type="band1Vert">
      <w:rPr>
        <w:rFonts w:ascii="Arial" w:hAnsi="Arial" w:cs="Arial" w:hint="default"/>
        <w:b w:val="0"/>
        <w:sz w:val="20"/>
        <w:szCs w:val="20"/>
      </w:rPr>
    </w:tblStylePr>
    <w:tblStylePr w:type="band2Vert">
      <w:rPr>
        <w:b w:val="0"/>
      </w:rPr>
    </w:tblStylePr>
    <w:tblStylePr w:type="band1Horz">
      <w:rPr>
        <w:rFonts w:ascii="Calibri" w:hAnsi="Calibri" w:hint="default"/>
      </w:rPr>
    </w:tblStylePr>
    <w:tblStylePr w:type="band2Horz">
      <w:rPr>
        <w:rFonts w:ascii="Calibri" w:hAnsi="Calibri" w:hint="default"/>
      </w:rPr>
    </w:tblStylePr>
    <w:tblStylePr w:type="neCell">
      <w:rPr>
        <w:rFonts w:ascii="Arial" w:hAnsi="Arial" w:cs="Arial" w:hint="default"/>
        <w:i/>
        <w:sz w:val="20"/>
        <w:szCs w:val="20"/>
      </w:rPr>
    </w:tblStylePr>
    <w:tblStylePr w:type="nwCell">
      <w:rPr>
        <w:rFonts w:ascii="Arial" w:hAnsi="Arial" w:cs="Arial" w:hint="default"/>
        <w:b/>
        <w:sz w:val="20"/>
        <w:szCs w:val="20"/>
      </w:rPr>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LightShading-Accent11">
    <w:name w:val="Light Shading - Accent 11"/>
    <w:locked/>
    <w:rsid w:val="00CC789D"/>
    <w:rPr>
      <w:rFonts w:ascii="Arial" w:eastAsia="MS Mincho" w:hAnsi="Arial" w:cs="Arial"/>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locked/>
    <w:rsid w:val="00CC789D"/>
    <w:rPr>
      <w:rFonts w:ascii="Arial" w:eastAsia="MS Mincho" w:hAnsi="Arial" w:cs="Arial"/>
      <w:color w:val="943634"/>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31">
    <w:name w:val="Light Shading - Accent 31"/>
    <w:locked/>
    <w:rsid w:val="00CC789D"/>
    <w:rPr>
      <w:rFonts w:ascii="Arial" w:eastAsia="MS Mincho" w:hAnsi="Arial" w:cs="Arial"/>
      <w:color w:val="76923C"/>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LightList-Accent61">
    <w:name w:val="Light List - Accent 61"/>
    <w:locked/>
    <w:rsid w:val="00CC789D"/>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customStyle="1" w:styleId="QuotationnoFIRSTline">
    <w:name w:val="Quotation no FIRST line"/>
    <w:basedOn w:val="Quotation"/>
    <w:rsid w:val="00CC789D"/>
    <w:pPr>
      <w:pBdr>
        <w:top w:val="none" w:sz="0" w:space="0" w:color="auto"/>
      </w:pBdr>
      <w:tabs>
        <w:tab w:val="num" w:pos="1800"/>
      </w:tabs>
      <w:ind w:left="1800" w:hanging="360"/>
    </w:pPr>
    <w:rPr>
      <w:iCs/>
    </w:rPr>
  </w:style>
  <w:style w:type="paragraph" w:customStyle="1" w:styleId="Quotationnolinesatall">
    <w:name w:val="Quotation no lines at all"/>
    <w:basedOn w:val="QuotationnoFIRSTline"/>
    <w:rsid w:val="00CC789D"/>
    <w:pPr>
      <w:pBdr>
        <w:bottom w:val="none" w:sz="0" w:space="0" w:color="auto"/>
      </w:pBdr>
      <w:tabs>
        <w:tab w:val="clear" w:pos="1800"/>
        <w:tab w:val="num" w:pos="1080"/>
      </w:tabs>
      <w:spacing w:after="160"/>
      <w:ind w:left="1797" w:hanging="357"/>
    </w:pPr>
    <w:rPr>
      <w:iCs w:val="0"/>
    </w:rPr>
  </w:style>
  <w:style w:type="paragraph" w:customStyle="1" w:styleId="Reportlistsummary">
    <w:name w:val="Report list summary"/>
    <w:basedOn w:val="Reportlistnumbered"/>
    <w:rsid w:val="00CC789D"/>
    <w:pPr>
      <w:tabs>
        <w:tab w:val="clear" w:pos="643"/>
        <w:tab w:val="num" w:pos="1440"/>
      </w:tabs>
      <w:ind w:left="1440" w:hanging="720"/>
    </w:pPr>
  </w:style>
  <w:style w:type="numbering" w:customStyle="1" w:styleId="Reportbulletlist">
    <w:name w:val="Report bullet list"/>
    <w:rsid w:val="00CC789D"/>
    <w:pPr>
      <w:numPr>
        <w:numId w:val="41"/>
      </w:numPr>
    </w:pPr>
  </w:style>
  <w:style w:type="numbering" w:customStyle="1" w:styleId="Style17">
    <w:name w:val="Style17"/>
    <w:rsid w:val="00CC789D"/>
    <w:pPr>
      <w:numPr>
        <w:numId w:val="48"/>
      </w:numPr>
    </w:pPr>
  </w:style>
  <w:style w:type="numbering" w:customStyle="1" w:styleId="Style13">
    <w:name w:val="Style13"/>
    <w:rsid w:val="00CC789D"/>
    <w:pPr>
      <w:numPr>
        <w:numId w:val="49"/>
      </w:numPr>
    </w:pPr>
  </w:style>
  <w:style w:type="numbering" w:customStyle="1" w:styleId="Style4">
    <w:name w:val="Style4"/>
    <w:rsid w:val="00CC789D"/>
    <w:pPr>
      <w:numPr>
        <w:numId w:val="50"/>
      </w:numPr>
    </w:pPr>
  </w:style>
  <w:style w:type="numbering" w:customStyle="1" w:styleId="Style5">
    <w:name w:val="Style5"/>
    <w:rsid w:val="00CC789D"/>
    <w:pPr>
      <w:numPr>
        <w:numId w:val="51"/>
      </w:numPr>
    </w:pPr>
  </w:style>
  <w:style w:type="numbering" w:customStyle="1" w:styleId="Style16">
    <w:name w:val="Style16"/>
    <w:rsid w:val="00CC789D"/>
    <w:pPr>
      <w:numPr>
        <w:numId w:val="52"/>
      </w:numPr>
    </w:pPr>
  </w:style>
  <w:style w:type="numbering" w:customStyle="1" w:styleId="Style9">
    <w:name w:val="Style9"/>
    <w:rsid w:val="00CC789D"/>
    <w:pPr>
      <w:numPr>
        <w:numId w:val="53"/>
      </w:numPr>
    </w:pPr>
  </w:style>
  <w:style w:type="numbering" w:customStyle="1" w:styleId="Style12">
    <w:name w:val="Style12"/>
    <w:rsid w:val="00CC789D"/>
    <w:pPr>
      <w:numPr>
        <w:numId w:val="54"/>
      </w:numPr>
    </w:pPr>
  </w:style>
  <w:style w:type="numbering" w:customStyle="1" w:styleId="Style7">
    <w:name w:val="Style7"/>
    <w:rsid w:val="00CC789D"/>
    <w:pPr>
      <w:numPr>
        <w:numId w:val="55"/>
      </w:numPr>
    </w:pPr>
  </w:style>
  <w:style w:type="numbering" w:customStyle="1" w:styleId="Style8">
    <w:name w:val="Style8"/>
    <w:rsid w:val="00CC789D"/>
    <w:pPr>
      <w:numPr>
        <w:numId w:val="56"/>
      </w:numPr>
    </w:pPr>
  </w:style>
  <w:style w:type="numbering" w:customStyle="1" w:styleId="Style2">
    <w:name w:val="Style2"/>
    <w:rsid w:val="00CC789D"/>
    <w:pPr>
      <w:numPr>
        <w:numId w:val="57"/>
      </w:numPr>
    </w:pPr>
  </w:style>
  <w:style w:type="numbering" w:customStyle="1" w:styleId="Style14">
    <w:name w:val="Style14"/>
    <w:rsid w:val="00CC789D"/>
    <w:pPr>
      <w:numPr>
        <w:numId w:val="58"/>
      </w:numPr>
    </w:pPr>
  </w:style>
  <w:style w:type="numbering" w:customStyle="1" w:styleId="Style6">
    <w:name w:val="Style6"/>
    <w:rsid w:val="00CC789D"/>
    <w:pPr>
      <w:numPr>
        <w:numId w:val="59"/>
      </w:numPr>
    </w:pPr>
  </w:style>
  <w:style w:type="numbering" w:customStyle="1" w:styleId="Style3">
    <w:name w:val="Style3"/>
    <w:rsid w:val="00CC789D"/>
    <w:pPr>
      <w:numPr>
        <w:numId w:val="60"/>
      </w:numPr>
    </w:pPr>
  </w:style>
  <w:style w:type="numbering" w:customStyle="1" w:styleId="Style11">
    <w:name w:val="Style11"/>
    <w:rsid w:val="00CC789D"/>
    <w:pPr>
      <w:numPr>
        <w:numId w:val="61"/>
      </w:numPr>
    </w:pPr>
  </w:style>
  <w:style w:type="numbering" w:customStyle="1" w:styleId="Style15">
    <w:name w:val="Style15"/>
    <w:rsid w:val="00CC789D"/>
    <w:pPr>
      <w:numPr>
        <w:numId w:val="62"/>
      </w:numPr>
    </w:pPr>
  </w:style>
  <w:style w:type="numbering" w:customStyle="1" w:styleId="Bulletlistreport">
    <w:name w:val="Bullet list report"/>
    <w:rsid w:val="00CC789D"/>
    <w:pPr>
      <w:numPr>
        <w:numId w:val="63"/>
      </w:numPr>
    </w:pPr>
  </w:style>
  <w:style w:type="numbering" w:customStyle="1" w:styleId="Style10">
    <w:name w:val="Style10"/>
    <w:rsid w:val="00CC789D"/>
    <w:pPr>
      <w:numPr>
        <w:numId w:val="64"/>
      </w:numPr>
    </w:pPr>
  </w:style>
  <w:style w:type="table" w:styleId="MediumShading1-Accent4">
    <w:name w:val="Medium Shading 1 Accent 4"/>
    <w:basedOn w:val="TableNormal"/>
    <w:uiPriority w:val="63"/>
    <w:rsid w:val="00CC789D"/>
    <w:rPr>
      <w:rFonts w:ascii="Arial" w:eastAsiaTheme="minorEastAsia" w:hAnsi="Arial" w:cs="Arial"/>
      <w:color w:val="000000" w:themeColor="text1"/>
      <w:lang w:val="en-US" w:eastAsia="ja-JP"/>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89D"/>
    <w:rPr>
      <w:rFonts w:ascii="Arial" w:eastAsiaTheme="minorEastAsia" w:hAnsi="Arial" w:cs="Arial"/>
      <w:color w:val="000000" w:themeColor="text1"/>
      <w:lang w:val="en-US" w:eastAsia="ja-JP"/>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C789D"/>
    <w:rPr>
      <w:rFonts w:ascii="Arial" w:eastAsiaTheme="minorEastAsia" w:hAnsi="Arial" w:cs="Arial"/>
      <w:color w:val="000000" w:themeColor="text1"/>
      <w:lang w:val="en-US" w:eastAsia="ja-JP"/>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CC789D"/>
    <w:rPr>
      <w:rFonts w:ascii="Arial" w:eastAsiaTheme="minorEastAsia" w:hAnsi="Arial" w:cs="Arial"/>
      <w:color w:val="000000" w:themeColor="text1"/>
      <w:lang w:val="en-US" w:eastAsia="ja-JP"/>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ghtGrid-Accent1">
    <w:name w:val="Light Grid Accent 1"/>
    <w:basedOn w:val="TableNormal"/>
    <w:uiPriority w:val="62"/>
    <w:rsid w:val="00CC789D"/>
    <w:rPr>
      <w:rFonts w:ascii="Arial" w:eastAsiaTheme="minorEastAsia" w:hAnsi="Arial" w:cs="Arial"/>
      <w:color w:val="000000" w:themeColor="text1"/>
      <w:lang w:val="en-US"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Caption4">
    <w:name w:val="Caption4"/>
    <w:basedOn w:val="Normal"/>
    <w:next w:val="Normal"/>
    <w:rsid w:val="00CC789D"/>
    <w:pPr>
      <w:keepNext/>
      <w:spacing w:before="120" w:after="120"/>
      <w:jc w:val="center"/>
    </w:pPr>
    <w:rPr>
      <w:rFonts w:ascii="Arial" w:eastAsiaTheme="minorEastAsia" w:hAnsi="Arial" w:cs="Arial"/>
      <w:b/>
      <w:bCs/>
      <w:color w:val="000000" w:themeColor="text1"/>
      <w:sz w:val="22"/>
      <w:lang w:val="en-US" w:eastAsia="en-US"/>
    </w:rPr>
  </w:style>
  <w:style w:type="paragraph" w:customStyle="1" w:styleId="Pa7">
    <w:name w:val="Pa7"/>
    <w:basedOn w:val="Default"/>
    <w:next w:val="Default"/>
    <w:rsid w:val="00CC789D"/>
    <w:pPr>
      <w:spacing w:line="241" w:lineRule="atLeast"/>
    </w:pPr>
    <w:rPr>
      <w:rFonts w:ascii="Frutiger LT Std 45 Light" w:hAnsi="Frutiger LT Std 45 Light" w:cs="Times New Roman"/>
      <w:color w:val="auto"/>
    </w:rPr>
  </w:style>
  <w:style w:type="paragraph" w:customStyle="1" w:styleId="Pa10">
    <w:name w:val="Pa10"/>
    <w:basedOn w:val="Default"/>
    <w:next w:val="Default"/>
    <w:rsid w:val="00CC789D"/>
    <w:pPr>
      <w:spacing w:line="241" w:lineRule="atLeast"/>
    </w:pPr>
    <w:rPr>
      <w:rFonts w:ascii="Frutiger LT Std 45 Light" w:hAnsi="Frutiger LT Std 45 Light" w:cs="Times New Roman"/>
      <w:color w:val="auto"/>
    </w:rPr>
  </w:style>
  <w:style w:type="character" w:customStyle="1" w:styleId="FootnoteTextChar1">
    <w:name w:val="Footnote Text Char1"/>
    <w:uiPriority w:val="99"/>
    <w:locked/>
    <w:rsid w:val="00CC789D"/>
    <w:rPr>
      <w:rFonts w:eastAsia="SimSun" w:cs="Times New Roman"/>
      <w:color w:val="auto"/>
      <w:lang w:val="en-GB" w:eastAsia="zh-CN"/>
    </w:rPr>
  </w:style>
  <w:style w:type="character" w:customStyle="1" w:styleId="BodyText2Char1">
    <w:name w:val="Body Text 2 Char1"/>
    <w:locked/>
    <w:rsid w:val="00CC789D"/>
    <w:rPr>
      <w:rFonts w:eastAsia="Times New Roman" w:cs="Times New Roman"/>
      <w:color w:val="auto"/>
      <w:sz w:val="22"/>
      <w:szCs w:val="24"/>
      <w:lang w:val="en-GB" w:eastAsia="en-US"/>
    </w:rPr>
  </w:style>
  <w:style w:type="character" w:customStyle="1" w:styleId="F6SubsubHeadingCharChar">
    <w:name w:val="F6 Sub sub Heading Char Char"/>
    <w:rsid w:val="00CC789D"/>
    <w:rPr>
      <w:rFonts w:ascii="Arial" w:hAnsi="Arial" w:cs="Arial" w:hint="default"/>
      <w:b/>
      <w:bCs/>
      <w:sz w:val="26"/>
      <w:szCs w:val="26"/>
      <w:lang w:val="en-GB" w:eastAsia="en-US" w:bidi="ar-SA"/>
    </w:rPr>
  </w:style>
  <w:style w:type="character" w:customStyle="1" w:styleId="F7SubHeadingCharChar">
    <w:name w:val="F7 Sub Heading Char Char"/>
    <w:rsid w:val="00CC789D"/>
    <w:rPr>
      <w:rFonts w:ascii="Arial" w:hAnsi="Arial" w:cs="Arial" w:hint="default"/>
      <w:b/>
      <w:bCs/>
      <w:i/>
      <w:iCs/>
      <w:sz w:val="28"/>
      <w:szCs w:val="28"/>
      <w:lang w:val="en-GB" w:eastAsia="en-US" w:bidi="ar-SA"/>
    </w:rPr>
  </w:style>
  <w:style w:type="character" w:customStyle="1" w:styleId="WW8Num27z1">
    <w:name w:val="WW8Num27z1"/>
    <w:rsid w:val="00CC789D"/>
    <w:rPr>
      <w:rFonts w:ascii="Courier New" w:hAnsi="Courier New" w:cs="Courier New" w:hint="default"/>
    </w:rPr>
  </w:style>
  <w:style w:type="character" w:customStyle="1" w:styleId="CharChar24">
    <w:name w:val="Char Char24"/>
    <w:rsid w:val="00CC789D"/>
    <w:rPr>
      <w:rFonts w:ascii="Arial" w:hAnsi="Arial" w:cs="Arial" w:hint="default"/>
      <w:b/>
      <w:bCs/>
      <w:sz w:val="28"/>
      <w:szCs w:val="24"/>
      <w:lang w:val="en-GB" w:eastAsia="en-US" w:bidi="ar-SA"/>
    </w:rPr>
  </w:style>
  <w:style w:type="character" w:customStyle="1" w:styleId="CharChar25">
    <w:name w:val="Char Char25"/>
    <w:rsid w:val="00CC789D"/>
    <w:rPr>
      <w:rFonts w:ascii="Arial" w:hAnsi="Arial" w:cs="Arial" w:hint="default"/>
      <w:b/>
      <w:bCs/>
      <w:sz w:val="26"/>
      <w:szCs w:val="26"/>
      <w:lang w:val="en-GB" w:eastAsia="en-US" w:bidi="ar-SA"/>
    </w:rPr>
  </w:style>
  <w:style w:type="character" w:customStyle="1" w:styleId="A8">
    <w:name w:val="A8"/>
    <w:rsid w:val="00CC789D"/>
    <w:rPr>
      <w:rFonts w:ascii="Frutiger LT Std 45 Light" w:hAnsi="Frutiger LT Std 45 Light" w:cs="Frutiger LT Std 45 Light" w:hint="default"/>
      <w:color w:val="000000"/>
    </w:rPr>
  </w:style>
  <w:style w:type="character" w:customStyle="1" w:styleId="A9">
    <w:name w:val="A9"/>
    <w:rsid w:val="00CC789D"/>
    <w:rPr>
      <w:rFonts w:ascii="Frutiger LT Std 45 Light" w:hAnsi="Frutiger LT Std 45 Light" w:cs="Frutiger LT Std 45 Light" w:hint="default"/>
      <w:color w:val="000000"/>
      <w:sz w:val="14"/>
      <w:szCs w:val="14"/>
    </w:rPr>
  </w:style>
  <w:style w:type="character" w:customStyle="1" w:styleId="EmailStyle215">
    <w:name w:val="EmailStyle215"/>
    <w:semiHidden/>
    <w:rsid w:val="00CC789D"/>
    <w:rPr>
      <w:rFonts w:ascii="Arial" w:hAnsi="Arial" w:cs="Arial" w:hint="default"/>
      <w:color w:val="auto"/>
      <w:sz w:val="20"/>
      <w:szCs w:val="20"/>
    </w:rPr>
  </w:style>
  <w:style w:type="character" w:customStyle="1" w:styleId="ASimpson">
    <w:name w:val="ASimpson"/>
    <w:semiHidden/>
    <w:rsid w:val="00CC789D"/>
    <w:rPr>
      <w:rFonts w:ascii="Arial" w:hAnsi="Arial" w:cs="Arial" w:hint="default"/>
      <w:color w:val="auto"/>
      <w:sz w:val="20"/>
      <w:szCs w:val="20"/>
    </w:rPr>
  </w:style>
  <w:style w:type="table" w:customStyle="1" w:styleId="LightList-Accent62">
    <w:name w:val="Light List - Accent 62"/>
    <w:rsid w:val="00CC789D"/>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customStyle="1" w:styleId="Caption5">
    <w:name w:val="Caption5"/>
    <w:basedOn w:val="Normal"/>
    <w:next w:val="Normal"/>
    <w:rsid w:val="00CC789D"/>
    <w:pPr>
      <w:keepNext/>
      <w:spacing w:before="120" w:after="120"/>
      <w:jc w:val="center"/>
    </w:pPr>
    <w:rPr>
      <w:rFonts w:ascii="Arial" w:hAnsi="Arial" w:cs="Arial"/>
      <w:b/>
      <w:bCs/>
      <w:sz w:val="22"/>
      <w:lang w:eastAsia="en-US"/>
    </w:rPr>
  </w:style>
  <w:style w:type="table" w:styleId="MediumShading1-Accent2">
    <w:name w:val="Medium Shading 1 Accent 2"/>
    <w:basedOn w:val="TableNormal"/>
    <w:uiPriority w:val="63"/>
    <w:rsid w:val="00CC789D"/>
    <w:rPr>
      <w:rFonts w:ascii="Arial" w:eastAsiaTheme="minorEastAsia" w:hAnsi="Arial" w:cs="Arial"/>
      <w:color w:val="000000" w:themeColor="text1"/>
      <w:lang w:val="en-US"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C789D"/>
    <w:rPr>
      <w:rFonts w:ascii="Arial" w:eastAsiaTheme="minorEastAsia" w:hAnsi="Arial" w:cs="Arial"/>
      <w:color w:val="000000" w:themeColor="text1"/>
      <w:lang w:val="en-US" w:eastAsia="ja-JP"/>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customStyle="1" w:styleId="cf01">
    <w:name w:val="cf01"/>
    <w:basedOn w:val="DefaultParagraphFont"/>
    <w:rsid w:val="00535602"/>
    <w:rPr>
      <w:rFonts w:ascii="Segoe UI" w:hAnsi="Segoe UI" w:cs="Segoe UI" w:hint="default"/>
      <w:sz w:val="18"/>
      <w:szCs w:val="18"/>
    </w:rPr>
  </w:style>
  <w:style w:type="paragraph" w:customStyle="1" w:styleId="pf0">
    <w:name w:val="pf0"/>
    <w:basedOn w:val="Normal"/>
    <w:rsid w:val="00DD51B5"/>
    <w:pPr>
      <w:spacing w:before="100" w:beforeAutospacing="1" w:after="100" w:afterAutospacing="1"/>
    </w:pPr>
  </w:style>
  <w:style w:type="numbering" w:customStyle="1" w:styleId="CurrentList1">
    <w:name w:val="Current List1"/>
    <w:uiPriority w:val="99"/>
    <w:rsid w:val="00280AF4"/>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427">
      <w:bodyDiv w:val="1"/>
      <w:marLeft w:val="0"/>
      <w:marRight w:val="0"/>
      <w:marTop w:val="0"/>
      <w:marBottom w:val="0"/>
      <w:divBdr>
        <w:top w:val="none" w:sz="0" w:space="0" w:color="auto"/>
        <w:left w:val="none" w:sz="0" w:space="0" w:color="auto"/>
        <w:bottom w:val="none" w:sz="0" w:space="0" w:color="auto"/>
        <w:right w:val="none" w:sz="0" w:space="0" w:color="auto"/>
      </w:divBdr>
    </w:div>
    <w:div w:id="59140523">
      <w:bodyDiv w:val="1"/>
      <w:marLeft w:val="0"/>
      <w:marRight w:val="0"/>
      <w:marTop w:val="0"/>
      <w:marBottom w:val="0"/>
      <w:divBdr>
        <w:top w:val="none" w:sz="0" w:space="0" w:color="auto"/>
        <w:left w:val="none" w:sz="0" w:space="0" w:color="auto"/>
        <w:bottom w:val="none" w:sz="0" w:space="0" w:color="auto"/>
        <w:right w:val="none" w:sz="0" w:space="0" w:color="auto"/>
      </w:divBdr>
    </w:div>
    <w:div w:id="62460435">
      <w:bodyDiv w:val="1"/>
      <w:marLeft w:val="0"/>
      <w:marRight w:val="0"/>
      <w:marTop w:val="0"/>
      <w:marBottom w:val="0"/>
      <w:divBdr>
        <w:top w:val="none" w:sz="0" w:space="0" w:color="auto"/>
        <w:left w:val="none" w:sz="0" w:space="0" w:color="auto"/>
        <w:bottom w:val="none" w:sz="0" w:space="0" w:color="auto"/>
        <w:right w:val="none" w:sz="0" w:space="0" w:color="auto"/>
      </w:divBdr>
    </w:div>
    <w:div w:id="65541663">
      <w:bodyDiv w:val="1"/>
      <w:marLeft w:val="0"/>
      <w:marRight w:val="0"/>
      <w:marTop w:val="0"/>
      <w:marBottom w:val="0"/>
      <w:divBdr>
        <w:top w:val="none" w:sz="0" w:space="0" w:color="auto"/>
        <w:left w:val="none" w:sz="0" w:space="0" w:color="auto"/>
        <w:bottom w:val="none" w:sz="0" w:space="0" w:color="auto"/>
        <w:right w:val="none" w:sz="0" w:space="0" w:color="auto"/>
      </w:divBdr>
    </w:div>
    <w:div w:id="69741404">
      <w:bodyDiv w:val="1"/>
      <w:marLeft w:val="0"/>
      <w:marRight w:val="0"/>
      <w:marTop w:val="0"/>
      <w:marBottom w:val="0"/>
      <w:divBdr>
        <w:top w:val="none" w:sz="0" w:space="0" w:color="auto"/>
        <w:left w:val="none" w:sz="0" w:space="0" w:color="auto"/>
        <w:bottom w:val="none" w:sz="0" w:space="0" w:color="auto"/>
        <w:right w:val="none" w:sz="0" w:space="0" w:color="auto"/>
      </w:divBdr>
    </w:div>
    <w:div w:id="70006242">
      <w:bodyDiv w:val="1"/>
      <w:marLeft w:val="0"/>
      <w:marRight w:val="0"/>
      <w:marTop w:val="0"/>
      <w:marBottom w:val="0"/>
      <w:divBdr>
        <w:top w:val="none" w:sz="0" w:space="0" w:color="auto"/>
        <w:left w:val="none" w:sz="0" w:space="0" w:color="auto"/>
        <w:bottom w:val="none" w:sz="0" w:space="0" w:color="auto"/>
        <w:right w:val="none" w:sz="0" w:space="0" w:color="auto"/>
      </w:divBdr>
    </w:div>
    <w:div w:id="82731264">
      <w:bodyDiv w:val="1"/>
      <w:marLeft w:val="0"/>
      <w:marRight w:val="0"/>
      <w:marTop w:val="0"/>
      <w:marBottom w:val="0"/>
      <w:divBdr>
        <w:top w:val="none" w:sz="0" w:space="0" w:color="auto"/>
        <w:left w:val="none" w:sz="0" w:space="0" w:color="auto"/>
        <w:bottom w:val="none" w:sz="0" w:space="0" w:color="auto"/>
        <w:right w:val="none" w:sz="0" w:space="0" w:color="auto"/>
      </w:divBdr>
      <w:divsChild>
        <w:div w:id="958802333">
          <w:marLeft w:val="547"/>
          <w:marRight w:val="0"/>
          <w:marTop w:val="0"/>
          <w:marBottom w:val="0"/>
          <w:divBdr>
            <w:top w:val="none" w:sz="0" w:space="0" w:color="auto"/>
            <w:left w:val="none" w:sz="0" w:space="0" w:color="auto"/>
            <w:bottom w:val="none" w:sz="0" w:space="0" w:color="auto"/>
            <w:right w:val="none" w:sz="0" w:space="0" w:color="auto"/>
          </w:divBdr>
        </w:div>
      </w:divsChild>
    </w:div>
    <w:div w:id="100883203">
      <w:bodyDiv w:val="1"/>
      <w:marLeft w:val="0"/>
      <w:marRight w:val="0"/>
      <w:marTop w:val="0"/>
      <w:marBottom w:val="0"/>
      <w:divBdr>
        <w:top w:val="none" w:sz="0" w:space="0" w:color="auto"/>
        <w:left w:val="none" w:sz="0" w:space="0" w:color="auto"/>
        <w:bottom w:val="none" w:sz="0" w:space="0" w:color="auto"/>
        <w:right w:val="none" w:sz="0" w:space="0" w:color="auto"/>
      </w:divBdr>
    </w:div>
    <w:div w:id="112599218">
      <w:bodyDiv w:val="1"/>
      <w:marLeft w:val="0"/>
      <w:marRight w:val="0"/>
      <w:marTop w:val="0"/>
      <w:marBottom w:val="0"/>
      <w:divBdr>
        <w:top w:val="none" w:sz="0" w:space="0" w:color="auto"/>
        <w:left w:val="none" w:sz="0" w:space="0" w:color="auto"/>
        <w:bottom w:val="none" w:sz="0" w:space="0" w:color="auto"/>
        <w:right w:val="none" w:sz="0" w:space="0" w:color="auto"/>
      </w:divBdr>
    </w:div>
    <w:div w:id="139805928">
      <w:bodyDiv w:val="1"/>
      <w:marLeft w:val="0"/>
      <w:marRight w:val="0"/>
      <w:marTop w:val="0"/>
      <w:marBottom w:val="0"/>
      <w:divBdr>
        <w:top w:val="none" w:sz="0" w:space="0" w:color="auto"/>
        <w:left w:val="none" w:sz="0" w:space="0" w:color="auto"/>
        <w:bottom w:val="none" w:sz="0" w:space="0" w:color="auto"/>
        <w:right w:val="none" w:sz="0" w:space="0" w:color="auto"/>
      </w:divBdr>
    </w:div>
    <w:div w:id="147332549">
      <w:bodyDiv w:val="1"/>
      <w:marLeft w:val="0"/>
      <w:marRight w:val="0"/>
      <w:marTop w:val="0"/>
      <w:marBottom w:val="0"/>
      <w:divBdr>
        <w:top w:val="none" w:sz="0" w:space="0" w:color="auto"/>
        <w:left w:val="none" w:sz="0" w:space="0" w:color="auto"/>
        <w:bottom w:val="none" w:sz="0" w:space="0" w:color="auto"/>
        <w:right w:val="none" w:sz="0" w:space="0" w:color="auto"/>
      </w:divBdr>
    </w:div>
    <w:div w:id="153224603">
      <w:bodyDiv w:val="1"/>
      <w:marLeft w:val="0"/>
      <w:marRight w:val="0"/>
      <w:marTop w:val="0"/>
      <w:marBottom w:val="0"/>
      <w:divBdr>
        <w:top w:val="none" w:sz="0" w:space="0" w:color="auto"/>
        <w:left w:val="none" w:sz="0" w:space="0" w:color="auto"/>
        <w:bottom w:val="none" w:sz="0" w:space="0" w:color="auto"/>
        <w:right w:val="none" w:sz="0" w:space="0" w:color="auto"/>
      </w:divBdr>
    </w:div>
    <w:div w:id="169830700">
      <w:bodyDiv w:val="1"/>
      <w:marLeft w:val="0"/>
      <w:marRight w:val="0"/>
      <w:marTop w:val="0"/>
      <w:marBottom w:val="0"/>
      <w:divBdr>
        <w:top w:val="none" w:sz="0" w:space="0" w:color="auto"/>
        <w:left w:val="none" w:sz="0" w:space="0" w:color="auto"/>
        <w:bottom w:val="none" w:sz="0" w:space="0" w:color="auto"/>
        <w:right w:val="none" w:sz="0" w:space="0" w:color="auto"/>
      </w:divBdr>
    </w:div>
    <w:div w:id="181356104">
      <w:bodyDiv w:val="1"/>
      <w:marLeft w:val="0"/>
      <w:marRight w:val="0"/>
      <w:marTop w:val="0"/>
      <w:marBottom w:val="0"/>
      <w:divBdr>
        <w:top w:val="none" w:sz="0" w:space="0" w:color="auto"/>
        <w:left w:val="none" w:sz="0" w:space="0" w:color="auto"/>
        <w:bottom w:val="none" w:sz="0" w:space="0" w:color="auto"/>
        <w:right w:val="none" w:sz="0" w:space="0" w:color="auto"/>
      </w:divBdr>
    </w:div>
    <w:div w:id="188833292">
      <w:bodyDiv w:val="1"/>
      <w:marLeft w:val="0"/>
      <w:marRight w:val="0"/>
      <w:marTop w:val="0"/>
      <w:marBottom w:val="0"/>
      <w:divBdr>
        <w:top w:val="none" w:sz="0" w:space="0" w:color="auto"/>
        <w:left w:val="none" w:sz="0" w:space="0" w:color="auto"/>
        <w:bottom w:val="none" w:sz="0" w:space="0" w:color="auto"/>
        <w:right w:val="none" w:sz="0" w:space="0" w:color="auto"/>
      </w:divBdr>
    </w:div>
    <w:div w:id="189732344">
      <w:bodyDiv w:val="1"/>
      <w:marLeft w:val="0"/>
      <w:marRight w:val="0"/>
      <w:marTop w:val="0"/>
      <w:marBottom w:val="0"/>
      <w:divBdr>
        <w:top w:val="none" w:sz="0" w:space="0" w:color="auto"/>
        <w:left w:val="none" w:sz="0" w:space="0" w:color="auto"/>
        <w:bottom w:val="none" w:sz="0" w:space="0" w:color="auto"/>
        <w:right w:val="none" w:sz="0" w:space="0" w:color="auto"/>
      </w:divBdr>
    </w:div>
    <w:div w:id="222375576">
      <w:bodyDiv w:val="1"/>
      <w:marLeft w:val="0"/>
      <w:marRight w:val="0"/>
      <w:marTop w:val="0"/>
      <w:marBottom w:val="0"/>
      <w:divBdr>
        <w:top w:val="none" w:sz="0" w:space="0" w:color="auto"/>
        <w:left w:val="none" w:sz="0" w:space="0" w:color="auto"/>
        <w:bottom w:val="none" w:sz="0" w:space="0" w:color="auto"/>
        <w:right w:val="none" w:sz="0" w:space="0" w:color="auto"/>
      </w:divBdr>
    </w:div>
    <w:div w:id="256016009">
      <w:bodyDiv w:val="1"/>
      <w:marLeft w:val="0"/>
      <w:marRight w:val="0"/>
      <w:marTop w:val="0"/>
      <w:marBottom w:val="0"/>
      <w:divBdr>
        <w:top w:val="none" w:sz="0" w:space="0" w:color="auto"/>
        <w:left w:val="none" w:sz="0" w:space="0" w:color="auto"/>
        <w:bottom w:val="none" w:sz="0" w:space="0" w:color="auto"/>
        <w:right w:val="none" w:sz="0" w:space="0" w:color="auto"/>
      </w:divBdr>
    </w:div>
    <w:div w:id="256981030">
      <w:bodyDiv w:val="1"/>
      <w:marLeft w:val="0"/>
      <w:marRight w:val="0"/>
      <w:marTop w:val="0"/>
      <w:marBottom w:val="0"/>
      <w:divBdr>
        <w:top w:val="none" w:sz="0" w:space="0" w:color="auto"/>
        <w:left w:val="none" w:sz="0" w:space="0" w:color="auto"/>
        <w:bottom w:val="none" w:sz="0" w:space="0" w:color="auto"/>
        <w:right w:val="none" w:sz="0" w:space="0" w:color="auto"/>
      </w:divBdr>
    </w:div>
    <w:div w:id="258566752">
      <w:bodyDiv w:val="1"/>
      <w:marLeft w:val="0"/>
      <w:marRight w:val="0"/>
      <w:marTop w:val="0"/>
      <w:marBottom w:val="0"/>
      <w:divBdr>
        <w:top w:val="none" w:sz="0" w:space="0" w:color="auto"/>
        <w:left w:val="none" w:sz="0" w:space="0" w:color="auto"/>
        <w:bottom w:val="none" w:sz="0" w:space="0" w:color="auto"/>
        <w:right w:val="none" w:sz="0" w:space="0" w:color="auto"/>
      </w:divBdr>
    </w:div>
    <w:div w:id="280957905">
      <w:bodyDiv w:val="1"/>
      <w:marLeft w:val="0"/>
      <w:marRight w:val="0"/>
      <w:marTop w:val="0"/>
      <w:marBottom w:val="0"/>
      <w:divBdr>
        <w:top w:val="none" w:sz="0" w:space="0" w:color="auto"/>
        <w:left w:val="none" w:sz="0" w:space="0" w:color="auto"/>
        <w:bottom w:val="none" w:sz="0" w:space="0" w:color="auto"/>
        <w:right w:val="none" w:sz="0" w:space="0" w:color="auto"/>
      </w:divBdr>
    </w:div>
    <w:div w:id="325405664">
      <w:bodyDiv w:val="1"/>
      <w:marLeft w:val="0"/>
      <w:marRight w:val="0"/>
      <w:marTop w:val="0"/>
      <w:marBottom w:val="0"/>
      <w:divBdr>
        <w:top w:val="none" w:sz="0" w:space="0" w:color="auto"/>
        <w:left w:val="none" w:sz="0" w:space="0" w:color="auto"/>
        <w:bottom w:val="none" w:sz="0" w:space="0" w:color="auto"/>
        <w:right w:val="none" w:sz="0" w:space="0" w:color="auto"/>
      </w:divBdr>
    </w:div>
    <w:div w:id="333144392">
      <w:bodyDiv w:val="1"/>
      <w:marLeft w:val="0"/>
      <w:marRight w:val="0"/>
      <w:marTop w:val="0"/>
      <w:marBottom w:val="0"/>
      <w:divBdr>
        <w:top w:val="none" w:sz="0" w:space="0" w:color="auto"/>
        <w:left w:val="none" w:sz="0" w:space="0" w:color="auto"/>
        <w:bottom w:val="none" w:sz="0" w:space="0" w:color="auto"/>
        <w:right w:val="none" w:sz="0" w:space="0" w:color="auto"/>
      </w:divBdr>
    </w:div>
    <w:div w:id="340207600">
      <w:bodyDiv w:val="1"/>
      <w:marLeft w:val="0"/>
      <w:marRight w:val="0"/>
      <w:marTop w:val="0"/>
      <w:marBottom w:val="0"/>
      <w:divBdr>
        <w:top w:val="none" w:sz="0" w:space="0" w:color="auto"/>
        <w:left w:val="none" w:sz="0" w:space="0" w:color="auto"/>
        <w:bottom w:val="none" w:sz="0" w:space="0" w:color="auto"/>
        <w:right w:val="none" w:sz="0" w:space="0" w:color="auto"/>
      </w:divBdr>
    </w:div>
    <w:div w:id="343361041">
      <w:bodyDiv w:val="1"/>
      <w:marLeft w:val="0"/>
      <w:marRight w:val="0"/>
      <w:marTop w:val="0"/>
      <w:marBottom w:val="0"/>
      <w:divBdr>
        <w:top w:val="none" w:sz="0" w:space="0" w:color="auto"/>
        <w:left w:val="none" w:sz="0" w:space="0" w:color="auto"/>
        <w:bottom w:val="none" w:sz="0" w:space="0" w:color="auto"/>
        <w:right w:val="none" w:sz="0" w:space="0" w:color="auto"/>
      </w:divBdr>
    </w:div>
    <w:div w:id="351224665">
      <w:bodyDiv w:val="1"/>
      <w:marLeft w:val="0"/>
      <w:marRight w:val="0"/>
      <w:marTop w:val="0"/>
      <w:marBottom w:val="0"/>
      <w:divBdr>
        <w:top w:val="none" w:sz="0" w:space="0" w:color="auto"/>
        <w:left w:val="none" w:sz="0" w:space="0" w:color="auto"/>
        <w:bottom w:val="none" w:sz="0" w:space="0" w:color="auto"/>
        <w:right w:val="none" w:sz="0" w:space="0" w:color="auto"/>
      </w:divBdr>
    </w:div>
    <w:div w:id="351343537">
      <w:bodyDiv w:val="1"/>
      <w:marLeft w:val="0"/>
      <w:marRight w:val="0"/>
      <w:marTop w:val="0"/>
      <w:marBottom w:val="0"/>
      <w:divBdr>
        <w:top w:val="none" w:sz="0" w:space="0" w:color="auto"/>
        <w:left w:val="none" w:sz="0" w:space="0" w:color="auto"/>
        <w:bottom w:val="none" w:sz="0" w:space="0" w:color="auto"/>
        <w:right w:val="none" w:sz="0" w:space="0" w:color="auto"/>
      </w:divBdr>
    </w:div>
    <w:div w:id="353116969">
      <w:bodyDiv w:val="1"/>
      <w:marLeft w:val="0"/>
      <w:marRight w:val="0"/>
      <w:marTop w:val="0"/>
      <w:marBottom w:val="0"/>
      <w:divBdr>
        <w:top w:val="none" w:sz="0" w:space="0" w:color="auto"/>
        <w:left w:val="none" w:sz="0" w:space="0" w:color="auto"/>
        <w:bottom w:val="none" w:sz="0" w:space="0" w:color="auto"/>
        <w:right w:val="none" w:sz="0" w:space="0" w:color="auto"/>
      </w:divBdr>
    </w:div>
    <w:div w:id="370151307">
      <w:bodyDiv w:val="1"/>
      <w:marLeft w:val="0"/>
      <w:marRight w:val="0"/>
      <w:marTop w:val="0"/>
      <w:marBottom w:val="0"/>
      <w:divBdr>
        <w:top w:val="none" w:sz="0" w:space="0" w:color="auto"/>
        <w:left w:val="none" w:sz="0" w:space="0" w:color="auto"/>
        <w:bottom w:val="none" w:sz="0" w:space="0" w:color="auto"/>
        <w:right w:val="none" w:sz="0" w:space="0" w:color="auto"/>
      </w:divBdr>
    </w:div>
    <w:div w:id="387997199">
      <w:bodyDiv w:val="1"/>
      <w:marLeft w:val="0"/>
      <w:marRight w:val="0"/>
      <w:marTop w:val="0"/>
      <w:marBottom w:val="0"/>
      <w:divBdr>
        <w:top w:val="none" w:sz="0" w:space="0" w:color="auto"/>
        <w:left w:val="none" w:sz="0" w:space="0" w:color="auto"/>
        <w:bottom w:val="none" w:sz="0" w:space="0" w:color="auto"/>
        <w:right w:val="none" w:sz="0" w:space="0" w:color="auto"/>
      </w:divBdr>
    </w:div>
    <w:div w:id="419908099">
      <w:bodyDiv w:val="1"/>
      <w:marLeft w:val="0"/>
      <w:marRight w:val="0"/>
      <w:marTop w:val="0"/>
      <w:marBottom w:val="0"/>
      <w:divBdr>
        <w:top w:val="none" w:sz="0" w:space="0" w:color="auto"/>
        <w:left w:val="none" w:sz="0" w:space="0" w:color="auto"/>
        <w:bottom w:val="none" w:sz="0" w:space="0" w:color="auto"/>
        <w:right w:val="none" w:sz="0" w:space="0" w:color="auto"/>
      </w:divBdr>
    </w:div>
    <w:div w:id="422726273">
      <w:bodyDiv w:val="1"/>
      <w:marLeft w:val="0"/>
      <w:marRight w:val="0"/>
      <w:marTop w:val="0"/>
      <w:marBottom w:val="0"/>
      <w:divBdr>
        <w:top w:val="none" w:sz="0" w:space="0" w:color="auto"/>
        <w:left w:val="none" w:sz="0" w:space="0" w:color="auto"/>
        <w:bottom w:val="none" w:sz="0" w:space="0" w:color="auto"/>
        <w:right w:val="none" w:sz="0" w:space="0" w:color="auto"/>
      </w:divBdr>
    </w:div>
    <w:div w:id="438914655">
      <w:bodyDiv w:val="1"/>
      <w:marLeft w:val="0"/>
      <w:marRight w:val="0"/>
      <w:marTop w:val="0"/>
      <w:marBottom w:val="0"/>
      <w:divBdr>
        <w:top w:val="none" w:sz="0" w:space="0" w:color="auto"/>
        <w:left w:val="none" w:sz="0" w:space="0" w:color="auto"/>
        <w:bottom w:val="none" w:sz="0" w:space="0" w:color="auto"/>
        <w:right w:val="none" w:sz="0" w:space="0" w:color="auto"/>
      </w:divBdr>
    </w:div>
    <w:div w:id="440150579">
      <w:bodyDiv w:val="1"/>
      <w:marLeft w:val="0"/>
      <w:marRight w:val="0"/>
      <w:marTop w:val="0"/>
      <w:marBottom w:val="0"/>
      <w:divBdr>
        <w:top w:val="none" w:sz="0" w:space="0" w:color="auto"/>
        <w:left w:val="none" w:sz="0" w:space="0" w:color="auto"/>
        <w:bottom w:val="none" w:sz="0" w:space="0" w:color="auto"/>
        <w:right w:val="none" w:sz="0" w:space="0" w:color="auto"/>
      </w:divBdr>
    </w:div>
    <w:div w:id="458763130">
      <w:bodyDiv w:val="1"/>
      <w:marLeft w:val="0"/>
      <w:marRight w:val="0"/>
      <w:marTop w:val="0"/>
      <w:marBottom w:val="0"/>
      <w:divBdr>
        <w:top w:val="none" w:sz="0" w:space="0" w:color="auto"/>
        <w:left w:val="none" w:sz="0" w:space="0" w:color="auto"/>
        <w:bottom w:val="none" w:sz="0" w:space="0" w:color="auto"/>
        <w:right w:val="none" w:sz="0" w:space="0" w:color="auto"/>
      </w:divBdr>
    </w:div>
    <w:div w:id="462770022">
      <w:bodyDiv w:val="1"/>
      <w:marLeft w:val="0"/>
      <w:marRight w:val="0"/>
      <w:marTop w:val="0"/>
      <w:marBottom w:val="0"/>
      <w:divBdr>
        <w:top w:val="none" w:sz="0" w:space="0" w:color="auto"/>
        <w:left w:val="none" w:sz="0" w:space="0" w:color="auto"/>
        <w:bottom w:val="none" w:sz="0" w:space="0" w:color="auto"/>
        <w:right w:val="none" w:sz="0" w:space="0" w:color="auto"/>
      </w:divBdr>
    </w:div>
    <w:div w:id="470833605">
      <w:bodyDiv w:val="1"/>
      <w:marLeft w:val="0"/>
      <w:marRight w:val="0"/>
      <w:marTop w:val="0"/>
      <w:marBottom w:val="0"/>
      <w:divBdr>
        <w:top w:val="none" w:sz="0" w:space="0" w:color="auto"/>
        <w:left w:val="none" w:sz="0" w:space="0" w:color="auto"/>
        <w:bottom w:val="none" w:sz="0" w:space="0" w:color="auto"/>
        <w:right w:val="none" w:sz="0" w:space="0" w:color="auto"/>
      </w:divBdr>
    </w:div>
    <w:div w:id="476190328">
      <w:bodyDiv w:val="1"/>
      <w:marLeft w:val="0"/>
      <w:marRight w:val="0"/>
      <w:marTop w:val="0"/>
      <w:marBottom w:val="0"/>
      <w:divBdr>
        <w:top w:val="none" w:sz="0" w:space="0" w:color="auto"/>
        <w:left w:val="none" w:sz="0" w:space="0" w:color="auto"/>
        <w:bottom w:val="none" w:sz="0" w:space="0" w:color="auto"/>
        <w:right w:val="none" w:sz="0" w:space="0" w:color="auto"/>
      </w:divBdr>
    </w:div>
    <w:div w:id="480928466">
      <w:bodyDiv w:val="1"/>
      <w:marLeft w:val="0"/>
      <w:marRight w:val="0"/>
      <w:marTop w:val="0"/>
      <w:marBottom w:val="0"/>
      <w:divBdr>
        <w:top w:val="none" w:sz="0" w:space="0" w:color="auto"/>
        <w:left w:val="none" w:sz="0" w:space="0" w:color="auto"/>
        <w:bottom w:val="none" w:sz="0" w:space="0" w:color="auto"/>
        <w:right w:val="none" w:sz="0" w:space="0" w:color="auto"/>
      </w:divBdr>
    </w:div>
    <w:div w:id="490297846">
      <w:bodyDiv w:val="1"/>
      <w:marLeft w:val="0"/>
      <w:marRight w:val="0"/>
      <w:marTop w:val="0"/>
      <w:marBottom w:val="0"/>
      <w:divBdr>
        <w:top w:val="none" w:sz="0" w:space="0" w:color="auto"/>
        <w:left w:val="none" w:sz="0" w:space="0" w:color="auto"/>
        <w:bottom w:val="none" w:sz="0" w:space="0" w:color="auto"/>
        <w:right w:val="none" w:sz="0" w:space="0" w:color="auto"/>
      </w:divBdr>
    </w:div>
    <w:div w:id="494684480">
      <w:bodyDiv w:val="1"/>
      <w:marLeft w:val="0"/>
      <w:marRight w:val="0"/>
      <w:marTop w:val="0"/>
      <w:marBottom w:val="0"/>
      <w:divBdr>
        <w:top w:val="none" w:sz="0" w:space="0" w:color="auto"/>
        <w:left w:val="none" w:sz="0" w:space="0" w:color="auto"/>
        <w:bottom w:val="none" w:sz="0" w:space="0" w:color="auto"/>
        <w:right w:val="none" w:sz="0" w:space="0" w:color="auto"/>
      </w:divBdr>
    </w:div>
    <w:div w:id="504172308">
      <w:bodyDiv w:val="1"/>
      <w:marLeft w:val="0"/>
      <w:marRight w:val="0"/>
      <w:marTop w:val="0"/>
      <w:marBottom w:val="0"/>
      <w:divBdr>
        <w:top w:val="none" w:sz="0" w:space="0" w:color="auto"/>
        <w:left w:val="none" w:sz="0" w:space="0" w:color="auto"/>
        <w:bottom w:val="none" w:sz="0" w:space="0" w:color="auto"/>
        <w:right w:val="none" w:sz="0" w:space="0" w:color="auto"/>
      </w:divBdr>
    </w:div>
    <w:div w:id="508065118">
      <w:bodyDiv w:val="1"/>
      <w:marLeft w:val="0"/>
      <w:marRight w:val="0"/>
      <w:marTop w:val="0"/>
      <w:marBottom w:val="0"/>
      <w:divBdr>
        <w:top w:val="none" w:sz="0" w:space="0" w:color="auto"/>
        <w:left w:val="none" w:sz="0" w:space="0" w:color="auto"/>
        <w:bottom w:val="none" w:sz="0" w:space="0" w:color="auto"/>
        <w:right w:val="none" w:sz="0" w:space="0" w:color="auto"/>
      </w:divBdr>
    </w:div>
    <w:div w:id="540363206">
      <w:bodyDiv w:val="1"/>
      <w:marLeft w:val="0"/>
      <w:marRight w:val="0"/>
      <w:marTop w:val="0"/>
      <w:marBottom w:val="0"/>
      <w:divBdr>
        <w:top w:val="none" w:sz="0" w:space="0" w:color="auto"/>
        <w:left w:val="none" w:sz="0" w:space="0" w:color="auto"/>
        <w:bottom w:val="none" w:sz="0" w:space="0" w:color="auto"/>
        <w:right w:val="none" w:sz="0" w:space="0" w:color="auto"/>
      </w:divBdr>
    </w:div>
    <w:div w:id="541215178">
      <w:bodyDiv w:val="1"/>
      <w:marLeft w:val="0"/>
      <w:marRight w:val="0"/>
      <w:marTop w:val="0"/>
      <w:marBottom w:val="0"/>
      <w:divBdr>
        <w:top w:val="none" w:sz="0" w:space="0" w:color="auto"/>
        <w:left w:val="none" w:sz="0" w:space="0" w:color="auto"/>
        <w:bottom w:val="none" w:sz="0" w:space="0" w:color="auto"/>
        <w:right w:val="none" w:sz="0" w:space="0" w:color="auto"/>
      </w:divBdr>
    </w:div>
    <w:div w:id="560941268">
      <w:bodyDiv w:val="1"/>
      <w:marLeft w:val="0"/>
      <w:marRight w:val="0"/>
      <w:marTop w:val="0"/>
      <w:marBottom w:val="0"/>
      <w:divBdr>
        <w:top w:val="none" w:sz="0" w:space="0" w:color="auto"/>
        <w:left w:val="none" w:sz="0" w:space="0" w:color="auto"/>
        <w:bottom w:val="none" w:sz="0" w:space="0" w:color="auto"/>
        <w:right w:val="none" w:sz="0" w:space="0" w:color="auto"/>
      </w:divBdr>
    </w:div>
    <w:div w:id="562838729">
      <w:bodyDiv w:val="1"/>
      <w:marLeft w:val="0"/>
      <w:marRight w:val="0"/>
      <w:marTop w:val="0"/>
      <w:marBottom w:val="0"/>
      <w:divBdr>
        <w:top w:val="none" w:sz="0" w:space="0" w:color="auto"/>
        <w:left w:val="none" w:sz="0" w:space="0" w:color="auto"/>
        <w:bottom w:val="none" w:sz="0" w:space="0" w:color="auto"/>
        <w:right w:val="none" w:sz="0" w:space="0" w:color="auto"/>
      </w:divBdr>
    </w:div>
    <w:div w:id="570425624">
      <w:bodyDiv w:val="1"/>
      <w:marLeft w:val="0"/>
      <w:marRight w:val="0"/>
      <w:marTop w:val="0"/>
      <w:marBottom w:val="0"/>
      <w:divBdr>
        <w:top w:val="none" w:sz="0" w:space="0" w:color="auto"/>
        <w:left w:val="none" w:sz="0" w:space="0" w:color="auto"/>
        <w:bottom w:val="none" w:sz="0" w:space="0" w:color="auto"/>
        <w:right w:val="none" w:sz="0" w:space="0" w:color="auto"/>
      </w:divBdr>
    </w:div>
    <w:div w:id="574315389">
      <w:bodyDiv w:val="1"/>
      <w:marLeft w:val="0"/>
      <w:marRight w:val="0"/>
      <w:marTop w:val="0"/>
      <w:marBottom w:val="0"/>
      <w:divBdr>
        <w:top w:val="none" w:sz="0" w:space="0" w:color="auto"/>
        <w:left w:val="none" w:sz="0" w:space="0" w:color="auto"/>
        <w:bottom w:val="none" w:sz="0" w:space="0" w:color="auto"/>
        <w:right w:val="none" w:sz="0" w:space="0" w:color="auto"/>
      </w:divBdr>
    </w:div>
    <w:div w:id="603266960">
      <w:bodyDiv w:val="1"/>
      <w:marLeft w:val="0"/>
      <w:marRight w:val="0"/>
      <w:marTop w:val="0"/>
      <w:marBottom w:val="0"/>
      <w:divBdr>
        <w:top w:val="none" w:sz="0" w:space="0" w:color="auto"/>
        <w:left w:val="none" w:sz="0" w:space="0" w:color="auto"/>
        <w:bottom w:val="none" w:sz="0" w:space="0" w:color="auto"/>
        <w:right w:val="none" w:sz="0" w:space="0" w:color="auto"/>
      </w:divBdr>
    </w:div>
    <w:div w:id="609513463">
      <w:bodyDiv w:val="1"/>
      <w:marLeft w:val="0"/>
      <w:marRight w:val="0"/>
      <w:marTop w:val="0"/>
      <w:marBottom w:val="0"/>
      <w:divBdr>
        <w:top w:val="none" w:sz="0" w:space="0" w:color="auto"/>
        <w:left w:val="none" w:sz="0" w:space="0" w:color="auto"/>
        <w:bottom w:val="none" w:sz="0" w:space="0" w:color="auto"/>
        <w:right w:val="none" w:sz="0" w:space="0" w:color="auto"/>
      </w:divBdr>
    </w:div>
    <w:div w:id="617417596">
      <w:bodyDiv w:val="1"/>
      <w:marLeft w:val="0"/>
      <w:marRight w:val="0"/>
      <w:marTop w:val="0"/>
      <w:marBottom w:val="0"/>
      <w:divBdr>
        <w:top w:val="none" w:sz="0" w:space="0" w:color="auto"/>
        <w:left w:val="none" w:sz="0" w:space="0" w:color="auto"/>
        <w:bottom w:val="none" w:sz="0" w:space="0" w:color="auto"/>
        <w:right w:val="none" w:sz="0" w:space="0" w:color="auto"/>
      </w:divBdr>
    </w:div>
    <w:div w:id="623654144">
      <w:bodyDiv w:val="1"/>
      <w:marLeft w:val="0"/>
      <w:marRight w:val="0"/>
      <w:marTop w:val="0"/>
      <w:marBottom w:val="0"/>
      <w:divBdr>
        <w:top w:val="none" w:sz="0" w:space="0" w:color="auto"/>
        <w:left w:val="none" w:sz="0" w:space="0" w:color="auto"/>
        <w:bottom w:val="none" w:sz="0" w:space="0" w:color="auto"/>
        <w:right w:val="none" w:sz="0" w:space="0" w:color="auto"/>
      </w:divBdr>
    </w:div>
    <w:div w:id="628779714">
      <w:bodyDiv w:val="1"/>
      <w:marLeft w:val="0"/>
      <w:marRight w:val="0"/>
      <w:marTop w:val="0"/>
      <w:marBottom w:val="0"/>
      <w:divBdr>
        <w:top w:val="none" w:sz="0" w:space="0" w:color="auto"/>
        <w:left w:val="none" w:sz="0" w:space="0" w:color="auto"/>
        <w:bottom w:val="none" w:sz="0" w:space="0" w:color="auto"/>
        <w:right w:val="none" w:sz="0" w:space="0" w:color="auto"/>
      </w:divBdr>
    </w:div>
    <w:div w:id="635263886">
      <w:bodyDiv w:val="1"/>
      <w:marLeft w:val="0"/>
      <w:marRight w:val="0"/>
      <w:marTop w:val="0"/>
      <w:marBottom w:val="0"/>
      <w:divBdr>
        <w:top w:val="none" w:sz="0" w:space="0" w:color="auto"/>
        <w:left w:val="none" w:sz="0" w:space="0" w:color="auto"/>
        <w:bottom w:val="none" w:sz="0" w:space="0" w:color="auto"/>
        <w:right w:val="none" w:sz="0" w:space="0" w:color="auto"/>
      </w:divBdr>
    </w:div>
    <w:div w:id="659431109">
      <w:bodyDiv w:val="1"/>
      <w:marLeft w:val="0"/>
      <w:marRight w:val="0"/>
      <w:marTop w:val="0"/>
      <w:marBottom w:val="0"/>
      <w:divBdr>
        <w:top w:val="none" w:sz="0" w:space="0" w:color="auto"/>
        <w:left w:val="none" w:sz="0" w:space="0" w:color="auto"/>
        <w:bottom w:val="none" w:sz="0" w:space="0" w:color="auto"/>
        <w:right w:val="none" w:sz="0" w:space="0" w:color="auto"/>
      </w:divBdr>
    </w:div>
    <w:div w:id="677578585">
      <w:bodyDiv w:val="1"/>
      <w:marLeft w:val="0"/>
      <w:marRight w:val="0"/>
      <w:marTop w:val="0"/>
      <w:marBottom w:val="0"/>
      <w:divBdr>
        <w:top w:val="none" w:sz="0" w:space="0" w:color="auto"/>
        <w:left w:val="none" w:sz="0" w:space="0" w:color="auto"/>
        <w:bottom w:val="none" w:sz="0" w:space="0" w:color="auto"/>
        <w:right w:val="none" w:sz="0" w:space="0" w:color="auto"/>
      </w:divBdr>
    </w:div>
    <w:div w:id="693195178">
      <w:bodyDiv w:val="1"/>
      <w:marLeft w:val="0"/>
      <w:marRight w:val="0"/>
      <w:marTop w:val="0"/>
      <w:marBottom w:val="0"/>
      <w:divBdr>
        <w:top w:val="none" w:sz="0" w:space="0" w:color="auto"/>
        <w:left w:val="none" w:sz="0" w:space="0" w:color="auto"/>
        <w:bottom w:val="none" w:sz="0" w:space="0" w:color="auto"/>
        <w:right w:val="none" w:sz="0" w:space="0" w:color="auto"/>
      </w:divBdr>
    </w:div>
    <w:div w:id="696927804">
      <w:bodyDiv w:val="1"/>
      <w:marLeft w:val="0"/>
      <w:marRight w:val="0"/>
      <w:marTop w:val="0"/>
      <w:marBottom w:val="0"/>
      <w:divBdr>
        <w:top w:val="none" w:sz="0" w:space="0" w:color="auto"/>
        <w:left w:val="none" w:sz="0" w:space="0" w:color="auto"/>
        <w:bottom w:val="none" w:sz="0" w:space="0" w:color="auto"/>
        <w:right w:val="none" w:sz="0" w:space="0" w:color="auto"/>
      </w:divBdr>
    </w:div>
    <w:div w:id="699361642">
      <w:bodyDiv w:val="1"/>
      <w:marLeft w:val="0"/>
      <w:marRight w:val="0"/>
      <w:marTop w:val="0"/>
      <w:marBottom w:val="0"/>
      <w:divBdr>
        <w:top w:val="none" w:sz="0" w:space="0" w:color="auto"/>
        <w:left w:val="none" w:sz="0" w:space="0" w:color="auto"/>
        <w:bottom w:val="none" w:sz="0" w:space="0" w:color="auto"/>
        <w:right w:val="none" w:sz="0" w:space="0" w:color="auto"/>
      </w:divBdr>
    </w:div>
    <w:div w:id="728771436">
      <w:bodyDiv w:val="1"/>
      <w:marLeft w:val="0"/>
      <w:marRight w:val="0"/>
      <w:marTop w:val="0"/>
      <w:marBottom w:val="0"/>
      <w:divBdr>
        <w:top w:val="none" w:sz="0" w:space="0" w:color="auto"/>
        <w:left w:val="none" w:sz="0" w:space="0" w:color="auto"/>
        <w:bottom w:val="none" w:sz="0" w:space="0" w:color="auto"/>
        <w:right w:val="none" w:sz="0" w:space="0" w:color="auto"/>
      </w:divBdr>
    </w:div>
    <w:div w:id="739593320">
      <w:bodyDiv w:val="1"/>
      <w:marLeft w:val="0"/>
      <w:marRight w:val="0"/>
      <w:marTop w:val="0"/>
      <w:marBottom w:val="0"/>
      <w:divBdr>
        <w:top w:val="none" w:sz="0" w:space="0" w:color="auto"/>
        <w:left w:val="none" w:sz="0" w:space="0" w:color="auto"/>
        <w:bottom w:val="none" w:sz="0" w:space="0" w:color="auto"/>
        <w:right w:val="none" w:sz="0" w:space="0" w:color="auto"/>
      </w:divBdr>
    </w:div>
    <w:div w:id="742030093">
      <w:bodyDiv w:val="1"/>
      <w:marLeft w:val="0"/>
      <w:marRight w:val="0"/>
      <w:marTop w:val="0"/>
      <w:marBottom w:val="0"/>
      <w:divBdr>
        <w:top w:val="none" w:sz="0" w:space="0" w:color="auto"/>
        <w:left w:val="none" w:sz="0" w:space="0" w:color="auto"/>
        <w:bottom w:val="none" w:sz="0" w:space="0" w:color="auto"/>
        <w:right w:val="none" w:sz="0" w:space="0" w:color="auto"/>
      </w:divBdr>
    </w:div>
    <w:div w:id="744840029">
      <w:bodyDiv w:val="1"/>
      <w:marLeft w:val="0"/>
      <w:marRight w:val="0"/>
      <w:marTop w:val="0"/>
      <w:marBottom w:val="0"/>
      <w:divBdr>
        <w:top w:val="none" w:sz="0" w:space="0" w:color="auto"/>
        <w:left w:val="none" w:sz="0" w:space="0" w:color="auto"/>
        <w:bottom w:val="none" w:sz="0" w:space="0" w:color="auto"/>
        <w:right w:val="none" w:sz="0" w:space="0" w:color="auto"/>
      </w:divBdr>
    </w:div>
    <w:div w:id="757143659">
      <w:bodyDiv w:val="1"/>
      <w:marLeft w:val="0"/>
      <w:marRight w:val="0"/>
      <w:marTop w:val="0"/>
      <w:marBottom w:val="0"/>
      <w:divBdr>
        <w:top w:val="none" w:sz="0" w:space="0" w:color="auto"/>
        <w:left w:val="none" w:sz="0" w:space="0" w:color="auto"/>
        <w:bottom w:val="none" w:sz="0" w:space="0" w:color="auto"/>
        <w:right w:val="none" w:sz="0" w:space="0" w:color="auto"/>
      </w:divBdr>
    </w:div>
    <w:div w:id="761295873">
      <w:bodyDiv w:val="1"/>
      <w:marLeft w:val="0"/>
      <w:marRight w:val="0"/>
      <w:marTop w:val="0"/>
      <w:marBottom w:val="0"/>
      <w:divBdr>
        <w:top w:val="none" w:sz="0" w:space="0" w:color="auto"/>
        <w:left w:val="none" w:sz="0" w:space="0" w:color="auto"/>
        <w:bottom w:val="none" w:sz="0" w:space="0" w:color="auto"/>
        <w:right w:val="none" w:sz="0" w:space="0" w:color="auto"/>
      </w:divBdr>
    </w:div>
    <w:div w:id="762266067">
      <w:bodyDiv w:val="1"/>
      <w:marLeft w:val="0"/>
      <w:marRight w:val="0"/>
      <w:marTop w:val="0"/>
      <w:marBottom w:val="0"/>
      <w:divBdr>
        <w:top w:val="none" w:sz="0" w:space="0" w:color="auto"/>
        <w:left w:val="none" w:sz="0" w:space="0" w:color="auto"/>
        <w:bottom w:val="none" w:sz="0" w:space="0" w:color="auto"/>
        <w:right w:val="none" w:sz="0" w:space="0" w:color="auto"/>
      </w:divBdr>
    </w:div>
    <w:div w:id="767190111">
      <w:bodyDiv w:val="1"/>
      <w:marLeft w:val="0"/>
      <w:marRight w:val="0"/>
      <w:marTop w:val="0"/>
      <w:marBottom w:val="0"/>
      <w:divBdr>
        <w:top w:val="none" w:sz="0" w:space="0" w:color="auto"/>
        <w:left w:val="none" w:sz="0" w:space="0" w:color="auto"/>
        <w:bottom w:val="none" w:sz="0" w:space="0" w:color="auto"/>
        <w:right w:val="none" w:sz="0" w:space="0" w:color="auto"/>
      </w:divBdr>
    </w:div>
    <w:div w:id="792599750">
      <w:bodyDiv w:val="1"/>
      <w:marLeft w:val="0"/>
      <w:marRight w:val="0"/>
      <w:marTop w:val="0"/>
      <w:marBottom w:val="0"/>
      <w:divBdr>
        <w:top w:val="none" w:sz="0" w:space="0" w:color="auto"/>
        <w:left w:val="none" w:sz="0" w:space="0" w:color="auto"/>
        <w:bottom w:val="none" w:sz="0" w:space="0" w:color="auto"/>
        <w:right w:val="none" w:sz="0" w:space="0" w:color="auto"/>
      </w:divBdr>
    </w:div>
    <w:div w:id="797528501">
      <w:bodyDiv w:val="1"/>
      <w:marLeft w:val="0"/>
      <w:marRight w:val="0"/>
      <w:marTop w:val="0"/>
      <w:marBottom w:val="0"/>
      <w:divBdr>
        <w:top w:val="none" w:sz="0" w:space="0" w:color="auto"/>
        <w:left w:val="none" w:sz="0" w:space="0" w:color="auto"/>
        <w:bottom w:val="none" w:sz="0" w:space="0" w:color="auto"/>
        <w:right w:val="none" w:sz="0" w:space="0" w:color="auto"/>
      </w:divBdr>
    </w:div>
    <w:div w:id="807745927">
      <w:bodyDiv w:val="1"/>
      <w:marLeft w:val="0"/>
      <w:marRight w:val="0"/>
      <w:marTop w:val="0"/>
      <w:marBottom w:val="0"/>
      <w:divBdr>
        <w:top w:val="none" w:sz="0" w:space="0" w:color="auto"/>
        <w:left w:val="none" w:sz="0" w:space="0" w:color="auto"/>
        <w:bottom w:val="none" w:sz="0" w:space="0" w:color="auto"/>
        <w:right w:val="none" w:sz="0" w:space="0" w:color="auto"/>
      </w:divBdr>
    </w:div>
    <w:div w:id="816724043">
      <w:bodyDiv w:val="1"/>
      <w:marLeft w:val="0"/>
      <w:marRight w:val="0"/>
      <w:marTop w:val="0"/>
      <w:marBottom w:val="0"/>
      <w:divBdr>
        <w:top w:val="none" w:sz="0" w:space="0" w:color="auto"/>
        <w:left w:val="none" w:sz="0" w:space="0" w:color="auto"/>
        <w:bottom w:val="none" w:sz="0" w:space="0" w:color="auto"/>
        <w:right w:val="none" w:sz="0" w:space="0" w:color="auto"/>
      </w:divBdr>
    </w:div>
    <w:div w:id="825441547">
      <w:bodyDiv w:val="1"/>
      <w:marLeft w:val="0"/>
      <w:marRight w:val="0"/>
      <w:marTop w:val="0"/>
      <w:marBottom w:val="0"/>
      <w:divBdr>
        <w:top w:val="none" w:sz="0" w:space="0" w:color="auto"/>
        <w:left w:val="none" w:sz="0" w:space="0" w:color="auto"/>
        <w:bottom w:val="none" w:sz="0" w:space="0" w:color="auto"/>
        <w:right w:val="none" w:sz="0" w:space="0" w:color="auto"/>
      </w:divBdr>
    </w:div>
    <w:div w:id="835072073">
      <w:bodyDiv w:val="1"/>
      <w:marLeft w:val="0"/>
      <w:marRight w:val="0"/>
      <w:marTop w:val="0"/>
      <w:marBottom w:val="0"/>
      <w:divBdr>
        <w:top w:val="none" w:sz="0" w:space="0" w:color="auto"/>
        <w:left w:val="none" w:sz="0" w:space="0" w:color="auto"/>
        <w:bottom w:val="none" w:sz="0" w:space="0" w:color="auto"/>
        <w:right w:val="none" w:sz="0" w:space="0" w:color="auto"/>
      </w:divBdr>
    </w:div>
    <w:div w:id="839930282">
      <w:bodyDiv w:val="1"/>
      <w:marLeft w:val="0"/>
      <w:marRight w:val="0"/>
      <w:marTop w:val="0"/>
      <w:marBottom w:val="0"/>
      <w:divBdr>
        <w:top w:val="none" w:sz="0" w:space="0" w:color="auto"/>
        <w:left w:val="none" w:sz="0" w:space="0" w:color="auto"/>
        <w:bottom w:val="none" w:sz="0" w:space="0" w:color="auto"/>
        <w:right w:val="none" w:sz="0" w:space="0" w:color="auto"/>
      </w:divBdr>
      <w:divsChild>
        <w:div w:id="1776830022">
          <w:marLeft w:val="0"/>
          <w:marRight w:val="0"/>
          <w:marTop w:val="0"/>
          <w:marBottom w:val="0"/>
          <w:divBdr>
            <w:top w:val="none" w:sz="0" w:space="0" w:color="auto"/>
            <w:left w:val="none" w:sz="0" w:space="0" w:color="auto"/>
            <w:bottom w:val="none" w:sz="0" w:space="0" w:color="auto"/>
            <w:right w:val="none" w:sz="0" w:space="0" w:color="auto"/>
          </w:divBdr>
        </w:div>
        <w:div w:id="2095664093">
          <w:marLeft w:val="0"/>
          <w:marRight w:val="0"/>
          <w:marTop w:val="0"/>
          <w:marBottom w:val="0"/>
          <w:divBdr>
            <w:top w:val="none" w:sz="0" w:space="0" w:color="auto"/>
            <w:left w:val="none" w:sz="0" w:space="0" w:color="auto"/>
            <w:bottom w:val="none" w:sz="0" w:space="0" w:color="auto"/>
            <w:right w:val="none" w:sz="0" w:space="0" w:color="auto"/>
          </w:divBdr>
        </w:div>
      </w:divsChild>
    </w:div>
    <w:div w:id="844904728">
      <w:bodyDiv w:val="1"/>
      <w:marLeft w:val="0"/>
      <w:marRight w:val="0"/>
      <w:marTop w:val="0"/>
      <w:marBottom w:val="0"/>
      <w:divBdr>
        <w:top w:val="none" w:sz="0" w:space="0" w:color="auto"/>
        <w:left w:val="none" w:sz="0" w:space="0" w:color="auto"/>
        <w:bottom w:val="none" w:sz="0" w:space="0" w:color="auto"/>
        <w:right w:val="none" w:sz="0" w:space="0" w:color="auto"/>
      </w:divBdr>
    </w:div>
    <w:div w:id="860902415">
      <w:bodyDiv w:val="1"/>
      <w:marLeft w:val="0"/>
      <w:marRight w:val="0"/>
      <w:marTop w:val="0"/>
      <w:marBottom w:val="0"/>
      <w:divBdr>
        <w:top w:val="none" w:sz="0" w:space="0" w:color="auto"/>
        <w:left w:val="none" w:sz="0" w:space="0" w:color="auto"/>
        <w:bottom w:val="none" w:sz="0" w:space="0" w:color="auto"/>
        <w:right w:val="none" w:sz="0" w:space="0" w:color="auto"/>
      </w:divBdr>
    </w:div>
    <w:div w:id="865487095">
      <w:bodyDiv w:val="1"/>
      <w:marLeft w:val="0"/>
      <w:marRight w:val="0"/>
      <w:marTop w:val="0"/>
      <w:marBottom w:val="0"/>
      <w:divBdr>
        <w:top w:val="none" w:sz="0" w:space="0" w:color="auto"/>
        <w:left w:val="none" w:sz="0" w:space="0" w:color="auto"/>
        <w:bottom w:val="none" w:sz="0" w:space="0" w:color="auto"/>
        <w:right w:val="none" w:sz="0" w:space="0" w:color="auto"/>
      </w:divBdr>
    </w:div>
    <w:div w:id="879628049">
      <w:bodyDiv w:val="1"/>
      <w:marLeft w:val="0"/>
      <w:marRight w:val="0"/>
      <w:marTop w:val="0"/>
      <w:marBottom w:val="0"/>
      <w:divBdr>
        <w:top w:val="none" w:sz="0" w:space="0" w:color="auto"/>
        <w:left w:val="none" w:sz="0" w:space="0" w:color="auto"/>
        <w:bottom w:val="none" w:sz="0" w:space="0" w:color="auto"/>
        <w:right w:val="none" w:sz="0" w:space="0" w:color="auto"/>
      </w:divBdr>
    </w:div>
    <w:div w:id="888417088">
      <w:bodyDiv w:val="1"/>
      <w:marLeft w:val="0"/>
      <w:marRight w:val="0"/>
      <w:marTop w:val="0"/>
      <w:marBottom w:val="0"/>
      <w:divBdr>
        <w:top w:val="none" w:sz="0" w:space="0" w:color="auto"/>
        <w:left w:val="none" w:sz="0" w:space="0" w:color="auto"/>
        <w:bottom w:val="none" w:sz="0" w:space="0" w:color="auto"/>
        <w:right w:val="none" w:sz="0" w:space="0" w:color="auto"/>
      </w:divBdr>
    </w:div>
    <w:div w:id="893083772">
      <w:bodyDiv w:val="1"/>
      <w:marLeft w:val="0"/>
      <w:marRight w:val="0"/>
      <w:marTop w:val="0"/>
      <w:marBottom w:val="0"/>
      <w:divBdr>
        <w:top w:val="none" w:sz="0" w:space="0" w:color="auto"/>
        <w:left w:val="none" w:sz="0" w:space="0" w:color="auto"/>
        <w:bottom w:val="none" w:sz="0" w:space="0" w:color="auto"/>
        <w:right w:val="none" w:sz="0" w:space="0" w:color="auto"/>
      </w:divBdr>
    </w:div>
    <w:div w:id="893155135">
      <w:bodyDiv w:val="1"/>
      <w:marLeft w:val="0"/>
      <w:marRight w:val="0"/>
      <w:marTop w:val="0"/>
      <w:marBottom w:val="0"/>
      <w:divBdr>
        <w:top w:val="none" w:sz="0" w:space="0" w:color="auto"/>
        <w:left w:val="none" w:sz="0" w:space="0" w:color="auto"/>
        <w:bottom w:val="none" w:sz="0" w:space="0" w:color="auto"/>
        <w:right w:val="none" w:sz="0" w:space="0" w:color="auto"/>
      </w:divBdr>
    </w:div>
    <w:div w:id="894046195">
      <w:bodyDiv w:val="1"/>
      <w:marLeft w:val="0"/>
      <w:marRight w:val="0"/>
      <w:marTop w:val="0"/>
      <w:marBottom w:val="0"/>
      <w:divBdr>
        <w:top w:val="none" w:sz="0" w:space="0" w:color="auto"/>
        <w:left w:val="none" w:sz="0" w:space="0" w:color="auto"/>
        <w:bottom w:val="none" w:sz="0" w:space="0" w:color="auto"/>
        <w:right w:val="none" w:sz="0" w:space="0" w:color="auto"/>
      </w:divBdr>
    </w:div>
    <w:div w:id="906841495">
      <w:bodyDiv w:val="1"/>
      <w:marLeft w:val="0"/>
      <w:marRight w:val="0"/>
      <w:marTop w:val="0"/>
      <w:marBottom w:val="0"/>
      <w:divBdr>
        <w:top w:val="none" w:sz="0" w:space="0" w:color="auto"/>
        <w:left w:val="none" w:sz="0" w:space="0" w:color="auto"/>
        <w:bottom w:val="none" w:sz="0" w:space="0" w:color="auto"/>
        <w:right w:val="none" w:sz="0" w:space="0" w:color="auto"/>
      </w:divBdr>
    </w:div>
    <w:div w:id="911548071">
      <w:bodyDiv w:val="1"/>
      <w:marLeft w:val="0"/>
      <w:marRight w:val="0"/>
      <w:marTop w:val="0"/>
      <w:marBottom w:val="0"/>
      <w:divBdr>
        <w:top w:val="none" w:sz="0" w:space="0" w:color="auto"/>
        <w:left w:val="none" w:sz="0" w:space="0" w:color="auto"/>
        <w:bottom w:val="none" w:sz="0" w:space="0" w:color="auto"/>
        <w:right w:val="none" w:sz="0" w:space="0" w:color="auto"/>
      </w:divBdr>
    </w:div>
    <w:div w:id="955329707">
      <w:bodyDiv w:val="1"/>
      <w:marLeft w:val="0"/>
      <w:marRight w:val="0"/>
      <w:marTop w:val="0"/>
      <w:marBottom w:val="0"/>
      <w:divBdr>
        <w:top w:val="none" w:sz="0" w:space="0" w:color="auto"/>
        <w:left w:val="none" w:sz="0" w:space="0" w:color="auto"/>
        <w:bottom w:val="none" w:sz="0" w:space="0" w:color="auto"/>
        <w:right w:val="none" w:sz="0" w:space="0" w:color="auto"/>
      </w:divBdr>
    </w:div>
    <w:div w:id="992876828">
      <w:bodyDiv w:val="1"/>
      <w:marLeft w:val="0"/>
      <w:marRight w:val="0"/>
      <w:marTop w:val="0"/>
      <w:marBottom w:val="0"/>
      <w:divBdr>
        <w:top w:val="none" w:sz="0" w:space="0" w:color="auto"/>
        <w:left w:val="none" w:sz="0" w:space="0" w:color="auto"/>
        <w:bottom w:val="none" w:sz="0" w:space="0" w:color="auto"/>
        <w:right w:val="none" w:sz="0" w:space="0" w:color="auto"/>
      </w:divBdr>
    </w:div>
    <w:div w:id="996685811">
      <w:bodyDiv w:val="1"/>
      <w:marLeft w:val="0"/>
      <w:marRight w:val="0"/>
      <w:marTop w:val="0"/>
      <w:marBottom w:val="0"/>
      <w:divBdr>
        <w:top w:val="none" w:sz="0" w:space="0" w:color="auto"/>
        <w:left w:val="none" w:sz="0" w:space="0" w:color="auto"/>
        <w:bottom w:val="none" w:sz="0" w:space="0" w:color="auto"/>
        <w:right w:val="none" w:sz="0" w:space="0" w:color="auto"/>
      </w:divBdr>
    </w:div>
    <w:div w:id="996690196">
      <w:bodyDiv w:val="1"/>
      <w:marLeft w:val="0"/>
      <w:marRight w:val="0"/>
      <w:marTop w:val="0"/>
      <w:marBottom w:val="0"/>
      <w:divBdr>
        <w:top w:val="none" w:sz="0" w:space="0" w:color="auto"/>
        <w:left w:val="none" w:sz="0" w:space="0" w:color="auto"/>
        <w:bottom w:val="none" w:sz="0" w:space="0" w:color="auto"/>
        <w:right w:val="none" w:sz="0" w:space="0" w:color="auto"/>
      </w:divBdr>
    </w:div>
    <w:div w:id="1010449785">
      <w:bodyDiv w:val="1"/>
      <w:marLeft w:val="0"/>
      <w:marRight w:val="0"/>
      <w:marTop w:val="0"/>
      <w:marBottom w:val="0"/>
      <w:divBdr>
        <w:top w:val="none" w:sz="0" w:space="0" w:color="auto"/>
        <w:left w:val="none" w:sz="0" w:space="0" w:color="auto"/>
        <w:bottom w:val="none" w:sz="0" w:space="0" w:color="auto"/>
        <w:right w:val="none" w:sz="0" w:space="0" w:color="auto"/>
      </w:divBdr>
    </w:div>
    <w:div w:id="1020861294">
      <w:bodyDiv w:val="1"/>
      <w:marLeft w:val="0"/>
      <w:marRight w:val="0"/>
      <w:marTop w:val="0"/>
      <w:marBottom w:val="0"/>
      <w:divBdr>
        <w:top w:val="none" w:sz="0" w:space="0" w:color="auto"/>
        <w:left w:val="none" w:sz="0" w:space="0" w:color="auto"/>
        <w:bottom w:val="none" w:sz="0" w:space="0" w:color="auto"/>
        <w:right w:val="none" w:sz="0" w:space="0" w:color="auto"/>
      </w:divBdr>
    </w:div>
    <w:div w:id="1028410855">
      <w:bodyDiv w:val="1"/>
      <w:marLeft w:val="0"/>
      <w:marRight w:val="0"/>
      <w:marTop w:val="0"/>
      <w:marBottom w:val="0"/>
      <w:divBdr>
        <w:top w:val="none" w:sz="0" w:space="0" w:color="auto"/>
        <w:left w:val="none" w:sz="0" w:space="0" w:color="auto"/>
        <w:bottom w:val="none" w:sz="0" w:space="0" w:color="auto"/>
        <w:right w:val="none" w:sz="0" w:space="0" w:color="auto"/>
      </w:divBdr>
    </w:div>
    <w:div w:id="1045445017">
      <w:bodyDiv w:val="1"/>
      <w:marLeft w:val="0"/>
      <w:marRight w:val="0"/>
      <w:marTop w:val="0"/>
      <w:marBottom w:val="0"/>
      <w:divBdr>
        <w:top w:val="none" w:sz="0" w:space="0" w:color="auto"/>
        <w:left w:val="none" w:sz="0" w:space="0" w:color="auto"/>
        <w:bottom w:val="none" w:sz="0" w:space="0" w:color="auto"/>
        <w:right w:val="none" w:sz="0" w:space="0" w:color="auto"/>
      </w:divBdr>
    </w:div>
    <w:div w:id="1050765003">
      <w:bodyDiv w:val="1"/>
      <w:marLeft w:val="0"/>
      <w:marRight w:val="0"/>
      <w:marTop w:val="0"/>
      <w:marBottom w:val="0"/>
      <w:divBdr>
        <w:top w:val="none" w:sz="0" w:space="0" w:color="auto"/>
        <w:left w:val="none" w:sz="0" w:space="0" w:color="auto"/>
        <w:bottom w:val="none" w:sz="0" w:space="0" w:color="auto"/>
        <w:right w:val="none" w:sz="0" w:space="0" w:color="auto"/>
      </w:divBdr>
    </w:div>
    <w:div w:id="1060401968">
      <w:bodyDiv w:val="1"/>
      <w:marLeft w:val="0"/>
      <w:marRight w:val="0"/>
      <w:marTop w:val="0"/>
      <w:marBottom w:val="0"/>
      <w:divBdr>
        <w:top w:val="none" w:sz="0" w:space="0" w:color="auto"/>
        <w:left w:val="none" w:sz="0" w:space="0" w:color="auto"/>
        <w:bottom w:val="none" w:sz="0" w:space="0" w:color="auto"/>
        <w:right w:val="none" w:sz="0" w:space="0" w:color="auto"/>
      </w:divBdr>
    </w:div>
    <w:div w:id="1079641732">
      <w:bodyDiv w:val="1"/>
      <w:marLeft w:val="0"/>
      <w:marRight w:val="0"/>
      <w:marTop w:val="0"/>
      <w:marBottom w:val="0"/>
      <w:divBdr>
        <w:top w:val="none" w:sz="0" w:space="0" w:color="auto"/>
        <w:left w:val="none" w:sz="0" w:space="0" w:color="auto"/>
        <w:bottom w:val="none" w:sz="0" w:space="0" w:color="auto"/>
        <w:right w:val="none" w:sz="0" w:space="0" w:color="auto"/>
      </w:divBdr>
    </w:div>
    <w:div w:id="1080522347">
      <w:bodyDiv w:val="1"/>
      <w:marLeft w:val="0"/>
      <w:marRight w:val="0"/>
      <w:marTop w:val="0"/>
      <w:marBottom w:val="0"/>
      <w:divBdr>
        <w:top w:val="none" w:sz="0" w:space="0" w:color="auto"/>
        <w:left w:val="none" w:sz="0" w:space="0" w:color="auto"/>
        <w:bottom w:val="none" w:sz="0" w:space="0" w:color="auto"/>
        <w:right w:val="none" w:sz="0" w:space="0" w:color="auto"/>
      </w:divBdr>
    </w:div>
    <w:div w:id="1089740495">
      <w:bodyDiv w:val="1"/>
      <w:marLeft w:val="0"/>
      <w:marRight w:val="0"/>
      <w:marTop w:val="0"/>
      <w:marBottom w:val="0"/>
      <w:divBdr>
        <w:top w:val="none" w:sz="0" w:space="0" w:color="auto"/>
        <w:left w:val="none" w:sz="0" w:space="0" w:color="auto"/>
        <w:bottom w:val="none" w:sz="0" w:space="0" w:color="auto"/>
        <w:right w:val="none" w:sz="0" w:space="0" w:color="auto"/>
      </w:divBdr>
    </w:div>
    <w:div w:id="1090004155">
      <w:bodyDiv w:val="1"/>
      <w:marLeft w:val="0"/>
      <w:marRight w:val="0"/>
      <w:marTop w:val="0"/>
      <w:marBottom w:val="0"/>
      <w:divBdr>
        <w:top w:val="none" w:sz="0" w:space="0" w:color="auto"/>
        <w:left w:val="none" w:sz="0" w:space="0" w:color="auto"/>
        <w:bottom w:val="none" w:sz="0" w:space="0" w:color="auto"/>
        <w:right w:val="none" w:sz="0" w:space="0" w:color="auto"/>
      </w:divBdr>
    </w:div>
    <w:div w:id="1107575898">
      <w:bodyDiv w:val="1"/>
      <w:marLeft w:val="0"/>
      <w:marRight w:val="0"/>
      <w:marTop w:val="0"/>
      <w:marBottom w:val="0"/>
      <w:divBdr>
        <w:top w:val="none" w:sz="0" w:space="0" w:color="auto"/>
        <w:left w:val="none" w:sz="0" w:space="0" w:color="auto"/>
        <w:bottom w:val="none" w:sz="0" w:space="0" w:color="auto"/>
        <w:right w:val="none" w:sz="0" w:space="0" w:color="auto"/>
      </w:divBdr>
    </w:div>
    <w:div w:id="1121724349">
      <w:bodyDiv w:val="1"/>
      <w:marLeft w:val="0"/>
      <w:marRight w:val="0"/>
      <w:marTop w:val="0"/>
      <w:marBottom w:val="0"/>
      <w:divBdr>
        <w:top w:val="none" w:sz="0" w:space="0" w:color="auto"/>
        <w:left w:val="none" w:sz="0" w:space="0" w:color="auto"/>
        <w:bottom w:val="none" w:sz="0" w:space="0" w:color="auto"/>
        <w:right w:val="none" w:sz="0" w:space="0" w:color="auto"/>
      </w:divBdr>
    </w:div>
    <w:div w:id="1150827448">
      <w:bodyDiv w:val="1"/>
      <w:marLeft w:val="0"/>
      <w:marRight w:val="0"/>
      <w:marTop w:val="0"/>
      <w:marBottom w:val="0"/>
      <w:divBdr>
        <w:top w:val="none" w:sz="0" w:space="0" w:color="auto"/>
        <w:left w:val="none" w:sz="0" w:space="0" w:color="auto"/>
        <w:bottom w:val="none" w:sz="0" w:space="0" w:color="auto"/>
        <w:right w:val="none" w:sz="0" w:space="0" w:color="auto"/>
      </w:divBdr>
    </w:div>
    <w:div w:id="1153445731">
      <w:bodyDiv w:val="1"/>
      <w:marLeft w:val="0"/>
      <w:marRight w:val="0"/>
      <w:marTop w:val="0"/>
      <w:marBottom w:val="0"/>
      <w:divBdr>
        <w:top w:val="none" w:sz="0" w:space="0" w:color="auto"/>
        <w:left w:val="none" w:sz="0" w:space="0" w:color="auto"/>
        <w:bottom w:val="none" w:sz="0" w:space="0" w:color="auto"/>
        <w:right w:val="none" w:sz="0" w:space="0" w:color="auto"/>
      </w:divBdr>
    </w:div>
    <w:div w:id="1166631579">
      <w:bodyDiv w:val="1"/>
      <w:marLeft w:val="0"/>
      <w:marRight w:val="0"/>
      <w:marTop w:val="0"/>
      <w:marBottom w:val="0"/>
      <w:divBdr>
        <w:top w:val="none" w:sz="0" w:space="0" w:color="auto"/>
        <w:left w:val="none" w:sz="0" w:space="0" w:color="auto"/>
        <w:bottom w:val="none" w:sz="0" w:space="0" w:color="auto"/>
        <w:right w:val="none" w:sz="0" w:space="0" w:color="auto"/>
      </w:divBdr>
    </w:div>
    <w:div w:id="1188522920">
      <w:bodyDiv w:val="1"/>
      <w:marLeft w:val="0"/>
      <w:marRight w:val="0"/>
      <w:marTop w:val="0"/>
      <w:marBottom w:val="0"/>
      <w:divBdr>
        <w:top w:val="none" w:sz="0" w:space="0" w:color="auto"/>
        <w:left w:val="none" w:sz="0" w:space="0" w:color="auto"/>
        <w:bottom w:val="none" w:sz="0" w:space="0" w:color="auto"/>
        <w:right w:val="none" w:sz="0" w:space="0" w:color="auto"/>
      </w:divBdr>
    </w:div>
    <w:div w:id="1202589572">
      <w:bodyDiv w:val="1"/>
      <w:marLeft w:val="0"/>
      <w:marRight w:val="0"/>
      <w:marTop w:val="0"/>
      <w:marBottom w:val="0"/>
      <w:divBdr>
        <w:top w:val="none" w:sz="0" w:space="0" w:color="auto"/>
        <w:left w:val="none" w:sz="0" w:space="0" w:color="auto"/>
        <w:bottom w:val="none" w:sz="0" w:space="0" w:color="auto"/>
        <w:right w:val="none" w:sz="0" w:space="0" w:color="auto"/>
      </w:divBdr>
    </w:div>
    <w:div w:id="1228220237">
      <w:bodyDiv w:val="1"/>
      <w:marLeft w:val="0"/>
      <w:marRight w:val="0"/>
      <w:marTop w:val="0"/>
      <w:marBottom w:val="0"/>
      <w:divBdr>
        <w:top w:val="none" w:sz="0" w:space="0" w:color="auto"/>
        <w:left w:val="none" w:sz="0" w:space="0" w:color="auto"/>
        <w:bottom w:val="none" w:sz="0" w:space="0" w:color="auto"/>
        <w:right w:val="none" w:sz="0" w:space="0" w:color="auto"/>
      </w:divBdr>
    </w:div>
    <w:div w:id="1235048652">
      <w:bodyDiv w:val="1"/>
      <w:marLeft w:val="0"/>
      <w:marRight w:val="0"/>
      <w:marTop w:val="0"/>
      <w:marBottom w:val="0"/>
      <w:divBdr>
        <w:top w:val="none" w:sz="0" w:space="0" w:color="auto"/>
        <w:left w:val="none" w:sz="0" w:space="0" w:color="auto"/>
        <w:bottom w:val="none" w:sz="0" w:space="0" w:color="auto"/>
        <w:right w:val="none" w:sz="0" w:space="0" w:color="auto"/>
      </w:divBdr>
    </w:div>
    <w:div w:id="1256209999">
      <w:bodyDiv w:val="1"/>
      <w:marLeft w:val="0"/>
      <w:marRight w:val="0"/>
      <w:marTop w:val="0"/>
      <w:marBottom w:val="0"/>
      <w:divBdr>
        <w:top w:val="none" w:sz="0" w:space="0" w:color="auto"/>
        <w:left w:val="none" w:sz="0" w:space="0" w:color="auto"/>
        <w:bottom w:val="none" w:sz="0" w:space="0" w:color="auto"/>
        <w:right w:val="none" w:sz="0" w:space="0" w:color="auto"/>
      </w:divBdr>
    </w:div>
    <w:div w:id="1267232425">
      <w:bodyDiv w:val="1"/>
      <w:marLeft w:val="0"/>
      <w:marRight w:val="0"/>
      <w:marTop w:val="0"/>
      <w:marBottom w:val="0"/>
      <w:divBdr>
        <w:top w:val="none" w:sz="0" w:space="0" w:color="auto"/>
        <w:left w:val="none" w:sz="0" w:space="0" w:color="auto"/>
        <w:bottom w:val="none" w:sz="0" w:space="0" w:color="auto"/>
        <w:right w:val="none" w:sz="0" w:space="0" w:color="auto"/>
      </w:divBdr>
    </w:div>
    <w:div w:id="1305084018">
      <w:bodyDiv w:val="1"/>
      <w:marLeft w:val="0"/>
      <w:marRight w:val="0"/>
      <w:marTop w:val="0"/>
      <w:marBottom w:val="0"/>
      <w:divBdr>
        <w:top w:val="none" w:sz="0" w:space="0" w:color="auto"/>
        <w:left w:val="none" w:sz="0" w:space="0" w:color="auto"/>
        <w:bottom w:val="none" w:sz="0" w:space="0" w:color="auto"/>
        <w:right w:val="none" w:sz="0" w:space="0" w:color="auto"/>
      </w:divBdr>
    </w:div>
    <w:div w:id="1318925826">
      <w:bodyDiv w:val="1"/>
      <w:marLeft w:val="0"/>
      <w:marRight w:val="0"/>
      <w:marTop w:val="0"/>
      <w:marBottom w:val="0"/>
      <w:divBdr>
        <w:top w:val="none" w:sz="0" w:space="0" w:color="auto"/>
        <w:left w:val="none" w:sz="0" w:space="0" w:color="auto"/>
        <w:bottom w:val="none" w:sz="0" w:space="0" w:color="auto"/>
        <w:right w:val="none" w:sz="0" w:space="0" w:color="auto"/>
      </w:divBdr>
    </w:div>
    <w:div w:id="1328363931">
      <w:bodyDiv w:val="1"/>
      <w:marLeft w:val="0"/>
      <w:marRight w:val="0"/>
      <w:marTop w:val="0"/>
      <w:marBottom w:val="0"/>
      <w:divBdr>
        <w:top w:val="none" w:sz="0" w:space="0" w:color="auto"/>
        <w:left w:val="none" w:sz="0" w:space="0" w:color="auto"/>
        <w:bottom w:val="none" w:sz="0" w:space="0" w:color="auto"/>
        <w:right w:val="none" w:sz="0" w:space="0" w:color="auto"/>
      </w:divBdr>
    </w:div>
    <w:div w:id="1348556061">
      <w:bodyDiv w:val="1"/>
      <w:marLeft w:val="0"/>
      <w:marRight w:val="0"/>
      <w:marTop w:val="0"/>
      <w:marBottom w:val="0"/>
      <w:divBdr>
        <w:top w:val="none" w:sz="0" w:space="0" w:color="auto"/>
        <w:left w:val="none" w:sz="0" w:space="0" w:color="auto"/>
        <w:bottom w:val="none" w:sz="0" w:space="0" w:color="auto"/>
        <w:right w:val="none" w:sz="0" w:space="0" w:color="auto"/>
      </w:divBdr>
    </w:div>
    <w:div w:id="1351680012">
      <w:bodyDiv w:val="1"/>
      <w:marLeft w:val="0"/>
      <w:marRight w:val="0"/>
      <w:marTop w:val="0"/>
      <w:marBottom w:val="0"/>
      <w:divBdr>
        <w:top w:val="none" w:sz="0" w:space="0" w:color="auto"/>
        <w:left w:val="none" w:sz="0" w:space="0" w:color="auto"/>
        <w:bottom w:val="none" w:sz="0" w:space="0" w:color="auto"/>
        <w:right w:val="none" w:sz="0" w:space="0" w:color="auto"/>
      </w:divBdr>
    </w:div>
    <w:div w:id="1355643949">
      <w:bodyDiv w:val="1"/>
      <w:marLeft w:val="0"/>
      <w:marRight w:val="0"/>
      <w:marTop w:val="0"/>
      <w:marBottom w:val="0"/>
      <w:divBdr>
        <w:top w:val="none" w:sz="0" w:space="0" w:color="auto"/>
        <w:left w:val="none" w:sz="0" w:space="0" w:color="auto"/>
        <w:bottom w:val="none" w:sz="0" w:space="0" w:color="auto"/>
        <w:right w:val="none" w:sz="0" w:space="0" w:color="auto"/>
      </w:divBdr>
    </w:div>
    <w:div w:id="1362394251">
      <w:bodyDiv w:val="1"/>
      <w:marLeft w:val="0"/>
      <w:marRight w:val="0"/>
      <w:marTop w:val="0"/>
      <w:marBottom w:val="0"/>
      <w:divBdr>
        <w:top w:val="none" w:sz="0" w:space="0" w:color="auto"/>
        <w:left w:val="none" w:sz="0" w:space="0" w:color="auto"/>
        <w:bottom w:val="none" w:sz="0" w:space="0" w:color="auto"/>
        <w:right w:val="none" w:sz="0" w:space="0" w:color="auto"/>
      </w:divBdr>
    </w:div>
    <w:div w:id="1364163683">
      <w:bodyDiv w:val="1"/>
      <w:marLeft w:val="0"/>
      <w:marRight w:val="0"/>
      <w:marTop w:val="0"/>
      <w:marBottom w:val="0"/>
      <w:divBdr>
        <w:top w:val="none" w:sz="0" w:space="0" w:color="auto"/>
        <w:left w:val="none" w:sz="0" w:space="0" w:color="auto"/>
        <w:bottom w:val="none" w:sz="0" w:space="0" w:color="auto"/>
        <w:right w:val="none" w:sz="0" w:space="0" w:color="auto"/>
      </w:divBdr>
    </w:div>
    <w:div w:id="1376931647">
      <w:bodyDiv w:val="1"/>
      <w:marLeft w:val="0"/>
      <w:marRight w:val="0"/>
      <w:marTop w:val="0"/>
      <w:marBottom w:val="0"/>
      <w:divBdr>
        <w:top w:val="none" w:sz="0" w:space="0" w:color="auto"/>
        <w:left w:val="none" w:sz="0" w:space="0" w:color="auto"/>
        <w:bottom w:val="none" w:sz="0" w:space="0" w:color="auto"/>
        <w:right w:val="none" w:sz="0" w:space="0" w:color="auto"/>
      </w:divBdr>
    </w:div>
    <w:div w:id="1420758994">
      <w:bodyDiv w:val="1"/>
      <w:marLeft w:val="0"/>
      <w:marRight w:val="0"/>
      <w:marTop w:val="0"/>
      <w:marBottom w:val="0"/>
      <w:divBdr>
        <w:top w:val="none" w:sz="0" w:space="0" w:color="auto"/>
        <w:left w:val="none" w:sz="0" w:space="0" w:color="auto"/>
        <w:bottom w:val="none" w:sz="0" w:space="0" w:color="auto"/>
        <w:right w:val="none" w:sz="0" w:space="0" w:color="auto"/>
      </w:divBdr>
    </w:div>
    <w:div w:id="1428312639">
      <w:bodyDiv w:val="1"/>
      <w:marLeft w:val="0"/>
      <w:marRight w:val="0"/>
      <w:marTop w:val="0"/>
      <w:marBottom w:val="0"/>
      <w:divBdr>
        <w:top w:val="none" w:sz="0" w:space="0" w:color="auto"/>
        <w:left w:val="none" w:sz="0" w:space="0" w:color="auto"/>
        <w:bottom w:val="none" w:sz="0" w:space="0" w:color="auto"/>
        <w:right w:val="none" w:sz="0" w:space="0" w:color="auto"/>
      </w:divBdr>
    </w:div>
    <w:div w:id="1444350049">
      <w:bodyDiv w:val="1"/>
      <w:marLeft w:val="0"/>
      <w:marRight w:val="0"/>
      <w:marTop w:val="0"/>
      <w:marBottom w:val="0"/>
      <w:divBdr>
        <w:top w:val="none" w:sz="0" w:space="0" w:color="auto"/>
        <w:left w:val="none" w:sz="0" w:space="0" w:color="auto"/>
        <w:bottom w:val="none" w:sz="0" w:space="0" w:color="auto"/>
        <w:right w:val="none" w:sz="0" w:space="0" w:color="auto"/>
      </w:divBdr>
    </w:div>
    <w:div w:id="1460874033">
      <w:bodyDiv w:val="1"/>
      <w:marLeft w:val="0"/>
      <w:marRight w:val="0"/>
      <w:marTop w:val="0"/>
      <w:marBottom w:val="0"/>
      <w:divBdr>
        <w:top w:val="none" w:sz="0" w:space="0" w:color="auto"/>
        <w:left w:val="none" w:sz="0" w:space="0" w:color="auto"/>
        <w:bottom w:val="none" w:sz="0" w:space="0" w:color="auto"/>
        <w:right w:val="none" w:sz="0" w:space="0" w:color="auto"/>
      </w:divBdr>
    </w:div>
    <w:div w:id="1482964883">
      <w:bodyDiv w:val="1"/>
      <w:marLeft w:val="0"/>
      <w:marRight w:val="0"/>
      <w:marTop w:val="0"/>
      <w:marBottom w:val="0"/>
      <w:divBdr>
        <w:top w:val="none" w:sz="0" w:space="0" w:color="auto"/>
        <w:left w:val="none" w:sz="0" w:space="0" w:color="auto"/>
        <w:bottom w:val="none" w:sz="0" w:space="0" w:color="auto"/>
        <w:right w:val="none" w:sz="0" w:space="0" w:color="auto"/>
      </w:divBdr>
    </w:div>
    <w:div w:id="1487476822">
      <w:bodyDiv w:val="1"/>
      <w:marLeft w:val="0"/>
      <w:marRight w:val="0"/>
      <w:marTop w:val="0"/>
      <w:marBottom w:val="0"/>
      <w:divBdr>
        <w:top w:val="none" w:sz="0" w:space="0" w:color="auto"/>
        <w:left w:val="none" w:sz="0" w:space="0" w:color="auto"/>
        <w:bottom w:val="none" w:sz="0" w:space="0" w:color="auto"/>
        <w:right w:val="none" w:sz="0" w:space="0" w:color="auto"/>
      </w:divBdr>
    </w:div>
    <w:div w:id="1524780246">
      <w:bodyDiv w:val="1"/>
      <w:marLeft w:val="0"/>
      <w:marRight w:val="0"/>
      <w:marTop w:val="0"/>
      <w:marBottom w:val="0"/>
      <w:divBdr>
        <w:top w:val="none" w:sz="0" w:space="0" w:color="auto"/>
        <w:left w:val="none" w:sz="0" w:space="0" w:color="auto"/>
        <w:bottom w:val="none" w:sz="0" w:space="0" w:color="auto"/>
        <w:right w:val="none" w:sz="0" w:space="0" w:color="auto"/>
      </w:divBdr>
    </w:div>
    <w:div w:id="1539200833">
      <w:bodyDiv w:val="1"/>
      <w:marLeft w:val="0"/>
      <w:marRight w:val="0"/>
      <w:marTop w:val="0"/>
      <w:marBottom w:val="0"/>
      <w:divBdr>
        <w:top w:val="none" w:sz="0" w:space="0" w:color="auto"/>
        <w:left w:val="none" w:sz="0" w:space="0" w:color="auto"/>
        <w:bottom w:val="none" w:sz="0" w:space="0" w:color="auto"/>
        <w:right w:val="none" w:sz="0" w:space="0" w:color="auto"/>
      </w:divBdr>
    </w:div>
    <w:div w:id="1542552371">
      <w:bodyDiv w:val="1"/>
      <w:marLeft w:val="0"/>
      <w:marRight w:val="0"/>
      <w:marTop w:val="0"/>
      <w:marBottom w:val="0"/>
      <w:divBdr>
        <w:top w:val="none" w:sz="0" w:space="0" w:color="auto"/>
        <w:left w:val="none" w:sz="0" w:space="0" w:color="auto"/>
        <w:bottom w:val="none" w:sz="0" w:space="0" w:color="auto"/>
        <w:right w:val="none" w:sz="0" w:space="0" w:color="auto"/>
      </w:divBdr>
    </w:div>
    <w:div w:id="1549492481">
      <w:bodyDiv w:val="1"/>
      <w:marLeft w:val="0"/>
      <w:marRight w:val="0"/>
      <w:marTop w:val="0"/>
      <w:marBottom w:val="0"/>
      <w:divBdr>
        <w:top w:val="none" w:sz="0" w:space="0" w:color="auto"/>
        <w:left w:val="none" w:sz="0" w:space="0" w:color="auto"/>
        <w:bottom w:val="none" w:sz="0" w:space="0" w:color="auto"/>
        <w:right w:val="none" w:sz="0" w:space="0" w:color="auto"/>
      </w:divBdr>
    </w:div>
    <w:div w:id="1568414630">
      <w:bodyDiv w:val="1"/>
      <w:marLeft w:val="0"/>
      <w:marRight w:val="0"/>
      <w:marTop w:val="0"/>
      <w:marBottom w:val="0"/>
      <w:divBdr>
        <w:top w:val="none" w:sz="0" w:space="0" w:color="auto"/>
        <w:left w:val="none" w:sz="0" w:space="0" w:color="auto"/>
        <w:bottom w:val="none" w:sz="0" w:space="0" w:color="auto"/>
        <w:right w:val="none" w:sz="0" w:space="0" w:color="auto"/>
      </w:divBdr>
    </w:div>
    <w:div w:id="1570072051">
      <w:bodyDiv w:val="1"/>
      <w:marLeft w:val="0"/>
      <w:marRight w:val="0"/>
      <w:marTop w:val="0"/>
      <w:marBottom w:val="0"/>
      <w:divBdr>
        <w:top w:val="none" w:sz="0" w:space="0" w:color="auto"/>
        <w:left w:val="none" w:sz="0" w:space="0" w:color="auto"/>
        <w:bottom w:val="none" w:sz="0" w:space="0" w:color="auto"/>
        <w:right w:val="none" w:sz="0" w:space="0" w:color="auto"/>
      </w:divBdr>
    </w:div>
    <w:div w:id="1570731592">
      <w:bodyDiv w:val="1"/>
      <w:marLeft w:val="0"/>
      <w:marRight w:val="0"/>
      <w:marTop w:val="0"/>
      <w:marBottom w:val="0"/>
      <w:divBdr>
        <w:top w:val="none" w:sz="0" w:space="0" w:color="auto"/>
        <w:left w:val="none" w:sz="0" w:space="0" w:color="auto"/>
        <w:bottom w:val="none" w:sz="0" w:space="0" w:color="auto"/>
        <w:right w:val="none" w:sz="0" w:space="0" w:color="auto"/>
      </w:divBdr>
    </w:div>
    <w:div w:id="1630283631">
      <w:bodyDiv w:val="1"/>
      <w:marLeft w:val="0"/>
      <w:marRight w:val="0"/>
      <w:marTop w:val="0"/>
      <w:marBottom w:val="0"/>
      <w:divBdr>
        <w:top w:val="none" w:sz="0" w:space="0" w:color="auto"/>
        <w:left w:val="none" w:sz="0" w:space="0" w:color="auto"/>
        <w:bottom w:val="none" w:sz="0" w:space="0" w:color="auto"/>
        <w:right w:val="none" w:sz="0" w:space="0" w:color="auto"/>
      </w:divBdr>
    </w:div>
    <w:div w:id="1676422367">
      <w:bodyDiv w:val="1"/>
      <w:marLeft w:val="0"/>
      <w:marRight w:val="0"/>
      <w:marTop w:val="0"/>
      <w:marBottom w:val="0"/>
      <w:divBdr>
        <w:top w:val="none" w:sz="0" w:space="0" w:color="auto"/>
        <w:left w:val="none" w:sz="0" w:space="0" w:color="auto"/>
        <w:bottom w:val="none" w:sz="0" w:space="0" w:color="auto"/>
        <w:right w:val="none" w:sz="0" w:space="0" w:color="auto"/>
      </w:divBdr>
    </w:div>
    <w:div w:id="1694502158">
      <w:bodyDiv w:val="1"/>
      <w:marLeft w:val="0"/>
      <w:marRight w:val="0"/>
      <w:marTop w:val="0"/>
      <w:marBottom w:val="0"/>
      <w:divBdr>
        <w:top w:val="none" w:sz="0" w:space="0" w:color="auto"/>
        <w:left w:val="none" w:sz="0" w:space="0" w:color="auto"/>
        <w:bottom w:val="none" w:sz="0" w:space="0" w:color="auto"/>
        <w:right w:val="none" w:sz="0" w:space="0" w:color="auto"/>
      </w:divBdr>
    </w:div>
    <w:div w:id="1707214439">
      <w:bodyDiv w:val="1"/>
      <w:marLeft w:val="0"/>
      <w:marRight w:val="0"/>
      <w:marTop w:val="0"/>
      <w:marBottom w:val="0"/>
      <w:divBdr>
        <w:top w:val="none" w:sz="0" w:space="0" w:color="auto"/>
        <w:left w:val="none" w:sz="0" w:space="0" w:color="auto"/>
        <w:bottom w:val="none" w:sz="0" w:space="0" w:color="auto"/>
        <w:right w:val="none" w:sz="0" w:space="0" w:color="auto"/>
      </w:divBdr>
    </w:div>
    <w:div w:id="1714960087">
      <w:bodyDiv w:val="1"/>
      <w:marLeft w:val="0"/>
      <w:marRight w:val="0"/>
      <w:marTop w:val="0"/>
      <w:marBottom w:val="0"/>
      <w:divBdr>
        <w:top w:val="none" w:sz="0" w:space="0" w:color="auto"/>
        <w:left w:val="none" w:sz="0" w:space="0" w:color="auto"/>
        <w:bottom w:val="none" w:sz="0" w:space="0" w:color="auto"/>
        <w:right w:val="none" w:sz="0" w:space="0" w:color="auto"/>
      </w:divBdr>
    </w:div>
    <w:div w:id="1728066290">
      <w:bodyDiv w:val="1"/>
      <w:marLeft w:val="0"/>
      <w:marRight w:val="0"/>
      <w:marTop w:val="0"/>
      <w:marBottom w:val="0"/>
      <w:divBdr>
        <w:top w:val="none" w:sz="0" w:space="0" w:color="auto"/>
        <w:left w:val="none" w:sz="0" w:space="0" w:color="auto"/>
        <w:bottom w:val="none" w:sz="0" w:space="0" w:color="auto"/>
        <w:right w:val="none" w:sz="0" w:space="0" w:color="auto"/>
      </w:divBdr>
    </w:div>
    <w:div w:id="1734353566">
      <w:bodyDiv w:val="1"/>
      <w:marLeft w:val="0"/>
      <w:marRight w:val="0"/>
      <w:marTop w:val="0"/>
      <w:marBottom w:val="0"/>
      <w:divBdr>
        <w:top w:val="none" w:sz="0" w:space="0" w:color="auto"/>
        <w:left w:val="none" w:sz="0" w:space="0" w:color="auto"/>
        <w:bottom w:val="none" w:sz="0" w:space="0" w:color="auto"/>
        <w:right w:val="none" w:sz="0" w:space="0" w:color="auto"/>
      </w:divBdr>
    </w:div>
    <w:div w:id="1749766865">
      <w:bodyDiv w:val="1"/>
      <w:marLeft w:val="0"/>
      <w:marRight w:val="0"/>
      <w:marTop w:val="0"/>
      <w:marBottom w:val="0"/>
      <w:divBdr>
        <w:top w:val="none" w:sz="0" w:space="0" w:color="auto"/>
        <w:left w:val="none" w:sz="0" w:space="0" w:color="auto"/>
        <w:bottom w:val="none" w:sz="0" w:space="0" w:color="auto"/>
        <w:right w:val="none" w:sz="0" w:space="0" w:color="auto"/>
      </w:divBdr>
    </w:div>
    <w:div w:id="1787308690">
      <w:bodyDiv w:val="1"/>
      <w:marLeft w:val="0"/>
      <w:marRight w:val="0"/>
      <w:marTop w:val="0"/>
      <w:marBottom w:val="0"/>
      <w:divBdr>
        <w:top w:val="none" w:sz="0" w:space="0" w:color="auto"/>
        <w:left w:val="none" w:sz="0" w:space="0" w:color="auto"/>
        <w:bottom w:val="none" w:sz="0" w:space="0" w:color="auto"/>
        <w:right w:val="none" w:sz="0" w:space="0" w:color="auto"/>
      </w:divBdr>
    </w:div>
    <w:div w:id="1790734342">
      <w:bodyDiv w:val="1"/>
      <w:marLeft w:val="0"/>
      <w:marRight w:val="0"/>
      <w:marTop w:val="0"/>
      <w:marBottom w:val="0"/>
      <w:divBdr>
        <w:top w:val="none" w:sz="0" w:space="0" w:color="auto"/>
        <w:left w:val="none" w:sz="0" w:space="0" w:color="auto"/>
        <w:bottom w:val="none" w:sz="0" w:space="0" w:color="auto"/>
        <w:right w:val="none" w:sz="0" w:space="0" w:color="auto"/>
      </w:divBdr>
    </w:div>
    <w:div w:id="1803620596">
      <w:bodyDiv w:val="1"/>
      <w:marLeft w:val="0"/>
      <w:marRight w:val="0"/>
      <w:marTop w:val="0"/>
      <w:marBottom w:val="0"/>
      <w:divBdr>
        <w:top w:val="none" w:sz="0" w:space="0" w:color="auto"/>
        <w:left w:val="none" w:sz="0" w:space="0" w:color="auto"/>
        <w:bottom w:val="none" w:sz="0" w:space="0" w:color="auto"/>
        <w:right w:val="none" w:sz="0" w:space="0" w:color="auto"/>
      </w:divBdr>
    </w:div>
    <w:div w:id="1810703943">
      <w:bodyDiv w:val="1"/>
      <w:marLeft w:val="0"/>
      <w:marRight w:val="0"/>
      <w:marTop w:val="0"/>
      <w:marBottom w:val="0"/>
      <w:divBdr>
        <w:top w:val="none" w:sz="0" w:space="0" w:color="auto"/>
        <w:left w:val="none" w:sz="0" w:space="0" w:color="auto"/>
        <w:bottom w:val="none" w:sz="0" w:space="0" w:color="auto"/>
        <w:right w:val="none" w:sz="0" w:space="0" w:color="auto"/>
      </w:divBdr>
    </w:div>
    <w:div w:id="1828397370">
      <w:bodyDiv w:val="1"/>
      <w:marLeft w:val="0"/>
      <w:marRight w:val="0"/>
      <w:marTop w:val="0"/>
      <w:marBottom w:val="0"/>
      <w:divBdr>
        <w:top w:val="none" w:sz="0" w:space="0" w:color="auto"/>
        <w:left w:val="none" w:sz="0" w:space="0" w:color="auto"/>
        <w:bottom w:val="none" w:sz="0" w:space="0" w:color="auto"/>
        <w:right w:val="none" w:sz="0" w:space="0" w:color="auto"/>
      </w:divBdr>
    </w:div>
    <w:div w:id="1843814072">
      <w:bodyDiv w:val="1"/>
      <w:marLeft w:val="0"/>
      <w:marRight w:val="0"/>
      <w:marTop w:val="0"/>
      <w:marBottom w:val="0"/>
      <w:divBdr>
        <w:top w:val="none" w:sz="0" w:space="0" w:color="auto"/>
        <w:left w:val="none" w:sz="0" w:space="0" w:color="auto"/>
        <w:bottom w:val="none" w:sz="0" w:space="0" w:color="auto"/>
        <w:right w:val="none" w:sz="0" w:space="0" w:color="auto"/>
      </w:divBdr>
    </w:div>
    <w:div w:id="1844516468">
      <w:bodyDiv w:val="1"/>
      <w:marLeft w:val="0"/>
      <w:marRight w:val="0"/>
      <w:marTop w:val="0"/>
      <w:marBottom w:val="0"/>
      <w:divBdr>
        <w:top w:val="none" w:sz="0" w:space="0" w:color="auto"/>
        <w:left w:val="none" w:sz="0" w:space="0" w:color="auto"/>
        <w:bottom w:val="none" w:sz="0" w:space="0" w:color="auto"/>
        <w:right w:val="none" w:sz="0" w:space="0" w:color="auto"/>
      </w:divBdr>
    </w:div>
    <w:div w:id="1858932239">
      <w:bodyDiv w:val="1"/>
      <w:marLeft w:val="0"/>
      <w:marRight w:val="0"/>
      <w:marTop w:val="0"/>
      <w:marBottom w:val="0"/>
      <w:divBdr>
        <w:top w:val="none" w:sz="0" w:space="0" w:color="auto"/>
        <w:left w:val="none" w:sz="0" w:space="0" w:color="auto"/>
        <w:bottom w:val="none" w:sz="0" w:space="0" w:color="auto"/>
        <w:right w:val="none" w:sz="0" w:space="0" w:color="auto"/>
      </w:divBdr>
    </w:div>
    <w:div w:id="1891645456">
      <w:bodyDiv w:val="1"/>
      <w:marLeft w:val="0"/>
      <w:marRight w:val="0"/>
      <w:marTop w:val="0"/>
      <w:marBottom w:val="0"/>
      <w:divBdr>
        <w:top w:val="none" w:sz="0" w:space="0" w:color="auto"/>
        <w:left w:val="none" w:sz="0" w:space="0" w:color="auto"/>
        <w:bottom w:val="none" w:sz="0" w:space="0" w:color="auto"/>
        <w:right w:val="none" w:sz="0" w:space="0" w:color="auto"/>
      </w:divBdr>
    </w:div>
    <w:div w:id="1906985385">
      <w:bodyDiv w:val="1"/>
      <w:marLeft w:val="0"/>
      <w:marRight w:val="0"/>
      <w:marTop w:val="0"/>
      <w:marBottom w:val="0"/>
      <w:divBdr>
        <w:top w:val="none" w:sz="0" w:space="0" w:color="auto"/>
        <w:left w:val="none" w:sz="0" w:space="0" w:color="auto"/>
        <w:bottom w:val="none" w:sz="0" w:space="0" w:color="auto"/>
        <w:right w:val="none" w:sz="0" w:space="0" w:color="auto"/>
      </w:divBdr>
    </w:div>
    <w:div w:id="1923827727">
      <w:bodyDiv w:val="1"/>
      <w:marLeft w:val="0"/>
      <w:marRight w:val="0"/>
      <w:marTop w:val="0"/>
      <w:marBottom w:val="0"/>
      <w:divBdr>
        <w:top w:val="none" w:sz="0" w:space="0" w:color="auto"/>
        <w:left w:val="none" w:sz="0" w:space="0" w:color="auto"/>
        <w:bottom w:val="none" w:sz="0" w:space="0" w:color="auto"/>
        <w:right w:val="none" w:sz="0" w:space="0" w:color="auto"/>
      </w:divBdr>
    </w:div>
    <w:div w:id="1937400384">
      <w:bodyDiv w:val="1"/>
      <w:marLeft w:val="0"/>
      <w:marRight w:val="0"/>
      <w:marTop w:val="0"/>
      <w:marBottom w:val="0"/>
      <w:divBdr>
        <w:top w:val="none" w:sz="0" w:space="0" w:color="auto"/>
        <w:left w:val="none" w:sz="0" w:space="0" w:color="auto"/>
        <w:bottom w:val="none" w:sz="0" w:space="0" w:color="auto"/>
        <w:right w:val="none" w:sz="0" w:space="0" w:color="auto"/>
      </w:divBdr>
    </w:div>
    <w:div w:id="1938978904">
      <w:bodyDiv w:val="1"/>
      <w:marLeft w:val="0"/>
      <w:marRight w:val="0"/>
      <w:marTop w:val="0"/>
      <w:marBottom w:val="0"/>
      <w:divBdr>
        <w:top w:val="none" w:sz="0" w:space="0" w:color="auto"/>
        <w:left w:val="none" w:sz="0" w:space="0" w:color="auto"/>
        <w:bottom w:val="none" w:sz="0" w:space="0" w:color="auto"/>
        <w:right w:val="none" w:sz="0" w:space="0" w:color="auto"/>
      </w:divBdr>
    </w:div>
    <w:div w:id="1976519622">
      <w:bodyDiv w:val="1"/>
      <w:marLeft w:val="0"/>
      <w:marRight w:val="0"/>
      <w:marTop w:val="0"/>
      <w:marBottom w:val="0"/>
      <w:divBdr>
        <w:top w:val="none" w:sz="0" w:space="0" w:color="auto"/>
        <w:left w:val="none" w:sz="0" w:space="0" w:color="auto"/>
        <w:bottom w:val="none" w:sz="0" w:space="0" w:color="auto"/>
        <w:right w:val="none" w:sz="0" w:space="0" w:color="auto"/>
      </w:divBdr>
    </w:div>
    <w:div w:id="1989699484">
      <w:bodyDiv w:val="1"/>
      <w:marLeft w:val="0"/>
      <w:marRight w:val="0"/>
      <w:marTop w:val="0"/>
      <w:marBottom w:val="0"/>
      <w:divBdr>
        <w:top w:val="none" w:sz="0" w:space="0" w:color="auto"/>
        <w:left w:val="none" w:sz="0" w:space="0" w:color="auto"/>
        <w:bottom w:val="none" w:sz="0" w:space="0" w:color="auto"/>
        <w:right w:val="none" w:sz="0" w:space="0" w:color="auto"/>
      </w:divBdr>
    </w:div>
    <w:div w:id="1991983851">
      <w:bodyDiv w:val="1"/>
      <w:marLeft w:val="0"/>
      <w:marRight w:val="0"/>
      <w:marTop w:val="0"/>
      <w:marBottom w:val="0"/>
      <w:divBdr>
        <w:top w:val="none" w:sz="0" w:space="0" w:color="auto"/>
        <w:left w:val="none" w:sz="0" w:space="0" w:color="auto"/>
        <w:bottom w:val="none" w:sz="0" w:space="0" w:color="auto"/>
        <w:right w:val="none" w:sz="0" w:space="0" w:color="auto"/>
      </w:divBdr>
    </w:div>
    <w:div w:id="2002657990">
      <w:bodyDiv w:val="1"/>
      <w:marLeft w:val="0"/>
      <w:marRight w:val="0"/>
      <w:marTop w:val="0"/>
      <w:marBottom w:val="0"/>
      <w:divBdr>
        <w:top w:val="none" w:sz="0" w:space="0" w:color="auto"/>
        <w:left w:val="none" w:sz="0" w:space="0" w:color="auto"/>
        <w:bottom w:val="none" w:sz="0" w:space="0" w:color="auto"/>
        <w:right w:val="none" w:sz="0" w:space="0" w:color="auto"/>
      </w:divBdr>
    </w:div>
    <w:div w:id="2008972908">
      <w:bodyDiv w:val="1"/>
      <w:marLeft w:val="0"/>
      <w:marRight w:val="0"/>
      <w:marTop w:val="0"/>
      <w:marBottom w:val="0"/>
      <w:divBdr>
        <w:top w:val="none" w:sz="0" w:space="0" w:color="auto"/>
        <w:left w:val="none" w:sz="0" w:space="0" w:color="auto"/>
        <w:bottom w:val="none" w:sz="0" w:space="0" w:color="auto"/>
        <w:right w:val="none" w:sz="0" w:space="0" w:color="auto"/>
      </w:divBdr>
    </w:div>
    <w:div w:id="2017228004">
      <w:bodyDiv w:val="1"/>
      <w:marLeft w:val="0"/>
      <w:marRight w:val="0"/>
      <w:marTop w:val="0"/>
      <w:marBottom w:val="0"/>
      <w:divBdr>
        <w:top w:val="none" w:sz="0" w:space="0" w:color="auto"/>
        <w:left w:val="none" w:sz="0" w:space="0" w:color="auto"/>
        <w:bottom w:val="none" w:sz="0" w:space="0" w:color="auto"/>
        <w:right w:val="none" w:sz="0" w:space="0" w:color="auto"/>
      </w:divBdr>
    </w:div>
    <w:div w:id="2024623444">
      <w:bodyDiv w:val="1"/>
      <w:marLeft w:val="0"/>
      <w:marRight w:val="0"/>
      <w:marTop w:val="0"/>
      <w:marBottom w:val="0"/>
      <w:divBdr>
        <w:top w:val="none" w:sz="0" w:space="0" w:color="auto"/>
        <w:left w:val="none" w:sz="0" w:space="0" w:color="auto"/>
        <w:bottom w:val="none" w:sz="0" w:space="0" w:color="auto"/>
        <w:right w:val="none" w:sz="0" w:space="0" w:color="auto"/>
      </w:divBdr>
    </w:div>
    <w:div w:id="2037191189">
      <w:bodyDiv w:val="1"/>
      <w:marLeft w:val="0"/>
      <w:marRight w:val="0"/>
      <w:marTop w:val="0"/>
      <w:marBottom w:val="0"/>
      <w:divBdr>
        <w:top w:val="none" w:sz="0" w:space="0" w:color="auto"/>
        <w:left w:val="none" w:sz="0" w:space="0" w:color="auto"/>
        <w:bottom w:val="none" w:sz="0" w:space="0" w:color="auto"/>
        <w:right w:val="none" w:sz="0" w:space="0" w:color="auto"/>
      </w:divBdr>
    </w:div>
    <w:div w:id="2049451137">
      <w:bodyDiv w:val="1"/>
      <w:marLeft w:val="0"/>
      <w:marRight w:val="0"/>
      <w:marTop w:val="0"/>
      <w:marBottom w:val="0"/>
      <w:divBdr>
        <w:top w:val="none" w:sz="0" w:space="0" w:color="auto"/>
        <w:left w:val="none" w:sz="0" w:space="0" w:color="auto"/>
        <w:bottom w:val="none" w:sz="0" w:space="0" w:color="auto"/>
        <w:right w:val="none" w:sz="0" w:space="0" w:color="auto"/>
      </w:divBdr>
    </w:div>
    <w:div w:id="2051605459">
      <w:bodyDiv w:val="1"/>
      <w:marLeft w:val="0"/>
      <w:marRight w:val="0"/>
      <w:marTop w:val="0"/>
      <w:marBottom w:val="0"/>
      <w:divBdr>
        <w:top w:val="none" w:sz="0" w:space="0" w:color="auto"/>
        <w:left w:val="none" w:sz="0" w:space="0" w:color="auto"/>
        <w:bottom w:val="none" w:sz="0" w:space="0" w:color="auto"/>
        <w:right w:val="none" w:sz="0" w:space="0" w:color="auto"/>
      </w:divBdr>
    </w:div>
    <w:div w:id="2077966709">
      <w:bodyDiv w:val="1"/>
      <w:marLeft w:val="0"/>
      <w:marRight w:val="0"/>
      <w:marTop w:val="0"/>
      <w:marBottom w:val="0"/>
      <w:divBdr>
        <w:top w:val="none" w:sz="0" w:space="0" w:color="auto"/>
        <w:left w:val="none" w:sz="0" w:space="0" w:color="auto"/>
        <w:bottom w:val="none" w:sz="0" w:space="0" w:color="auto"/>
        <w:right w:val="none" w:sz="0" w:space="0" w:color="auto"/>
      </w:divBdr>
    </w:div>
    <w:div w:id="2109036770">
      <w:bodyDiv w:val="1"/>
      <w:marLeft w:val="0"/>
      <w:marRight w:val="0"/>
      <w:marTop w:val="0"/>
      <w:marBottom w:val="0"/>
      <w:divBdr>
        <w:top w:val="none" w:sz="0" w:space="0" w:color="auto"/>
        <w:left w:val="none" w:sz="0" w:space="0" w:color="auto"/>
        <w:bottom w:val="none" w:sz="0" w:space="0" w:color="auto"/>
        <w:right w:val="none" w:sz="0" w:space="0" w:color="auto"/>
      </w:divBdr>
      <w:divsChild>
        <w:div w:id="1197424714">
          <w:marLeft w:val="0"/>
          <w:marRight w:val="0"/>
          <w:marTop w:val="0"/>
          <w:marBottom w:val="0"/>
          <w:divBdr>
            <w:top w:val="none" w:sz="0" w:space="0" w:color="auto"/>
            <w:left w:val="none" w:sz="0" w:space="0" w:color="auto"/>
            <w:bottom w:val="none" w:sz="0" w:space="0" w:color="auto"/>
            <w:right w:val="none" w:sz="0" w:space="0" w:color="auto"/>
          </w:divBdr>
          <w:divsChild>
            <w:div w:id="248580947">
              <w:marLeft w:val="0"/>
              <w:marRight w:val="0"/>
              <w:marTop w:val="0"/>
              <w:marBottom w:val="0"/>
              <w:divBdr>
                <w:top w:val="none" w:sz="0" w:space="0" w:color="auto"/>
                <w:left w:val="none" w:sz="0" w:space="0" w:color="auto"/>
                <w:bottom w:val="none" w:sz="0" w:space="0" w:color="auto"/>
                <w:right w:val="none" w:sz="0" w:space="0" w:color="auto"/>
              </w:divBdr>
            </w:div>
            <w:div w:id="457721421">
              <w:marLeft w:val="0"/>
              <w:marRight w:val="0"/>
              <w:marTop w:val="0"/>
              <w:marBottom w:val="0"/>
              <w:divBdr>
                <w:top w:val="none" w:sz="0" w:space="0" w:color="auto"/>
                <w:left w:val="none" w:sz="0" w:space="0" w:color="auto"/>
                <w:bottom w:val="none" w:sz="0" w:space="0" w:color="auto"/>
                <w:right w:val="none" w:sz="0" w:space="0" w:color="auto"/>
              </w:divBdr>
            </w:div>
            <w:div w:id="476383552">
              <w:marLeft w:val="0"/>
              <w:marRight w:val="0"/>
              <w:marTop w:val="0"/>
              <w:marBottom w:val="0"/>
              <w:divBdr>
                <w:top w:val="none" w:sz="0" w:space="0" w:color="auto"/>
                <w:left w:val="none" w:sz="0" w:space="0" w:color="auto"/>
                <w:bottom w:val="none" w:sz="0" w:space="0" w:color="auto"/>
                <w:right w:val="none" w:sz="0" w:space="0" w:color="auto"/>
              </w:divBdr>
            </w:div>
            <w:div w:id="569316572">
              <w:marLeft w:val="0"/>
              <w:marRight w:val="0"/>
              <w:marTop w:val="0"/>
              <w:marBottom w:val="0"/>
              <w:divBdr>
                <w:top w:val="none" w:sz="0" w:space="0" w:color="auto"/>
                <w:left w:val="none" w:sz="0" w:space="0" w:color="auto"/>
                <w:bottom w:val="none" w:sz="0" w:space="0" w:color="auto"/>
                <w:right w:val="none" w:sz="0" w:space="0" w:color="auto"/>
              </w:divBdr>
            </w:div>
            <w:div w:id="644240848">
              <w:marLeft w:val="0"/>
              <w:marRight w:val="0"/>
              <w:marTop w:val="0"/>
              <w:marBottom w:val="0"/>
              <w:divBdr>
                <w:top w:val="none" w:sz="0" w:space="0" w:color="auto"/>
                <w:left w:val="none" w:sz="0" w:space="0" w:color="auto"/>
                <w:bottom w:val="none" w:sz="0" w:space="0" w:color="auto"/>
                <w:right w:val="none" w:sz="0" w:space="0" w:color="auto"/>
              </w:divBdr>
            </w:div>
            <w:div w:id="1057244387">
              <w:marLeft w:val="0"/>
              <w:marRight w:val="0"/>
              <w:marTop w:val="0"/>
              <w:marBottom w:val="0"/>
              <w:divBdr>
                <w:top w:val="none" w:sz="0" w:space="0" w:color="auto"/>
                <w:left w:val="none" w:sz="0" w:space="0" w:color="auto"/>
                <w:bottom w:val="none" w:sz="0" w:space="0" w:color="auto"/>
                <w:right w:val="none" w:sz="0" w:space="0" w:color="auto"/>
              </w:divBdr>
            </w:div>
            <w:div w:id="1343361289">
              <w:marLeft w:val="0"/>
              <w:marRight w:val="0"/>
              <w:marTop w:val="0"/>
              <w:marBottom w:val="0"/>
              <w:divBdr>
                <w:top w:val="none" w:sz="0" w:space="0" w:color="auto"/>
                <w:left w:val="none" w:sz="0" w:space="0" w:color="auto"/>
                <w:bottom w:val="none" w:sz="0" w:space="0" w:color="auto"/>
                <w:right w:val="none" w:sz="0" w:space="0" w:color="auto"/>
              </w:divBdr>
            </w:div>
            <w:div w:id="1410081793">
              <w:marLeft w:val="0"/>
              <w:marRight w:val="0"/>
              <w:marTop w:val="0"/>
              <w:marBottom w:val="0"/>
              <w:divBdr>
                <w:top w:val="none" w:sz="0" w:space="0" w:color="auto"/>
                <w:left w:val="none" w:sz="0" w:space="0" w:color="auto"/>
                <w:bottom w:val="none" w:sz="0" w:space="0" w:color="auto"/>
                <w:right w:val="none" w:sz="0" w:space="0" w:color="auto"/>
              </w:divBdr>
            </w:div>
            <w:div w:id="1821069492">
              <w:marLeft w:val="0"/>
              <w:marRight w:val="0"/>
              <w:marTop w:val="0"/>
              <w:marBottom w:val="0"/>
              <w:divBdr>
                <w:top w:val="none" w:sz="0" w:space="0" w:color="auto"/>
                <w:left w:val="none" w:sz="0" w:space="0" w:color="auto"/>
                <w:bottom w:val="none" w:sz="0" w:space="0" w:color="auto"/>
                <w:right w:val="none" w:sz="0" w:space="0" w:color="auto"/>
              </w:divBdr>
            </w:div>
            <w:div w:id="1906529335">
              <w:marLeft w:val="0"/>
              <w:marRight w:val="0"/>
              <w:marTop w:val="0"/>
              <w:marBottom w:val="0"/>
              <w:divBdr>
                <w:top w:val="none" w:sz="0" w:space="0" w:color="auto"/>
                <w:left w:val="none" w:sz="0" w:space="0" w:color="auto"/>
                <w:bottom w:val="none" w:sz="0" w:space="0" w:color="auto"/>
                <w:right w:val="none" w:sz="0" w:space="0" w:color="auto"/>
              </w:divBdr>
            </w:div>
            <w:div w:id="20640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2888">
      <w:bodyDiv w:val="1"/>
      <w:marLeft w:val="0"/>
      <w:marRight w:val="0"/>
      <w:marTop w:val="0"/>
      <w:marBottom w:val="0"/>
      <w:divBdr>
        <w:top w:val="none" w:sz="0" w:space="0" w:color="auto"/>
        <w:left w:val="none" w:sz="0" w:space="0" w:color="auto"/>
        <w:bottom w:val="none" w:sz="0" w:space="0" w:color="auto"/>
        <w:right w:val="none" w:sz="0" w:space="0" w:color="auto"/>
      </w:divBdr>
    </w:div>
    <w:div w:id="2125342913">
      <w:bodyDiv w:val="1"/>
      <w:marLeft w:val="0"/>
      <w:marRight w:val="0"/>
      <w:marTop w:val="0"/>
      <w:marBottom w:val="0"/>
      <w:divBdr>
        <w:top w:val="none" w:sz="0" w:space="0" w:color="auto"/>
        <w:left w:val="none" w:sz="0" w:space="0" w:color="auto"/>
        <w:bottom w:val="none" w:sz="0" w:space="0" w:color="auto"/>
        <w:right w:val="none" w:sz="0" w:space="0" w:color="auto"/>
      </w:divBdr>
    </w:div>
    <w:div w:id="2125423978">
      <w:bodyDiv w:val="1"/>
      <w:marLeft w:val="0"/>
      <w:marRight w:val="0"/>
      <w:marTop w:val="0"/>
      <w:marBottom w:val="0"/>
      <w:divBdr>
        <w:top w:val="none" w:sz="0" w:space="0" w:color="auto"/>
        <w:left w:val="none" w:sz="0" w:space="0" w:color="auto"/>
        <w:bottom w:val="none" w:sz="0" w:space="0" w:color="auto"/>
        <w:right w:val="none" w:sz="0" w:space="0" w:color="auto"/>
      </w:divBdr>
    </w:div>
    <w:div w:id="2137674126">
      <w:bodyDiv w:val="1"/>
      <w:marLeft w:val="0"/>
      <w:marRight w:val="0"/>
      <w:marTop w:val="0"/>
      <w:marBottom w:val="0"/>
      <w:divBdr>
        <w:top w:val="none" w:sz="0" w:space="0" w:color="auto"/>
        <w:left w:val="none" w:sz="0" w:space="0" w:color="auto"/>
        <w:bottom w:val="none" w:sz="0" w:space="0" w:color="auto"/>
        <w:right w:val="none" w:sz="0" w:space="0" w:color="auto"/>
      </w:divBdr>
    </w:div>
    <w:div w:id="2141878566">
      <w:bodyDiv w:val="1"/>
      <w:marLeft w:val="0"/>
      <w:marRight w:val="0"/>
      <w:marTop w:val="0"/>
      <w:marBottom w:val="0"/>
      <w:divBdr>
        <w:top w:val="none" w:sz="0" w:space="0" w:color="auto"/>
        <w:left w:val="none" w:sz="0" w:space="0" w:color="auto"/>
        <w:bottom w:val="none" w:sz="0" w:space="0" w:color="auto"/>
        <w:right w:val="none" w:sz="0" w:space="0" w:color="auto"/>
      </w:divBdr>
    </w:div>
    <w:div w:id="21423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2.xml"/><Relationship Id="rId21" Type="http://schemas.openxmlformats.org/officeDocument/2006/relationships/chart" Target="charts/chart4.xml"/><Relationship Id="rId34" Type="http://schemas.openxmlformats.org/officeDocument/2006/relationships/chart" Target="charts/chart17.xml"/><Relationship Id="rId42" Type="http://schemas.openxmlformats.org/officeDocument/2006/relationships/chart" Target="charts/chart2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9.xml"/><Relationship Id="rId10" Type="http://schemas.openxmlformats.org/officeDocument/2006/relationships/footnotes" Target="footnotes.xml"/><Relationship Id="rId19" Type="http://schemas.openxmlformats.org/officeDocument/2006/relationships/chart" Target="charts/chart2.xml"/><Relationship Id="rId31" Type="http://schemas.openxmlformats.org/officeDocument/2006/relationships/chart" Target="charts/chart14.xm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file:////Users/Chris/Library/Containers/com.microsoft.Outlook/Data/Library/Caches/Signatures/signature_86486306"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theme" Target="theme/theme1.xml"/><Relationship Id="rId20" Type="http://schemas.openxmlformats.org/officeDocument/2006/relationships/chart" Target="charts/chart3.xml"/><Relationship Id="rId41" Type="http://schemas.openxmlformats.org/officeDocument/2006/relationships/chart" Target="charts/chart2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file:////Users/Chris/Library/Containers/com.microsoft.Outlook/Data/Library/Caches/Signatures/signature_86486306" TargetMode="External"/><Relationship Id="rId2" Type="http://schemas.openxmlformats.org/officeDocument/2006/relationships/image" Target="media/image2.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file:////Users/Chris/Library/Containers/com.microsoft.Outlook/Data/Library/Caches/Signatures/signature_86486306" TargetMode="External"/><Relationship Id="rId2" Type="http://schemas.openxmlformats.org/officeDocument/2006/relationships/image" Target="media/image2.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ft.com/content/e0ad2830-094f-4e61-acaa-d77457e2edbb" TargetMode="External"/><Relationship Id="rId2" Type="http://schemas.openxmlformats.org/officeDocument/2006/relationships/hyperlink" Target="https://www.mortgagesolutions.co.uk/news/2022/01/24/first-time-buyer-numbers-rose-to-nearly-410000-in-2021/" TargetMode="External"/><Relationship Id="rId1" Type="http://schemas.openxmlformats.org/officeDocument/2006/relationships/hyperlink" Target="https://thinkhouse.org.uk/site/assets/files/1614/2010_20nhpau_202.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Up to £10k</c:v>
                </c:pt>
                <c:pt idx="1">
                  <c:v>£10k-£20k</c:v>
                </c:pt>
                <c:pt idx="2">
                  <c:v>£20k-£30k</c:v>
                </c:pt>
                <c:pt idx="3">
                  <c:v>£30k-£40k</c:v>
                </c:pt>
                <c:pt idx="4">
                  <c:v>£40k-£50k</c:v>
                </c:pt>
                <c:pt idx="5">
                  <c:v>£50k-£60k</c:v>
                </c:pt>
                <c:pt idx="6">
                  <c:v>£60k-£70k</c:v>
                </c:pt>
                <c:pt idx="7">
                  <c:v>£70k-£80k</c:v>
                </c:pt>
                <c:pt idx="8">
                  <c:v>£80k+</c:v>
                </c:pt>
              </c:strCache>
            </c:strRef>
          </c:cat>
          <c:val>
            <c:numRef>
              <c:f>Sheet1!$B$2:$B$10</c:f>
              <c:numCache>
                <c:formatCode>General</c:formatCode>
                <c:ptCount val="9"/>
                <c:pt idx="0">
                  <c:v>8.199999999999999E-2</c:v>
                </c:pt>
                <c:pt idx="1">
                  <c:v>0.24199999999999999</c:v>
                </c:pt>
                <c:pt idx="2">
                  <c:v>0.17300000000000001</c:v>
                </c:pt>
                <c:pt idx="3">
                  <c:v>0.15</c:v>
                </c:pt>
                <c:pt idx="4">
                  <c:v>0.10199999999999999</c:v>
                </c:pt>
                <c:pt idx="5">
                  <c:v>6.0999999999999999E-2</c:v>
                </c:pt>
                <c:pt idx="6">
                  <c:v>5.0999999999999997E-2</c:v>
                </c:pt>
                <c:pt idx="7">
                  <c:v>3.3000000000000002E-2</c:v>
                </c:pt>
                <c:pt idx="8">
                  <c:v>0.106</c:v>
                </c:pt>
              </c:numCache>
            </c:numRef>
          </c:val>
          <c:extLst>
            <c:ext xmlns:c16="http://schemas.microsoft.com/office/drawing/2014/chart" uri="{C3380CC4-5D6E-409C-BE32-E72D297353CC}">
              <c16:uniqueId val="{00000000-0A07-4A0A-97BB-230862711361}"/>
            </c:ext>
          </c:extLst>
        </c:ser>
        <c:dLbls>
          <c:showLegendKey val="0"/>
          <c:showVal val="1"/>
          <c:showCatName val="0"/>
          <c:showSerName val="0"/>
          <c:showPercent val="0"/>
          <c:showBubbleSize val="0"/>
        </c:dLbls>
        <c:gapWidth val="150"/>
        <c:axId val="854016512"/>
        <c:axId val="854020256"/>
      </c:barChart>
      <c:catAx>
        <c:axId val="85401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20256"/>
        <c:crosses val="autoZero"/>
        <c:auto val="1"/>
        <c:lblAlgn val="ctr"/>
        <c:lblOffset val="100"/>
        <c:noMultiLvlLbl val="0"/>
      </c:catAx>
      <c:valAx>
        <c:axId val="854020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16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B-59D6-4973-8427-C836124AE339}"/>
              </c:ext>
            </c:extLst>
          </c:dPt>
          <c:dPt>
            <c:idx val="1"/>
            <c:invertIfNegative val="0"/>
            <c:bubble3D val="0"/>
            <c:spPr>
              <a:solidFill>
                <a:schemeClr val="accent3"/>
              </a:solidFill>
              <a:ln>
                <a:noFill/>
              </a:ln>
              <a:effectLst/>
            </c:spPr>
            <c:extLst>
              <c:ext xmlns:c16="http://schemas.microsoft.com/office/drawing/2014/chart" uri="{C3380CC4-5D6E-409C-BE32-E72D297353CC}">
                <c16:uniqueId val="{00000001-59D6-4973-8427-C836124AE339}"/>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59D6-4973-8427-C836124AE339}"/>
              </c:ext>
            </c:extLst>
          </c:dPt>
          <c:dPt>
            <c:idx val="3"/>
            <c:invertIfNegative val="0"/>
            <c:bubble3D val="0"/>
            <c:spPr>
              <a:solidFill>
                <a:schemeClr val="accent3"/>
              </a:solidFill>
              <a:ln>
                <a:noFill/>
              </a:ln>
              <a:effectLst/>
            </c:spPr>
            <c:extLst>
              <c:ext xmlns:c16="http://schemas.microsoft.com/office/drawing/2014/chart" uri="{C3380CC4-5D6E-409C-BE32-E72D297353CC}">
                <c16:uniqueId val="{00000005-59D6-4973-8427-C836124AE339}"/>
              </c:ext>
            </c:extLst>
          </c:dPt>
          <c:dPt>
            <c:idx val="4"/>
            <c:invertIfNegative val="0"/>
            <c:bubble3D val="0"/>
            <c:spPr>
              <a:solidFill>
                <a:schemeClr val="accent3"/>
              </a:solidFill>
              <a:ln>
                <a:noFill/>
              </a:ln>
              <a:effectLst/>
            </c:spPr>
            <c:extLst>
              <c:ext xmlns:c16="http://schemas.microsoft.com/office/drawing/2014/chart" uri="{C3380CC4-5D6E-409C-BE32-E72D297353CC}">
                <c16:uniqueId val="{00000007-59D6-4973-8427-C836124AE339}"/>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9-59D6-4973-8427-C836124AE339}"/>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£50k+</c:v>
                </c:pt>
                <c:pt idx="1">
                  <c:v>£25k-£50k</c:v>
                </c:pt>
                <c:pt idx="2">
                  <c:v>£10k-£25k</c:v>
                </c:pt>
                <c:pt idx="3">
                  <c:v>£5k-£10k</c:v>
                </c:pt>
                <c:pt idx="4">
                  <c:v>Under £5k</c:v>
                </c:pt>
                <c:pt idx="5">
                  <c:v>None</c:v>
                </c:pt>
                <c:pt idx="6">
                  <c:v>Under £5k debt</c:v>
                </c:pt>
                <c:pt idx="7">
                  <c:v>£5k-£20k debt</c:v>
                </c:pt>
                <c:pt idx="8">
                  <c:v>£10k-£25k debt</c:v>
                </c:pt>
                <c:pt idx="9">
                  <c:v>£25k+ debt</c:v>
                </c:pt>
              </c:strCache>
            </c:strRef>
          </c:cat>
          <c:val>
            <c:numRef>
              <c:f>Sheet1!$B$2:$B$11</c:f>
              <c:numCache>
                <c:formatCode>0.0%</c:formatCode>
                <c:ptCount val="10"/>
                <c:pt idx="0">
                  <c:v>0.06</c:v>
                </c:pt>
                <c:pt idx="1">
                  <c:v>2.4E-2</c:v>
                </c:pt>
                <c:pt idx="2">
                  <c:v>3.5999999999999997E-2</c:v>
                </c:pt>
                <c:pt idx="3">
                  <c:v>4.7E-2</c:v>
                </c:pt>
                <c:pt idx="4">
                  <c:v>0.129</c:v>
                </c:pt>
                <c:pt idx="5">
                  <c:v>0.24299999999999999</c:v>
                </c:pt>
                <c:pt idx="6">
                  <c:v>0.17599999999999999</c:v>
                </c:pt>
                <c:pt idx="7">
                  <c:v>0.104</c:v>
                </c:pt>
                <c:pt idx="8">
                  <c:v>0.113</c:v>
                </c:pt>
                <c:pt idx="9">
                  <c:v>6.9000000000000006E-2</c:v>
                </c:pt>
              </c:numCache>
            </c:numRef>
          </c:val>
          <c:extLst>
            <c:ext xmlns:c16="http://schemas.microsoft.com/office/drawing/2014/chart" uri="{C3380CC4-5D6E-409C-BE32-E72D297353CC}">
              <c16:uniqueId val="{0000000A-59D6-4973-8427-C836124AE339}"/>
            </c:ext>
          </c:extLst>
        </c:ser>
        <c:dLbls>
          <c:showLegendKey val="0"/>
          <c:showVal val="1"/>
          <c:showCatName val="0"/>
          <c:showSerName val="0"/>
          <c:showPercent val="0"/>
          <c:showBubbleSize val="0"/>
        </c:dLbls>
        <c:gapWidth val="150"/>
        <c:axId val="854016512"/>
        <c:axId val="854020256"/>
      </c:barChart>
      <c:catAx>
        <c:axId val="854016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20256"/>
        <c:crosses val="autoZero"/>
        <c:auto val="1"/>
        <c:lblAlgn val="ctr"/>
        <c:lblOffset val="100"/>
        <c:noMultiLvlLbl val="0"/>
      </c:catAx>
      <c:valAx>
        <c:axId val="8540202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16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TOTAL</c:v>
                </c:pt>
                <c:pt idx="1">
                  <c:v>Rural East</c:v>
                </c:pt>
                <c:pt idx="2">
                  <c:v>Rural West</c:v>
                </c:pt>
                <c:pt idx="3">
                  <c:v>Rural North</c:v>
                </c:pt>
                <c:pt idx="4">
                  <c:v>Freckleton</c:v>
                </c:pt>
                <c:pt idx="5">
                  <c:v>Wesham</c:v>
                </c:pt>
                <c:pt idx="6">
                  <c:v>Kirkham</c:v>
                </c:pt>
                <c:pt idx="7">
                  <c:v>FB Periphery</c:v>
                </c:pt>
                <c:pt idx="8">
                  <c:v>Warton</c:v>
                </c:pt>
                <c:pt idx="9">
                  <c:v>Lytham</c:v>
                </c:pt>
                <c:pt idx="10">
                  <c:v>St_Annes</c:v>
                </c:pt>
              </c:strCache>
            </c:strRef>
          </c:cat>
          <c:val>
            <c:numRef>
              <c:f>Sheet1!$B$2:$B$12</c:f>
              <c:numCache>
                <c:formatCode>0.0%</c:formatCode>
                <c:ptCount val="11"/>
                <c:pt idx="0">
                  <c:v>0.18072188507598944</c:v>
                </c:pt>
                <c:pt idx="1">
                  <c:v>7.0644932503612964E-2</c:v>
                </c:pt>
                <c:pt idx="2">
                  <c:v>0.16728512618686883</c:v>
                </c:pt>
                <c:pt idx="3">
                  <c:v>0.12647702360772986</c:v>
                </c:pt>
                <c:pt idx="4">
                  <c:v>0.17310640249242032</c:v>
                </c:pt>
                <c:pt idx="5">
                  <c:v>0.27929078686315756</c:v>
                </c:pt>
                <c:pt idx="6">
                  <c:v>0.11146646001168217</c:v>
                </c:pt>
                <c:pt idx="7">
                  <c:v>0.37471102837127662</c:v>
                </c:pt>
                <c:pt idx="8">
                  <c:v>0.16815624660372511</c:v>
                </c:pt>
                <c:pt idx="9">
                  <c:v>0.22532949159849963</c:v>
                </c:pt>
                <c:pt idx="10">
                  <c:v>0.16665417676990707</c:v>
                </c:pt>
              </c:numCache>
            </c:numRef>
          </c:val>
          <c:extLst>
            <c:ext xmlns:c16="http://schemas.microsoft.com/office/drawing/2014/chart" uri="{C3380CC4-5D6E-409C-BE32-E72D297353CC}">
              <c16:uniqueId val="{00000000-8857-4E25-BA1C-67E0A6C081C4}"/>
            </c:ext>
          </c:extLst>
        </c:ser>
        <c:dLbls>
          <c:dLblPos val="outEnd"/>
          <c:showLegendKey val="0"/>
          <c:showVal val="1"/>
          <c:showCatName val="0"/>
          <c:showSerName val="0"/>
          <c:showPercent val="0"/>
          <c:showBubbleSize val="0"/>
        </c:dLbls>
        <c:gapWidth val="182"/>
        <c:axId val="1233787200"/>
        <c:axId val="1233779712"/>
      </c:barChart>
      <c:catAx>
        <c:axId val="1233787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233779712"/>
        <c:crosses val="autoZero"/>
        <c:auto val="1"/>
        <c:lblAlgn val="ctr"/>
        <c:lblOffset val="100"/>
        <c:noMultiLvlLbl val="0"/>
      </c:catAx>
      <c:valAx>
        <c:axId val="1233779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233787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TOTAL</c:v>
                </c:pt>
                <c:pt idx="1">
                  <c:v>Rural East</c:v>
                </c:pt>
                <c:pt idx="2">
                  <c:v>Rural West</c:v>
                </c:pt>
                <c:pt idx="3">
                  <c:v>Rural North</c:v>
                </c:pt>
                <c:pt idx="4">
                  <c:v>Freckleton</c:v>
                </c:pt>
                <c:pt idx="5">
                  <c:v>Wesham</c:v>
                </c:pt>
                <c:pt idx="6">
                  <c:v>Kirkham</c:v>
                </c:pt>
                <c:pt idx="7">
                  <c:v>FB Periphery</c:v>
                </c:pt>
                <c:pt idx="8">
                  <c:v>Warton</c:v>
                </c:pt>
                <c:pt idx="9">
                  <c:v>Lytham</c:v>
                </c:pt>
                <c:pt idx="10">
                  <c:v>St_Annes</c:v>
                </c:pt>
              </c:strCache>
            </c:strRef>
          </c:cat>
          <c:val>
            <c:numRef>
              <c:f>Sheet1!$B$2:$B$12</c:f>
              <c:numCache>
                <c:formatCode>0.0%</c:formatCode>
                <c:ptCount val="11"/>
                <c:pt idx="0">
                  <c:v>0.10642447420110804</c:v>
                </c:pt>
                <c:pt idx="1">
                  <c:v>5.4069814025123085E-2</c:v>
                </c:pt>
                <c:pt idx="2">
                  <c:v>6.9220937181212916E-2</c:v>
                </c:pt>
                <c:pt idx="3">
                  <c:v>4.8300318098367538E-2</c:v>
                </c:pt>
                <c:pt idx="4">
                  <c:v>6.1155862531503478E-2</c:v>
                </c:pt>
                <c:pt idx="5">
                  <c:v>6.3757898401880578E-2</c:v>
                </c:pt>
                <c:pt idx="6">
                  <c:v>0.13042762301820782</c:v>
                </c:pt>
                <c:pt idx="7">
                  <c:v>9.1816996892530478E-2</c:v>
                </c:pt>
                <c:pt idx="8">
                  <c:v>4.869972521949556E-2</c:v>
                </c:pt>
                <c:pt idx="9">
                  <c:v>6.7683982714546675E-2</c:v>
                </c:pt>
                <c:pt idx="10">
                  <c:v>0.17011362475412101</c:v>
                </c:pt>
              </c:numCache>
            </c:numRef>
          </c:val>
          <c:extLst>
            <c:ext xmlns:c16="http://schemas.microsoft.com/office/drawing/2014/chart" uri="{C3380CC4-5D6E-409C-BE32-E72D297353CC}">
              <c16:uniqueId val="{00000000-B46A-4850-887E-88DBB2960DD8}"/>
            </c:ext>
          </c:extLst>
        </c:ser>
        <c:dLbls>
          <c:dLblPos val="outEnd"/>
          <c:showLegendKey val="0"/>
          <c:showVal val="1"/>
          <c:showCatName val="0"/>
          <c:showSerName val="0"/>
          <c:showPercent val="0"/>
          <c:showBubbleSize val="0"/>
        </c:dLbls>
        <c:gapWidth val="182"/>
        <c:axId val="1233787200"/>
        <c:axId val="1233779712"/>
      </c:barChart>
      <c:catAx>
        <c:axId val="1233787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233779712"/>
        <c:crosses val="autoZero"/>
        <c:auto val="1"/>
        <c:lblAlgn val="ctr"/>
        <c:lblOffset val="100"/>
        <c:noMultiLvlLbl val="0"/>
      </c:catAx>
      <c:valAx>
        <c:axId val="1233779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233787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Up to £10k</c:v>
                </c:pt>
                <c:pt idx="1">
                  <c:v>£10k-£20k</c:v>
                </c:pt>
                <c:pt idx="2">
                  <c:v>£20k-£30k</c:v>
                </c:pt>
                <c:pt idx="3">
                  <c:v>£30k-£40k</c:v>
                </c:pt>
                <c:pt idx="4">
                  <c:v>£40k-£50k</c:v>
                </c:pt>
                <c:pt idx="5">
                  <c:v>£50k-£60k</c:v>
                </c:pt>
                <c:pt idx="6">
                  <c:v>£60k-£70k</c:v>
                </c:pt>
                <c:pt idx="7">
                  <c:v>£70k-£80k</c:v>
                </c:pt>
                <c:pt idx="8">
                  <c:v>£80k+</c:v>
                </c:pt>
              </c:strCache>
            </c:strRef>
          </c:cat>
          <c:val>
            <c:numRef>
              <c:f>Sheet1!$B$2:$B$10</c:f>
              <c:numCache>
                <c:formatCode>General</c:formatCode>
                <c:ptCount val="9"/>
                <c:pt idx="0">
                  <c:v>0</c:v>
                </c:pt>
                <c:pt idx="1">
                  <c:v>0.37799999999999995</c:v>
                </c:pt>
                <c:pt idx="2">
                  <c:v>0.42799999999999999</c:v>
                </c:pt>
                <c:pt idx="3">
                  <c:v>0.16699999999999998</c:v>
                </c:pt>
                <c:pt idx="4">
                  <c:v>2.7000000000000003E-2</c:v>
                </c:pt>
                <c:pt idx="5">
                  <c:v>1E-3</c:v>
                </c:pt>
                <c:pt idx="6">
                  <c:v>0</c:v>
                </c:pt>
                <c:pt idx="7">
                  <c:v>0</c:v>
                </c:pt>
                <c:pt idx="8">
                  <c:v>0</c:v>
                </c:pt>
              </c:numCache>
            </c:numRef>
          </c:val>
          <c:extLst>
            <c:ext xmlns:c16="http://schemas.microsoft.com/office/drawing/2014/chart" uri="{C3380CC4-5D6E-409C-BE32-E72D297353CC}">
              <c16:uniqueId val="{00000000-520D-4D5B-9FE6-BCFA7AF30E0F}"/>
            </c:ext>
          </c:extLst>
        </c:ser>
        <c:dLbls>
          <c:showLegendKey val="0"/>
          <c:showVal val="1"/>
          <c:showCatName val="0"/>
          <c:showSerName val="0"/>
          <c:showPercent val="0"/>
          <c:showBubbleSize val="0"/>
        </c:dLbls>
        <c:gapWidth val="150"/>
        <c:axId val="854016512"/>
        <c:axId val="854020256"/>
      </c:barChart>
      <c:catAx>
        <c:axId val="85401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20256"/>
        <c:crosses val="autoZero"/>
        <c:auto val="1"/>
        <c:lblAlgn val="ctr"/>
        <c:lblOffset val="100"/>
        <c:noMultiLvlLbl val="0"/>
      </c:catAx>
      <c:valAx>
        <c:axId val="854020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16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4"/>
            <c:invertIfNegative val="0"/>
            <c:bubble3D val="0"/>
            <c:spPr>
              <a:solidFill>
                <a:schemeClr val="accent2"/>
              </a:solidFill>
              <a:ln>
                <a:noFill/>
              </a:ln>
              <a:effectLst/>
            </c:spPr>
            <c:extLst>
              <c:ext xmlns:c16="http://schemas.microsoft.com/office/drawing/2014/chart" uri="{C3380CC4-5D6E-409C-BE32-E72D297353CC}">
                <c16:uniqueId val="{00000000-5BCB-4E2A-81AE-FAAA8F82BB72}"/>
              </c:ext>
            </c:extLst>
          </c:dPt>
          <c:dPt>
            <c:idx val="5"/>
            <c:invertIfNegative val="0"/>
            <c:bubble3D val="0"/>
            <c:spPr>
              <a:solidFill>
                <a:schemeClr val="accent3"/>
              </a:solidFill>
              <a:ln>
                <a:noFill/>
              </a:ln>
              <a:effectLst/>
            </c:spPr>
            <c:extLst>
              <c:ext xmlns:c16="http://schemas.microsoft.com/office/drawing/2014/chart" uri="{C3380CC4-5D6E-409C-BE32-E72D297353CC}">
                <c16:uniqueId val="{00000001-5BCB-4E2A-81AE-FAAA8F82BB72}"/>
              </c:ext>
            </c:extLst>
          </c:dPt>
          <c:dPt>
            <c:idx val="6"/>
            <c:invertIfNegative val="0"/>
            <c:bubble3D val="0"/>
            <c:spPr>
              <a:solidFill>
                <a:schemeClr val="accent3"/>
              </a:solidFill>
              <a:ln>
                <a:noFill/>
              </a:ln>
              <a:effectLst/>
            </c:spPr>
            <c:extLst>
              <c:ext xmlns:c16="http://schemas.microsoft.com/office/drawing/2014/chart" uri="{C3380CC4-5D6E-409C-BE32-E72D297353CC}">
                <c16:uniqueId val="{00000002-5BCB-4E2A-81AE-FAAA8F82BB72}"/>
              </c:ext>
            </c:extLst>
          </c:dPt>
          <c:dPt>
            <c:idx val="7"/>
            <c:invertIfNegative val="0"/>
            <c:bubble3D val="0"/>
            <c:spPr>
              <a:solidFill>
                <a:schemeClr val="accent3"/>
              </a:solidFill>
              <a:ln>
                <a:noFill/>
              </a:ln>
              <a:effectLst/>
            </c:spPr>
            <c:extLst>
              <c:ext xmlns:c16="http://schemas.microsoft.com/office/drawing/2014/chart" uri="{C3380CC4-5D6E-409C-BE32-E72D297353CC}">
                <c16:uniqueId val="{00000003-5BCB-4E2A-81AE-FAAA8F82BB72}"/>
              </c:ext>
            </c:extLst>
          </c:dPt>
          <c:dPt>
            <c:idx val="8"/>
            <c:invertIfNegative val="0"/>
            <c:bubble3D val="0"/>
            <c:spPr>
              <a:solidFill>
                <a:schemeClr val="accent3"/>
              </a:solidFill>
              <a:ln>
                <a:noFill/>
              </a:ln>
              <a:effectLst/>
            </c:spPr>
            <c:extLst>
              <c:ext xmlns:c16="http://schemas.microsoft.com/office/drawing/2014/chart" uri="{C3380CC4-5D6E-409C-BE32-E72D297353CC}">
                <c16:uniqueId val="{00000004-5BCB-4E2A-81AE-FAAA8F82BB72}"/>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£25k+ debt</c:v>
                </c:pt>
                <c:pt idx="1">
                  <c:v>£10k-£25k debt</c:v>
                </c:pt>
                <c:pt idx="2">
                  <c:v>£5k-£20k debt</c:v>
                </c:pt>
                <c:pt idx="3">
                  <c:v>Under £5k debt</c:v>
                </c:pt>
                <c:pt idx="4">
                  <c:v>None</c:v>
                </c:pt>
                <c:pt idx="5">
                  <c:v>Under £5k</c:v>
                </c:pt>
                <c:pt idx="6">
                  <c:v>£5k-£10k</c:v>
                </c:pt>
                <c:pt idx="7">
                  <c:v>£10k-£25k</c:v>
                </c:pt>
                <c:pt idx="8">
                  <c:v>£25k-£50k</c:v>
                </c:pt>
                <c:pt idx="9">
                  <c:v>£50k+</c:v>
                </c:pt>
              </c:strCache>
            </c:strRef>
          </c:cat>
          <c:val>
            <c:numRef>
              <c:f>Sheet1!$B$2:$B$11</c:f>
              <c:numCache>
                <c:formatCode>0.0%</c:formatCode>
                <c:ptCount val="10"/>
                <c:pt idx="0">
                  <c:v>0.10800000000000001</c:v>
                </c:pt>
                <c:pt idx="1">
                  <c:v>6.3E-2</c:v>
                </c:pt>
                <c:pt idx="2">
                  <c:v>8.199999999999999E-2</c:v>
                </c:pt>
                <c:pt idx="3">
                  <c:v>0.151</c:v>
                </c:pt>
                <c:pt idx="4">
                  <c:v>0.29499999999999998</c:v>
                </c:pt>
                <c:pt idx="5">
                  <c:v>0.182</c:v>
                </c:pt>
                <c:pt idx="6">
                  <c:v>4.2999999999999997E-2</c:v>
                </c:pt>
                <c:pt idx="7">
                  <c:v>5.7999999999999996E-2</c:v>
                </c:pt>
                <c:pt idx="8">
                  <c:v>1.8000000000000002E-2</c:v>
                </c:pt>
                <c:pt idx="9">
                  <c:v>0</c:v>
                </c:pt>
              </c:numCache>
            </c:numRef>
          </c:val>
          <c:extLst>
            <c:ext xmlns:c16="http://schemas.microsoft.com/office/drawing/2014/chart" uri="{C3380CC4-5D6E-409C-BE32-E72D297353CC}">
              <c16:uniqueId val="{00000000-13E0-45B4-A521-6B3ADF1D92EA}"/>
            </c:ext>
          </c:extLst>
        </c:ser>
        <c:dLbls>
          <c:showLegendKey val="0"/>
          <c:showVal val="1"/>
          <c:showCatName val="0"/>
          <c:showSerName val="0"/>
          <c:showPercent val="0"/>
          <c:showBubbleSize val="0"/>
        </c:dLbls>
        <c:gapWidth val="150"/>
        <c:axId val="854016512"/>
        <c:axId val="854020256"/>
      </c:barChart>
      <c:catAx>
        <c:axId val="85401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20256"/>
        <c:crosses val="autoZero"/>
        <c:auto val="1"/>
        <c:lblAlgn val="ctr"/>
        <c:lblOffset val="100"/>
        <c:noMultiLvlLbl val="0"/>
      </c:catAx>
      <c:valAx>
        <c:axId val="854020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16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Up to £10k</c:v>
                </c:pt>
                <c:pt idx="1">
                  <c:v>£10k-£20k</c:v>
                </c:pt>
                <c:pt idx="2">
                  <c:v>£20k-£30k</c:v>
                </c:pt>
                <c:pt idx="3">
                  <c:v>£30k-£40k</c:v>
                </c:pt>
                <c:pt idx="4">
                  <c:v>£40k-£50k</c:v>
                </c:pt>
                <c:pt idx="5">
                  <c:v>£50k-£60k</c:v>
                </c:pt>
                <c:pt idx="6">
                  <c:v>£60k+</c:v>
                </c:pt>
              </c:strCache>
            </c:strRef>
          </c:cat>
          <c:val>
            <c:numRef>
              <c:f>Sheet1!$B$2:$B$8</c:f>
              <c:numCache>
                <c:formatCode>General</c:formatCode>
                <c:ptCount val="7"/>
                <c:pt idx="0">
                  <c:v>0.28600000000000003</c:v>
                </c:pt>
                <c:pt idx="1">
                  <c:v>0.314</c:v>
                </c:pt>
                <c:pt idx="2">
                  <c:v>0.31</c:v>
                </c:pt>
                <c:pt idx="3">
                  <c:v>4.2000000000000003E-2</c:v>
                </c:pt>
                <c:pt idx="4">
                  <c:v>8.0000000000000002E-3</c:v>
                </c:pt>
                <c:pt idx="5">
                  <c:v>1.7000000000000001E-2</c:v>
                </c:pt>
                <c:pt idx="6">
                  <c:v>2.3E-2</c:v>
                </c:pt>
              </c:numCache>
            </c:numRef>
          </c:val>
          <c:extLst>
            <c:ext xmlns:c16="http://schemas.microsoft.com/office/drawing/2014/chart" uri="{C3380CC4-5D6E-409C-BE32-E72D297353CC}">
              <c16:uniqueId val="{00000000-023F-4B65-A468-34DDB42D5695}"/>
            </c:ext>
          </c:extLst>
        </c:ser>
        <c:dLbls>
          <c:showLegendKey val="0"/>
          <c:showVal val="1"/>
          <c:showCatName val="0"/>
          <c:showSerName val="0"/>
          <c:showPercent val="0"/>
          <c:showBubbleSize val="0"/>
        </c:dLbls>
        <c:gapWidth val="150"/>
        <c:axId val="854016512"/>
        <c:axId val="854020256"/>
      </c:barChart>
      <c:catAx>
        <c:axId val="85401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20256"/>
        <c:crosses val="autoZero"/>
        <c:auto val="1"/>
        <c:lblAlgn val="ctr"/>
        <c:lblOffset val="100"/>
        <c:noMultiLvlLbl val="0"/>
      </c:catAx>
      <c:valAx>
        <c:axId val="854020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16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Nothing</c:v>
                </c:pt>
                <c:pt idx="1">
                  <c:v>Up to £5,000</c:v>
                </c:pt>
                <c:pt idx="2">
                  <c:v>£5,000-£10,000</c:v>
                </c:pt>
                <c:pt idx="3">
                  <c:v>£10,000-£20,000</c:v>
                </c:pt>
                <c:pt idx="4">
                  <c:v>£20,000-£30,000</c:v>
                </c:pt>
                <c:pt idx="5">
                  <c:v>£30,000-£40,000</c:v>
                </c:pt>
                <c:pt idx="6">
                  <c:v>£40,000+</c:v>
                </c:pt>
              </c:strCache>
            </c:strRef>
          </c:cat>
          <c:val>
            <c:numRef>
              <c:f>Sheet1!$B$2:$B$8</c:f>
              <c:numCache>
                <c:formatCode>General</c:formatCode>
                <c:ptCount val="7"/>
                <c:pt idx="0">
                  <c:v>0.25900000000000001</c:v>
                </c:pt>
                <c:pt idx="1">
                  <c:v>0.312</c:v>
                </c:pt>
                <c:pt idx="2">
                  <c:v>0.13</c:v>
                </c:pt>
                <c:pt idx="3">
                  <c:v>0.157</c:v>
                </c:pt>
                <c:pt idx="4">
                  <c:v>8.1000000000000003E-2</c:v>
                </c:pt>
                <c:pt idx="5">
                  <c:v>1.2E-2</c:v>
                </c:pt>
                <c:pt idx="6">
                  <c:v>4.9000000000000002E-2</c:v>
                </c:pt>
              </c:numCache>
            </c:numRef>
          </c:val>
          <c:extLst>
            <c:ext xmlns:c16="http://schemas.microsoft.com/office/drawing/2014/chart" uri="{C3380CC4-5D6E-409C-BE32-E72D297353CC}">
              <c16:uniqueId val="{00000000-7052-49BB-90BD-6C7FF3465B88}"/>
            </c:ext>
          </c:extLst>
        </c:ser>
        <c:dLbls>
          <c:showLegendKey val="0"/>
          <c:showVal val="1"/>
          <c:showCatName val="0"/>
          <c:showSerName val="0"/>
          <c:showPercent val="0"/>
          <c:showBubbleSize val="0"/>
        </c:dLbls>
        <c:gapWidth val="150"/>
        <c:axId val="854016512"/>
        <c:axId val="854020256"/>
      </c:barChart>
      <c:catAx>
        <c:axId val="85401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20256"/>
        <c:crosses val="autoZero"/>
        <c:auto val="1"/>
        <c:lblAlgn val="ctr"/>
        <c:lblOffset val="100"/>
        <c:noMultiLvlLbl val="0"/>
      </c:catAx>
      <c:valAx>
        <c:axId val="854020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16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Lack facilities</c:v>
                </c:pt>
                <c:pt idx="1">
                  <c:v>Sharing facilities</c:v>
                </c:pt>
                <c:pt idx="2">
                  <c:v>Harassment</c:v>
                </c:pt>
                <c:pt idx="3">
                  <c:v>Tenancy ending etc</c:v>
                </c:pt>
                <c:pt idx="4">
                  <c:v>Repairs</c:v>
                </c:pt>
                <c:pt idx="5">
                  <c:v>Home difficult to maintain</c:v>
                </c:pt>
                <c:pt idx="6">
                  <c:v>Overcrowding</c:v>
                </c:pt>
                <c:pt idx="7">
                  <c:v>Health/mobility related to home</c:v>
                </c:pt>
                <c:pt idx="8">
                  <c:v>Accommodation too expensive</c:v>
                </c:pt>
              </c:strCache>
            </c:strRef>
          </c:cat>
          <c:val>
            <c:numRef>
              <c:f>Sheet1!$B$2:$B$10</c:f>
              <c:numCache>
                <c:formatCode>#,##0</c:formatCode>
                <c:ptCount val="9"/>
                <c:pt idx="0">
                  <c:v>95</c:v>
                </c:pt>
                <c:pt idx="1">
                  <c:v>107</c:v>
                </c:pt>
                <c:pt idx="2">
                  <c:v>112</c:v>
                </c:pt>
                <c:pt idx="3">
                  <c:v>418</c:v>
                </c:pt>
                <c:pt idx="4">
                  <c:v>578</c:v>
                </c:pt>
                <c:pt idx="5">
                  <c:v>593</c:v>
                </c:pt>
                <c:pt idx="6">
                  <c:v>736</c:v>
                </c:pt>
                <c:pt idx="7">
                  <c:v>1074</c:v>
                </c:pt>
                <c:pt idx="8">
                  <c:v>1963</c:v>
                </c:pt>
              </c:numCache>
            </c:numRef>
          </c:val>
          <c:extLst>
            <c:ext xmlns:c16="http://schemas.microsoft.com/office/drawing/2014/chart" uri="{C3380CC4-5D6E-409C-BE32-E72D297353CC}">
              <c16:uniqueId val="{00000000-A501-4C4A-A002-5880AF14A380}"/>
            </c:ext>
          </c:extLst>
        </c:ser>
        <c:dLbls>
          <c:dLblPos val="outEnd"/>
          <c:showLegendKey val="0"/>
          <c:showVal val="1"/>
          <c:showCatName val="0"/>
          <c:showSerName val="0"/>
          <c:showPercent val="0"/>
          <c:showBubbleSize val="0"/>
        </c:dLbls>
        <c:gapWidth val="182"/>
        <c:axId val="822928992"/>
        <c:axId val="822929408"/>
      </c:barChart>
      <c:catAx>
        <c:axId val="822928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822929408"/>
        <c:crosses val="autoZero"/>
        <c:auto val="1"/>
        <c:lblAlgn val="ctr"/>
        <c:lblOffset val="100"/>
        <c:noMultiLvlLbl val="0"/>
      </c:catAx>
      <c:valAx>
        <c:axId val="8229294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822928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070925665600865E-2"/>
          <c:y val="6.2161143859222667E-2"/>
          <c:w val="0.87921079286785009"/>
          <c:h val="0.74909236124977208"/>
        </c:manualLayout>
      </c:layout>
      <c:lineChart>
        <c:grouping val="standard"/>
        <c:varyColors val="0"/>
        <c:ser>
          <c:idx val="0"/>
          <c:order val="0"/>
          <c:tx>
            <c:strRef>
              <c:f>Sheet1!$B$1</c:f>
              <c:strCache>
                <c:ptCount val="1"/>
                <c:pt idx="0">
                  <c:v>Housing Benefit</c:v>
                </c:pt>
              </c:strCache>
            </c:strRef>
          </c:tx>
          <c:spPr>
            <a:ln w="28575" cap="rnd">
              <a:solidFill>
                <a:schemeClr val="accent1"/>
              </a:solidFill>
              <a:round/>
            </a:ln>
            <a:effectLst/>
          </c:spPr>
          <c:marker>
            <c:symbol val="none"/>
          </c:marker>
          <c:cat>
            <c:strRef>
              <c:f>Sheet1!$A$2:$A$51</c:f>
              <c:strCache>
                <c:ptCount val="46"/>
                <c:pt idx="9">
                  <c:v>Jan-19</c:v>
                </c:pt>
                <c:pt idx="21">
                  <c:v>Jan-20</c:v>
                </c:pt>
                <c:pt idx="33">
                  <c:v>Jan-21</c:v>
                </c:pt>
                <c:pt idx="45">
                  <c:v>Jan-22</c:v>
                </c:pt>
              </c:strCache>
            </c:strRef>
          </c:cat>
          <c:val>
            <c:numRef>
              <c:f>Sheet1!$B$2:$B$51</c:f>
              <c:numCache>
                <c:formatCode>General</c:formatCode>
                <c:ptCount val="50"/>
                <c:pt idx="0">
                  <c:v>2365</c:v>
                </c:pt>
                <c:pt idx="1">
                  <c:v>2373</c:v>
                </c:pt>
                <c:pt idx="2">
                  <c:v>2378</c:v>
                </c:pt>
                <c:pt idx="3">
                  <c:v>2377</c:v>
                </c:pt>
                <c:pt idx="4">
                  <c:v>2378</c:v>
                </c:pt>
                <c:pt idx="5">
                  <c:v>2378</c:v>
                </c:pt>
                <c:pt idx="6">
                  <c:v>2385</c:v>
                </c:pt>
                <c:pt idx="7">
                  <c:v>2365</c:v>
                </c:pt>
                <c:pt idx="8">
                  <c:v>2334</c:v>
                </c:pt>
                <c:pt idx="9">
                  <c:v>2309</c:v>
                </c:pt>
                <c:pt idx="10">
                  <c:v>2226</c:v>
                </c:pt>
                <c:pt idx="11">
                  <c:v>2131</c:v>
                </c:pt>
                <c:pt idx="12">
                  <c:v>2084</c:v>
                </c:pt>
                <c:pt idx="13">
                  <c:v>2060</c:v>
                </c:pt>
                <c:pt idx="14">
                  <c:v>2030</c:v>
                </c:pt>
                <c:pt idx="15">
                  <c:v>1996</c:v>
                </c:pt>
                <c:pt idx="16">
                  <c:v>1979</c:v>
                </c:pt>
                <c:pt idx="17">
                  <c:v>1914</c:v>
                </c:pt>
                <c:pt idx="18">
                  <c:v>1879</c:v>
                </c:pt>
                <c:pt idx="19">
                  <c:v>1820</c:v>
                </c:pt>
                <c:pt idx="20">
                  <c:v>1791</c:v>
                </c:pt>
                <c:pt idx="21">
                  <c:v>1776</c:v>
                </c:pt>
                <c:pt idx="22">
                  <c:v>1752</c:v>
                </c:pt>
                <c:pt idx="23">
                  <c:v>1713</c:v>
                </c:pt>
                <c:pt idx="24">
                  <c:v>1693</c:v>
                </c:pt>
                <c:pt idx="25">
                  <c:v>1657</c:v>
                </c:pt>
                <c:pt idx="26">
                  <c:v>1644</c:v>
                </c:pt>
                <c:pt idx="27">
                  <c:v>1628</c:v>
                </c:pt>
                <c:pt idx="28">
                  <c:v>1635</c:v>
                </c:pt>
                <c:pt idx="29">
                  <c:v>1613</c:v>
                </c:pt>
                <c:pt idx="30">
                  <c:v>1600</c:v>
                </c:pt>
                <c:pt idx="31">
                  <c:v>1581</c:v>
                </c:pt>
                <c:pt idx="32">
                  <c:v>1561</c:v>
                </c:pt>
                <c:pt idx="33">
                  <c:v>1552</c:v>
                </c:pt>
                <c:pt idx="34">
                  <c:v>1539</c:v>
                </c:pt>
                <c:pt idx="35">
                  <c:v>1505</c:v>
                </c:pt>
                <c:pt idx="36">
                  <c:v>1486</c:v>
                </c:pt>
                <c:pt idx="37">
                  <c:v>1484</c:v>
                </c:pt>
                <c:pt idx="38">
                  <c:v>1469</c:v>
                </c:pt>
                <c:pt idx="39">
                  <c:v>1454</c:v>
                </c:pt>
                <c:pt idx="40">
                  <c:v>1434</c:v>
                </c:pt>
                <c:pt idx="41">
                  <c:v>1418</c:v>
                </c:pt>
                <c:pt idx="42">
                  <c:v>1415</c:v>
                </c:pt>
                <c:pt idx="43">
                  <c:v>1398</c:v>
                </c:pt>
                <c:pt idx="44">
                  <c:v>1382</c:v>
                </c:pt>
                <c:pt idx="45">
                  <c:v>1353</c:v>
                </c:pt>
                <c:pt idx="46">
                  <c:v>1351</c:v>
                </c:pt>
                <c:pt idx="47">
                  <c:v>1336</c:v>
                </c:pt>
                <c:pt idx="48">
                  <c:v>1330</c:v>
                </c:pt>
                <c:pt idx="49">
                  <c:v>1312</c:v>
                </c:pt>
              </c:numCache>
            </c:numRef>
          </c:val>
          <c:smooth val="0"/>
          <c:extLst>
            <c:ext xmlns:c16="http://schemas.microsoft.com/office/drawing/2014/chart" uri="{C3380CC4-5D6E-409C-BE32-E72D297353CC}">
              <c16:uniqueId val="{00000000-77B2-424A-A787-8234FA85B054}"/>
            </c:ext>
          </c:extLst>
        </c:ser>
        <c:ser>
          <c:idx val="1"/>
          <c:order val="1"/>
          <c:tx>
            <c:strRef>
              <c:f>Sheet1!$C$1</c:f>
              <c:strCache>
                <c:ptCount val="1"/>
                <c:pt idx="0">
                  <c:v>Universal Credit</c:v>
                </c:pt>
              </c:strCache>
            </c:strRef>
          </c:tx>
          <c:spPr>
            <a:ln w="28575" cap="rnd">
              <a:solidFill>
                <a:schemeClr val="accent2"/>
              </a:solidFill>
              <a:round/>
            </a:ln>
            <a:effectLst/>
          </c:spPr>
          <c:marker>
            <c:symbol val="none"/>
          </c:marker>
          <c:cat>
            <c:strRef>
              <c:f>Sheet1!$A$2:$A$51</c:f>
              <c:strCache>
                <c:ptCount val="46"/>
                <c:pt idx="9">
                  <c:v>Jan-19</c:v>
                </c:pt>
                <c:pt idx="21">
                  <c:v>Jan-20</c:v>
                </c:pt>
                <c:pt idx="33">
                  <c:v>Jan-21</c:v>
                </c:pt>
                <c:pt idx="45">
                  <c:v>Jan-22</c:v>
                </c:pt>
              </c:strCache>
            </c:strRef>
          </c:cat>
          <c:val>
            <c:numRef>
              <c:f>Sheet1!$C$2:$C$51</c:f>
              <c:numCache>
                <c:formatCode>General</c:formatCode>
                <c:ptCount val="50"/>
                <c:pt idx="0">
                  <c:v>302</c:v>
                </c:pt>
                <c:pt idx="1">
                  <c:v>292</c:v>
                </c:pt>
                <c:pt idx="2">
                  <c:v>284</c:v>
                </c:pt>
                <c:pt idx="3">
                  <c:v>279</c:v>
                </c:pt>
                <c:pt idx="4">
                  <c:v>270</c:v>
                </c:pt>
                <c:pt idx="5">
                  <c:v>267</c:v>
                </c:pt>
                <c:pt idx="6">
                  <c:v>266</c:v>
                </c:pt>
                <c:pt idx="7">
                  <c:v>263</c:v>
                </c:pt>
                <c:pt idx="8">
                  <c:v>274</c:v>
                </c:pt>
                <c:pt idx="9">
                  <c:v>329</c:v>
                </c:pt>
                <c:pt idx="10">
                  <c:v>416</c:v>
                </c:pt>
                <c:pt idx="11">
                  <c:v>468</c:v>
                </c:pt>
                <c:pt idx="12">
                  <c:v>525</c:v>
                </c:pt>
                <c:pt idx="13">
                  <c:v>585</c:v>
                </c:pt>
                <c:pt idx="14">
                  <c:v>639</c:v>
                </c:pt>
                <c:pt idx="15">
                  <c:v>672</c:v>
                </c:pt>
                <c:pt idx="16">
                  <c:v>716</c:v>
                </c:pt>
                <c:pt idx="17">
                  <c:v>778</c:v>
                </c:pt>
                <c:pt idx="18">
                  <c:v>826</c:v>
                </c:pt>
                <c:pt idx="19">
                  <c:v>884</c:v>
                </c:pt>
                <c:pt idx="20">
                  <c:v>907</c:v>
                </c:pt>
                <c:pt idx="21">
                  <c:v>952</c:v>
                </c:pt>
                <c:pt idx="22">
                  <c:v>1009</c:v>
                </c:pt>
                <c:pt idx="23">
                  <c:v>1055</c:v>
                </c:pt>
                <c:pt idx="24">
                  <c:v>1461</c:v>
                </c:pt>
                <c:pt idx="25">
                  <c:v>1580</c:v>
                </c:pt>
                <c:pt idx="26">
                  <c:v>1632</c:v>
                </c:pt>
                <c:pt idx="27">
                  <c:v>1680</c:v>
                </c:pt>
                <c:pt idx="28">
                  <c:v>1699</c:v>
                </c:pt>
                <c:pt idx="29">
                  <c:v>1714</c:v>
                </c:pt>
                <c:pt idx="30">
                  <c:v>1776</c:v>
                </c:pt>
                <c:pt idx="31">
                  <c:v>1816</c:v>
                </c:pt>
                <c:pt idx="32">
                  <c:v>1847</c:v>
                </c:pt>
                <c:pt idx="33">
                  <c:v>1876</c:v>
                </c:pt>
                <c:pt idx="34">
                  <c:v>1884</c:v>
                </c:pt>
                <c:pt idx="35">
                  <c:v>1881</c:v>
                </c:pt>
                <c:pt idx="36">
                  <c:v>1853</c:v>
                </c:pt>
                <c:pt idx="37">
                  <c:v>1844</c:v>
                </c:pt>
                <c:pt idx="38">
                  <c:v>1845</c:v>
                </c:pt>
                <c:pt idx="39">
                  <c:v>1822</c:v>
                </c:pt>
                <c:pt idx="40">
                  <c:v>1804</c:v>
                </c:pt>
                <c:pt idx="41">
                  <c:v>1782</c:v>
                </c:pt>
                <c:pt idx="42">
                  <c:v>1751</c:v>
                </c:pt>
                <c:pt idx="43">
                  <c:v>1744</c:v>
                </c:pt>
                <c:pt idx="44">
                  <c:v>1721</c:v>
                </c:pt>
                <c:pt idx="45">
                  <c:v>1724</c:v>
                </c:pt>
                <c:pt idx="46">
                  <c:v>1718</c:v>
                </c:pt>
                <c:pt idx="47">
                  <c:v>1716</c:v>
                </c:pt>
                <c:pt idx="48">
                  <c:v>1705</c:v>
                </c:pt>
                <c:pt idx="49">
                  <c:v>1706</c:v>
                </c:pt>
              </c:numCache>
            </c:numRef>
          </c:val>
          <c:smooth val="0"/>
          <c:extLst>
            <c:ext xmlns:c16="http://schemas.microsoft.com/office/drawing/2014/chart" uri="{C3380CC4-5D6E-409C-BE32-E72D297353CC}">
              <c16:uniqueId val="{00000001-77B2-424A-A787-8234FA85B054}"/>
            </c:ext>
          </c:extLst>
        </c:ser>
        <c:ser>
          <c:idx val="2"/>
          <c:order val="2"/>
          <c:tx>
            <c:strRef>
              <c:f>Sheet1!$D$1</c:f>
              <c:strCache>
                <c:ptCount val="1"/>
                <c:pt idx="0">
                  <c:v>TOTAL</c:v>
                </c:pt>
              </c:strCache>
            </c:strRef>
          </c:tx>
          <c:spPr>
            <a:ln w="28575" cap="rnd">
              <a:solidFill>
                <a:schemeClr val="accent3"/>
              </a:solidFill>
              <a:round/>
            </a:ln>
            <a:effectLst/>
          </c:spPr>
          <c:marker>
            <c:symbol val="none"/>
          </c:marker>
          <c:cat>
            <c:strRef>
              <c:f>Sheet1!$A$2:$A$51</c:f>
              <c:strCache>
                <c:ptCount val="46"/>
                <c:pt idx="9">
                  <c:v>Jan-19</c:v>
                </c:pt>
                <c:pt idx="21">
                  <c:v>Jan-20</c:v>
                </c:pt>
                <c:pt idx="33">
                  <c:v>Jan-21</c:v>
                </c:pt>
                <c:pt idx="45">
                  <c:v>Jan-22</c:v>
                </c:pt>
              </c:strCache>
            </c:strRef>
          </c:cat>
          <c:val>
            <c:numRef>
              <c:f>Sheet1!$D$2:$D$51</c:f>
              <c:numCache>
                <c:formatCode>General</c:formatCode>
                <c:ptCount val="50"/>
                <c:pt idx="0">
                  <c:v>2667</c:v>
                </c:pt>
                <c:pt idx="1">
                  <c:v>2665</c:v>
                </c:pt>
                <c:pt idx="2">
                  <c:v>2662</c:v>
                </c:pt>
                <c:pt idx="3">
                  <c:v>2656</c:v>
                </c:pt>
                <c:pt idx="4">
                  <c:v>2648</c:v>
                </c:pt>
                <c:pt idx="5">
                  <c:v>2645</c:v>
                </c:pt>
                <c:pt idx="6">
                  <c:v>2651</c:v>
                </c:pt>
                <c:pt idx="7">
                  <c:v>2628</c:v>
                </c:pt>
                <c:pt idx="8">
                  <c:v>2608</c:v>
                </c:pt>
                <c:pt idx="9">
                  <c:v>2638</c:v>
                </c:pt>
                <c:pt idx="10">
                  <c:v>2642</c:v>
                </c:pt>
                <c:pt idx="11">
                  <c:v>2599</c:v>
                </c:pt>
                <c:pt idx="12">
                  <c:v>2609</c:v>
                </c:pt>
                <c:pt idx="13">
                  <c:v>2645</c:v>
                </c:pt>
                <c:pt idx="14">
                  <c:v>2669</c:v>
                </c:pt>
                <c:pt idx="15">
                  <c:v>2668</c:v>
                </c:pt>
                <c:pt idx="16">
                  <c:v>2695</c:v>
                </c:pt>
                <c:pt idx="17">
                  <c:v>2692</c:v>
                </c:pt>
                <c:pt idx="18">
                  <c:v>2705</c:v>
                </c:pt>
                <c:pt idx="19">
                  <c:v>2704</c:v>
                </c:pt>
                <c:pt idx="20">
                  <c:v>2698</c:v>
                </c:pt>
                <c:pt idx="21">
                  <c:v>2728</c:v>
                </c:pt>
                <c:pt idx="22">
                  <c:v>2761</c:v>
                </c:pt>
                <c:pt idx="23">
                  <c:v>2768</c:v>
                </c:pt>
                <c:pt idx="24">
                  <c:v>3154</c:v>
                </c:pt>
                <c:pt idx="25">
                  <c:v>3237</c:v>
                </c:pt>
                <c:pt idx="26">
                  <c:v>3276</c:v>
                </c:pt>
                <c:pt idx="27">
                  <c:v>3308</c:v>
                </c:pt>
                <c:pt idx="28">
                  <c:v>3334</c:v>
                </c:pt>
                <c:pt idx="29">
                  <c:v>3327</c:v>
                </c:pt>
                <c:pt idx="30">
                  <c:v>3376</c:v>
                </c:pt>
                <c:pt idx="31">
                  <c:v>3397</c:v>
                </c:pt>
                <c:pt idx="32">
                  <c:v>3408</c:v>
                </c:pt>
                <c:pt idx="33">
                  <c:v>3428</c:v>
                </c:pt>
                <c:pt idx="34">
                  <c:v>3423</c:v>
                </c:pt>
                <c:pt idx="35">
                  <c:v>3386</c:v>
                </c:pt>
                <c:pt idx="36">
                  <c:v>3339</c:v>
                </c:pt>
                <c:pt idx="37">
                  <c:v>3328</c:v>
                </c:pt>
                <c:pt idx="38">
                  <c:v>3314</c:v>
                </c:pt>
                <c:pt idx="39">
                  <c:v>3276</c:v>
                </c:pt>
                <c:pt idx="40">
                  <c:v>3238</c:v>
                </c:pt>
                <c:pt idx="41">
                  <c:v>3200</c:v>
                </c:pt>
                <c:pt idx="42">
                  <c:v>3166</c:v>
                </c:pt>
                <c:pt idx="43">
                  <c:v>3142</c:v>
                </c:pt>
                <c:pt idx="44">
                  <c:v>3103</c:v>
                </c:pt>
                <c:pt idx="45">
                  <c:v>3077</c:v>
                </c:pt>
                <c:pt idx="46">
                  <c:v>3069</c:v>
                </c:pt>
                <c:pt idx="47">
                  <c:v>3052</c:v>
                </c:pt>
                <c:pt idx="48">
                  <c:v>3035</c:v>
                </c:pt>
                <c:pt idx="49">
                  <c:v>3018</c:v>
                </c:pt>
              </c:numCache>
            </c:numRef>
          </c:val>
          <c:smooth val="0"/>
          <c:extLst>
            <c:ext xmlns:c16="http://schemas.microsoft.com/office/drawing/2014/chart" uri="{C3380CC4-5D6E-409C-BE32-E72D297353CC}">
              <c16:uniqueId val="{00000002-77B2-424A-A787-8234FA85B054}"/>
            </c:ext>
          </c:extLst>
        </c:ser>
        <c:dLbls>
          <c:showLegendKey val="0"/>
          <c:showVal val="0"/>
          <c:showCatName val="0"/>
          <c:showSerName val="0"/>
          <c:showPercent val="0"/>
          <c:showBubbleSize val="0"/>
        </c:dLbls>
        <c:smooth val="0"/>
        <c:axId val="592224576"/>
        <c:axId val="592225232"/>
      </c:lineChart>
      <c:catAx>
        <c:axId val="59222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592225232"/>
        <c:crosses val="autoZero"/>
        <c:auto val="1"/>
        <c:lblAlgn val="ctr"/>
        <c:lblOffset val="100"/>
        <c:noMultiLvlLbl val="0"/>
      </c:catAx>
      <c:valAx>
        <c:axId val="59222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592224576"/>
        <c:crosses val="autoZero"/>
        <c:crossBetween val="between"/>
      </c:valAx>
      <c:spPr>
        <a:noFill/>
        <a:ln>
          <a:noFill/>
        </a:ln>
        <a:effectLst/>
      </c:spPr>
    </c:plotArea>
    <c:legend>
      <c:legendPos val="t"/>
      <c:layout>
        <c:manualLayout>
          <c:xMode val="edge"/>
          <c:yMode val="edge"/>
          <c:x val="0.58560950953324353"/>
          <c:y val="0.6085997794928335"/>
          <c:w val="0.25312048920683455"/>
          <c:h val="0.1812044552865290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Up to £70k</c:v>
                </c:pt>
                <c:pt idx="1">
                  <c:v>£70k-£80k</c:v>
                </c:pt>
                <c:pt idx="2">
                  <c:v>£80k-£90k</c:v>
                </c:pt>
                <c:pt idx="3">
                  <c:v>£90k-£100k</c:v>
                </c:pt>
                <c:pt idx="4">
                  <c:v>£100k-£110k</c:v>
                </c:pt>
                <c:pt idx="5">
                  <c:v>£110k-£120k</c:v>
                </c:pt>
                <c:pt idx="6">
                  <c:v>£120k-£130k</c:v>
                </c:pt>
                <c:pt idx="7">
                  <c:v>£130k-£140k</c:v>
                </c:pt>
                <c:pt idx="8">
                  <c:v>£140k-£150k</c:v>
                </c:pt>
                <c:pt idx="9">
                  <c:v>£150k-£160k</c:v>
                </c:pt>
                <c:pt idx="10">
                  <c:v>£160k+</c:v>
                </c:pt>
              </c:strCache>
            </c:strRef>
          </c:cat>
          <c:val>
            <c:numRef>
              <c:f>Sheet1!$B$2:$B$12</c:f>
              <c:numCache>
                <c:formatCode>General</c:formatCode>
                <c:ptCount val="11"/>
                <c:pt idx="0">
                  <c:v>0.183</c:v>
                </c:pt>
                <c:pt idx="1">
                  <c:v>0.14599999999999999</c:v>
                </c:pt>
                <c:pt idx="2">
                  <c:v>6.5000000000000002E-2</c:v>
                </c:pt>
                <c:pt idx="3">
                  <c:v>0.125</c:v>
                </c:pt>
                <c:pt idx="4">
                  <c:v>9.9000000000000005E-2</c:v>
                </c:pt>
                <c:pt idx="5">
                  <c:v>0.10099999999999999</c:v>
                </c:pt>
                <c:pt idx="6">
                  <c:v>0.11900000000000001</c:v>
                </c:pt>
                <c:pt idx="7">
                  <c:v>4.8000000000000001E-2</c:v>
                </c:pt>
                <c:pt idx="8">
                  <c:v>2.7000000000000003E-2</c:v>
                </c:pt>
                <c:pt idx="9">
                  <c:v>2.1000000000000001E-2</c:v>
                </c:pt>
                <c:pt idx="10">
                  <c:v>6.6000000000000003E-2</c:v>
                </c:pt>
              </c:numCache>
            </c:numRef>
          </c:val>
          <c:extLst>
            <c:ext xmlns:c16="http://schemas.microsoft.com/office/drawing/2014/chart" uri="{C3380CC4-5D6E-409C-BE32-E72D297353CC}">
              <c16:uniqueId val="{00000000-97DF-43EA-998B-55B01257D1B3}"/>
            </c:ext>
          </c:extLst>
        </c:ser>
        <c:dLbls>
          <c:dLblPos val="outEnd"/>
          <c:showLegendKey val="0"/>
          <c:showVal val="1"/>
          <c:showCatName val="0"/>
          <c:showSerName val="0"/>
          <c:showPercent val="0"/>
          <c:showBubbleSize val="0"/>
        </c:dLbls>
        <c:gapWidth val="219"/>
        <c:overlap val="-27"/>
        <c:axId val="665212096"/>
        <c:axId val="665213760"/>
      </c:barChart>
      <c:catAx>
        <c:axId val="66521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665213760"/>
        <c:crosses val="autoZero"/>
        <c:auto val="1"/>
        <c:lblAlgn val="ctr"/>
        <c:lblOffset val="100"/>
        <c:noMultiLvlLbl val="0"/>
      </c:catAx>
      <c:valAx>
        <c:axId val="665213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665212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Up to £70k</c:v>
                </c:pt>
                <c:pt idx="1">
                  <c:v>£70k-£80k</c:v>
                </c:pt>
                <c:pt idx="2">
                  <c:v>£80k-£90k</c:v>
                </c:pt>
                <c:pt idx="3">
                  <c:v>£90k-£100k</c:v>
                </c:pt>
                <c:pt idx="4">
                  <c:v>£100k-£110k</c:v>
                </c:pt>
                <c:pt idx="5">
                  <c:v>£110k-£120k</c:v>
                </c:pt>
                <c:pt idx="6">
                  <c:v>£120k-£130k</c:v>
                </c:pt>
                <c:pt idx="7">
                  <c:v>£130k-£140k</c:v>
                </c:pt>
                <c:pt idx="8">
                  <c:v>£140k-£150k</c:v>
                </c:pt>
                <c:pt idx="9">
                  <c:v>£150k-£160k</c:v>
                </c:pt>
                <c:pt idx="10">
                  <c:v>£160k+</c:v>
                </c:pt>
              </c:strCache>
            </c:strRef>
          </c:cat>
          <c:val>
            <c:numRef>
              <c:f>Sheet1!$B$2:$B$12</c:f>
              <c:numCache>
                <c:formatCode>General</c:formatCode>
                <c:ptCount val="11"/>
                <c:pt idx="0">
                  <c:v>0.183</c:v>
                </c:pt>
                <c:pt idx="1">
                  <c:v>0.14599999999999999</c:v>
                </c:pt>
                <c:pt idx="2">
                  <c:v>6.5000000000000002E-2</c:v>
                </c:pt>
                <c:pt idx="3">
                  <c:v>0.125</c:v>
                </c:pt>
                <c:pt idx="4">
                  <c:v>9.9000000000000005E-2</c:v>
                </c:pt>
                <c:pt idx="5">
                  <c:v>0.10099999999999999</c:v>
                </c:pt>
                <c:pt idx="6">
                  <c:v>0.11900000000000001</c:v>
                </c:pt>
                <c:pt idx="7">
                  <c:v>4.8000000000000001E-2</c:v>
                </c:pt>
                <c:pt idx="8">
                  <c:v>2.7000000000000003E-2</c:v>
                </c:pt>
                <c:pt idx="9">
                  <c:v>2.1000000000000001E-2</c:v>
                </c:pt>
                <c:pt idx="10">
                  <c:v>6.6000000000000003E-2</c:v>
                </c:pt>
              </c:numCache>
            </c:numRef>
          </c:val>
          <c:extLst>
            <c:ext xmlns:c16="http://schemas.microsoft.com/office/drawing/2014/chart" uri="{C3380CC4-5D6E-409C-BE32-E72D297353CC}">
              <c16:uniqueId val="{00000000-A139-4DF6-803D-E6C01BDFD072}"/>
            </c:ext>
          </c:extLst>
        </c:ser>
        <c:dLbls>
          <c:dLblPos val="outEnd"/>
          <c:showLegendKey val="0"/>
          <c:showVal val="1"/>
          <c:showCatName val="0"/>
          <c:showSerName val="0"/>
          <c:showPercent val="0"/>
          <c:showBubbleSize val="0"/>
        </c:dLbls>
        <c:gapWidth val="219"/>
        <c:overlap val="-27"/>
        <c:axId val="665212096"/>
        <c:axId val="665213760"/>
      </c:barChart>
      <c:catAx>
        <c:axId val="66521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665213760"/>
        <c:crosses val="autoZero"/>
        <c:auto val="1"/>
        <c:lblAlgn val="ctr"/>
        <c:lblOffset val="100"/>
        <c:noMultiLvlLbl val="0"/>
      </c:catAx>
      <c:valAx>
        <c:axId val="665213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665212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Relationship breakdown or to live independently</c:v>
                </c:pt>
                <c:pt idx="1">
                  <c:v>To move closer to transport links</c:v>
                </c:pt>
                <c:pt idx="2">
                  <c:v>For schools</c:v>
                </c:pt>
                <c:pt idx="3">
                  <c:v>To move to live with partner</c:v>
                </c:pt>
                <c:pt idx="4">
                  <c:v>To live closer to employment or take up new job</c:v>
                </c:pt>
                <c:pt idx="5">
                  <c:v>End of tenancy/insecure tenancy</c:v>
                </c:pt>
                <c:pt idx="6">
                  <c:v>Access problems</c:v>
                </c:pt>
                <c:pt idx="7">
                  <c:v>To move closer to family/friends</c:v>
                </c:pt>
                <c:pt idx="8">
                  <c:v>To move to better environment</c:v>
                </c:pt>
                <c:pt idx="9">
                  <c:v>To buy a home</c:v>
                </c:pt>
                <c:pt idx="10">
                  <c:v>Retirement</c:v>
                </c:pt>
                <c:pt idx="11">
                  <c:v>Health reasons</c:v>
                </c:pt>
                <c:pt idx="12">
                  <c:v>Garden/bigger garden</c:v>
                </c:pt>
                <c:pt idx="13">
                  <c:v>Current home is too big</c:v>
                </c:pt>
                <c:pt idx="14">
                  <c:v>Other</c:v>
                </c:pt>
                <c:pt idx="15">
                  <c:v>To move to cheaper accommodation</c:v>
                </c:pt>
                <c:pt idx="16">
                  <c:v>Current home is too small</c:v>
                </c:pt>
              </c:strCache>
            </c:strRef>
          </c:cat>
          <c:val>
            <c:numRef>
              <c:f>Sheet1!$B$2:$B$18</c:f>
              <c:numCache>
                <c:formatCode>#,##0</c:formatCode>
                <c:ptCount val="17"/>
                <c:pt idx="0">
                  <c:v>243</c:v>
                </c:pt>
                <c:pt idx="1">
                  <c:v>271</c:v>
                </c:pt>
                <c:pt idx="2">
                  <c:v>413</c:v>
                </c:pt>
                <c:pt idx="3">
                  <c:v>454</c:v>
                </c:pt>
                <c:pt idx="4">
                  <c:v>608</c:v>
                </c:pt>
                <c:pt idx="5">
                  <c:v>721</c:v>
                </c:pt>
                <c:pt idx="6">
                  <c:v>979</c:v>
                </c:pt>
                <c:pt idx="7">
                  <c:v>1096</c:v>
                </c:pt>
                <c:pt idx="8">
                  <c:v>1098</c:v>
                </c:pt>
                <c:pt idx="9">
                  <c:v>1137</c:v>
                </c:pt>
                <c:pt idx="10">
                  <c:v>1368</c:v>
                </c:pt>
                <c:pt idx="11">
                  <c:v>1383</c:v>
                </c:pt>
                <c:pt idx="12">
                  <c:v>1580</c:v>
                </c:pt>
                <c:pt idx="13">
                  <c:v>1749</c:v>
                </c:pt>
                <c:pt idx="14">
                  <c:v>1845</c:v>
                </c:pt>
                <c:pt idx="15">
                  <c:v>1941</c:v>
                </c:pt>
                <c:pt idx="16">
                  <c:v>2468</c:v>
                </c:pt>
              </c:numCache>
            </c:numRef>
          </c:val>
          <c:extLst>
            <c:ext xmlns:c16="http://schemas.microsoft.com/office/drawing/2014/chart" uri="{C3380CC4-5D6E-409C-BE32-E72D297353CC}">
              <c16:uniqueId val="{00000000-2176-487C-82F2-6591454243F0}"/>
            </c:ext>
          </c:extLst>
        </c:ser>
        <c:dLbls>
          <c:dLblPos val="outEnd"/>
          <c:showLegendKey val="0"/>
          <c:showVal val="1"/>
          <c:showCatName val="0"/>
          <c:showSerName val="0"/>
          <c:showPercent val="0"/>
          <c:showBubbleSize val="0"/>
        </c:dLbls>
        <c:gapWidth val="150"/>
        <c:axId val="1528198544"/>
        <c:axId val="1528200624"/>
      </c:barChart>
      <c:catAx>
        <c:axId val="1528198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528200624"/>
        <c:crosses val="autoZero"/>
        <c:auto val="1"/>
        <c:lblAlgn val="ctr"/>
        <c:lblOffset val="100"/>
        <c:noMultiLvlLbl val="0"/>
      </c:catAx>
      <c:valAx>
        <c:axId val="15282006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528198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Joining armed forces</c:v>
                </c:pt>
                <c:pt idx="1">
                  <c:v>Other</c:v>
                </c:pt>
                <c:pt idx="2">
                  <c:v>Moving to live with partner at his/her place</c:v>
                </c:pt>
                <c:pt idx="3">
                  <c:v>Want to live with friends</c:v>
                </c:pt>
                <c:pt idx="4">
                  <c:v>Want a place of their own with partner</c:v>
                </c:pt>
                <c:pt idx="5">
                  <c:v>Further/higher education</c:v>
                </c:pt>
                <c:pt idx="6">
                  <c:v>Location of employment</c:v>
                </c:pt>
                <c:pt idx="7">
                  <c:v>Want a place of their own alone</c:v>
                </c:pt>
              </c:strCache>
            </c:strRef>
          </c:cat>
          <c:val>
            <c:numRef>
              <c:f>Sheet1!$B$2:$B$9</c:f>
              <c:numCache>
                <c:formatCode>#,##0</c:formatCode>
                <c:ptCount val="8"/>
                <c:pt idx="0">
                  <c:v>80</c:v>
                </c:pt>
                <c:pt idx="1">
                  <c:v>244</c:v>
                </c:pt>
                <c:pt idx="2">
                  <c:v>291</c:v>
                </c:pt>
                <c:pt idx="3">
                  <c:v>418</c:v>
                </c:pt>
                <c:pt idx="4">
                  <c:v>512</c:v>
                </c:pt>
                <c:pt idx="5">
                  <c:v>626</c:v>
                </c:pt>
                <c:pt idx="6">
                  <c:v>667</c:v>
                </c:pt>
                <c:pt idx="7">
                  <c:v>1818</c:v>
                </c:pt>
              </c:numCache>
            </c:numRef>
          </c:val>
          <c:extLst>
            <c:ext xmlns:c16="http://schemas.microsoft.com/office/drawing/2014/chart" uri="{C3380CC4-5D6E-409C-BE32-E72D297353CC}">
              <c16:uniqueId val="{00000000-5BDB-4DC7-815D-82ED7919FA1D}"/>
            </c:ext>
          </c:extLst>
        </c:ser>
        <c:dLbls>
          <c:dLblPos val="outEnd"/>
          <c:showLegendKey val="0"/>
          <c:showVal val="1"/>
          <c:showCatName val="0"/>
          <c:showSerName val="0"/>
          <c:showPercent val="0"/>
          <c:showBubbleSize val="0"/>
        </c:dLbls>
        <c:gapWidth val="150"/>
        <c:axId val="1528198544"/>
        <c:axId val="1528200624"/>
      </c:barChart>
      <c:catAx>
        <c:axId val="1528198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528200624"/>
        <c:crosses val="autoZero"/>
        <c:auto val="1"/>
        <c:lblAlgn val="ctr"/>
        <c:lblOffset val="100"/>
        <c:noMultiLvlLbl val="0"/>
      </c:catAx>
      <c:valAx>
        <c:axId val="15282006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528198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508670520231214"/>
          <c:y val="1.876172607879925E-3"/>
          <c:w val="0.51059730250481694"/>
          <c:h val="0.88986980037755448"/>
        </c:manualLayout>
      </c:layout>
      <c:barChart>
        <c:barDir val="bar"/>
        <c:grouping val="clustered"/>
        <c:varyColors val="0"/>
        <c:ser>
          <c:idx val="0"/>
          <c:order val="0"/>
          <c:tx>
            <c:strRef>
              <c:f>Sheet1!$B$1</c:f>
              <c:strCache>
                <c:ptCount val="1"/>
                <c:pt idx="0">
                  <c:v>A problem</c:v>
                </c:pt>
              </c:strCache>
            </c:strRef>
          </c:tx>
          <c:invertIfNegative val="0"/>
          <c:dLbls>
            <c:dLbl>
              <c:idx val="0"/>
              <c:layout>
                <c:manualLayout>
                  <c:x val="-3.8275188721158537E-3"/>
                  <c:y val="-1.87096532496424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61-4E5D-AB25-EBAB0E0D30A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Sheet1!$A$2:$A$16</c:f>
              <c:strCache>
                <c:ptCount val="15"/>
                <c:pt idx="0">
                  <c:v>Need help maintaining home</c:v>
                </c:pt>
                <c:pt idx="1">
                  <c:v>Need support managing finances</c:v>
                </c:pt>
                <c:pt idx="2">
                  <c:v>More support services</c:v>
                </c:pt>
                <c:pt idx="3">
                  <c:v>Accessible external route to property</c:v>
                </c:pt>
                <c:pt idx="4">
                  <c:v>Car parking space near to front door of home</c:v>
                </c:pt>
                <c:pt idx="5">
                  <c:v>Emergency alarm</c:v>
                </c:pt>
                <c:pt idx="6">
                  <c:v>Kitchen alterations</c:v>
                </c:pt>
                <c:pt idx="7">
                  <c:v>Other alterations to bathroom/toilet</c:v>
                </c:pt>
                <c:pt idx="8">
                  <c:v>Level access shower unit </c:v>
                </c:pt>
                <c:pt idx="9">
                  <c:v>Downstairs toilet</c:v>
                </c:pt>
                <c:pt idx="10">
                  <c:v>Improvements to internal accessibility</c:v>
                </c:pt>
                <c:pt idx="11">
                  <c:v>Other alterations/adaptations to improve accessibility</c:v>
                </c:pt>
                <c:pt idx="12">
                  <c:v>Handrails/extra handrails</c:v>
                </c:pt>
                <c:pt idx="13">
                  <c:v>Lift/stair lift</c:v>
                </c:pt>
                <c:pt idx="14">
                  <c:v>Wheelchair accessible</c:v>
                </c:pt>
              </c:strCache>
            </c:strRef>
          </c:cat>
          <c:val>
            <c:numRef>
              <c:f>Sheet1!$B$2:$B$16</c:f>
              <c:numCache>
                <c:formatCode>#,##0</c:formatCode>
                <c:ptCount val="15"/>
                <c:pt idx="0">
                  <c:v>2932</c:v>
                </c:pt>
                <c:pt idx="1">
                  <c:v>854</c:v>
                </c:pt>
                <c:pt idx="2">
                  <c:v>661</c:v>
                </c:pt>
                <c:pt idx="3" formatCode="General">
                  <c:v>838</c:v>
                </c:pt>
                <c:pt idx="4">
                  <c:v>1750</c:v>
                </c:pt>
                <c:pt idx="5">
                  <c:v>708</c:v>
                </c:pt>
                <c:pt idx="6">
                  <c:v>503</c:v>
                </c:pt>
                <c:pt idx="7">
                  <c:v>1191</c:v>
                </c:pt>
                <c:pt idx="8">
                  <c:v>2212</c:v>
                </c:pt>
                <c:pt idx="9">
                  <c:v>1280</c:v>
                </c:pt>
                <c:pt idx="10" formatCode="General">
                  <c:v>413</c:v>
                </c:pt>
                <c:pt idx="11">
                  <c:v>962</c:v>
                </c:pt>
                <c:pt idx="12">
                  <c:v>1286</c:v>
                </c:pt>
                <c:pt idx="13">
                  <c:v>1184</c:v>
                </c:pt>
                <c:pt idx="14" formatCode="General">
                  <c:v>547</c:v>
                </c:pt>
              </c:numCache>
            </c:numRef>
          </c:val>
          <c:extLst>
            <c:ext xmlns:c16="http://schemas.microsoft.com/office/drawing/2014/chart" uri="{C3380CC4-5D6E-409C-BE32-E72D297353CC}">
              <c16:uniqueId val="{00000001-1161-4E5D-AB25-EBAB0E0D30A9}"/>
            </c:ext>
          </c:extLst>
        </c:ser>
        <c:dLbls>
          <c:showLegendKey val="0"/>
          <c:showVal val="1"/>
          <c:showCatName val="0"/>
          <c:showSerName val="0"/>
          <c:showPercent val="0"/>
          <c:showBubbleSize val="0"/>
        </c:dLbls>
        <c:gapWidth val="50"/>
        <c:axId val="615855320"/>
        <c:axId val="615855712"/>
      </c:barChart>
      <c:catAx>
        <c:axId val="615855320"/>
        <c:scaling>
          <c:orientation val="minMax"/>
        </c:scaling>
        <c:delete val="0"/>
        <c:axPos val="l"/>
        <c:numFmt formatCode="General" sourceLinked="1"/>
        <c:majorTickMark val="out"/>
        <c:minorTickMark val="none"/>
        <c:tickLblPos val="nextTo"/>
        <c:txPr>
          <a:bodyPr rot="0" vert="horz"/>
          <a:lstStyle/>
          <a:p>
            <a:pPr>
              <a:defRPr/>
            </a:pPr>
            <a:endParaRPr lang="en-US"/>
          </a:p>
        </c:txPr>
        <c:crossAx val="615855712"/>
        <c:crosses val="autoZero"/>
        <c:auto val="0"/>
        <c:lblAlgn val="ctr"/>
        <c:lblOffset val="100"/>
        <c:tickLblSkip val="1"/>
        <c:tickMarkSkip val="1"/>
        <c:noMultiLvlLbl val="0"/>
      </c:catAx>
      <c:valAx>
        <c:axId val="615855712"/>
        <c:scaling>
          <c:orientation val="minMax"/>
        </c:scaling>
        <c:delete val="0"/>
        <c:axPos val="b"/>
        <c:majorGridlines/>
        <c:title>
          <c:tx>
            <c:rich>
              <a:bodyPr/>
              <a:lstStyle/>
              <a:p>
                <a:pPr>
                  <a:defRPr b="0"/>
                </a:pPr>
                <a:r>
                  <a:rPr lang="en-GB" b="0"/>
                  <a:t>Households</a:t>
                </a:r>
              </a:p>
            </c:rich>
          </c:tx>
          <c:layout>
            <c:manualLayout>
              <c:xMode val="edge"/>
              <c:yMode val="edge"/>
              <c:x val="0.63776493256262046"/>
              <c:y val="0.95309568480300189"/>
            </c:manualLayout>
          </c:layout>
          <c:overlay val="0"/>
          <c:spPr>
            <a:ln>
              <a:noFill/>
            </a:ln>
          </c:spPr>
        </c:title>
        <c:numFmt formatCode="#,##0" sourceLinked="0"/>
        <c:majorTickMark val="out"/>
        <c:minorTickMark val="none"/>
        <c:tickLblPos val="nextTo"/>
        <c:txPr>
          <a:bodyPr rot="0" vert="horz"/>
          <a:lstStyle/>
          <a:p>
            <a:pPr>
              <a:defRPr/>
            </a:pPr>
            <a:endParaRPr lang="en-US"/>
          </a:p>
        </c:txPr>
        <c:crossAx val="615855320"/>
        <c:crosses val="autoZero"/>
        <c:crossBetween val="between"/>
      </c:valAx>
    </c:plotArea>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Lone parent households</c:v>
                </c:pt>
              </c:strCache>
            </c:strRef>
          </c:tx>
          <c:spPr>
            <a:solidFill>
              <a:schemeClr val="accent1"/>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3ABF-4D21-A885-E14C61DC60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c:v>
                </c:pt>
                <c:pt idx="1">
                  <c:v>Private rented</c:v>
                </c:pt>
                <c:pt idx="2">
                  <c:v>Social rented</c:v>
                </c:pt>
                <c:pt idx="3">
                  <c:v>Owns with mortgage</c:v>
                </c:pt>
                <c:pt idx="4">
                  <c:v>Owns outright</c:v>
                </c:pt>
              </c:strCache>
            </c:strRef>
          </c:cat>
          <c:val>
            <c:numRef>
              <c:f>Sheet1!$B$2:$B$6</c:f>
              <c:numCache>
                <c:formatCode>0.0%</c:formatCode>
                <c:ptCount val="5"/>
                <c:pt idx="0">
                  <c:v>5.3999999999999999E-2</c:v>
                </c:pt>
                <c:pt idx="1">
                  <c:v>0.159</c:v>
                </c:pt>
                <c:pt idx="2">
                  <c:v>9.1999999999999998E-2</c:v>
                </c:pt>
                <c:pt idx="3">
                  <c:v>4.2000000000000003E-2</c:v>
                </c:pt>
                <c:pt idx="4">
                  <c:v>7.0000000000000001E-3</c:v>
                </c:pt>
              </c:numCache>
            </c:numRef>
          </c:val>
          <c:extLst>
            <c:ext xmlns:c16="http://schemas.microsoft.com/office/drawing/2014/chart" uri="{C3380CC4-5D6E-409C-BE32-E72D297353CC}">
              <c16:uniqueId val="{00000001-3ABF-4D21-A885-E14C61DC604B}"/>
            </c:ext>
          </c:extLst>
        </c:ser>
        <c:ser>
          <c:idx val="1"/>
          <c:order val="1"/>
          <c:tx>
            <c:strRef>
              <c:f>Sheet1!$C$1</c:f>
              <c:strCache>
                <c:ptCount val="1"/>
                <c:pt idx="0">
                  <c:v>Two or more adults and one child</c:v>
                </c:pt>
              </c:strCache>
            </c:strRef>
          </c:tx>
          <c:spPr>
            <a:solidFill>
              <a:schemeClr val="accent2"/>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2-3ABF-4D21-A885-E14C61DC60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c:v>
                </c:pt>
                <c:pt idx="1">
                  <c:v>Private rented</c:v>
                </c:pt>
                <c:pt idx="2">
                  <c:v>Social rented</c:v>
                </c:pt>
                <c:pt idx="3">
                  <c:v>Owns with mortgage</c:v>
                </c:pt>
                <c:pt idx="4">
                  <c:v>Owns outright</c:v>
                </c:pt>
              </c:strCache>
            </c:strRef>
          </c:cat>
          <c:val>
            <c:numRef>
              <c:f>Sheet1!$C$2:$C$6</c:f>
              <c:numCache>
                <c:formatCode>0.0%</c:formatCode>
                <c:ptCount val="5"/>
                <c:pt idx="0">
                  <c:v>8.3000000000000004E-2</c:v>
                </c:pt>
                <c:pt idx="1">
                  <c:v>0.107</c:v>
                </c:pt>
                <c:pt idx="2">
                  <c:v>0.10299999999999999</c:v>
                </c:pt>
                <c:pt idx="3">
                  <c:v>0.157</c:v>
                </c:pt>
                <c:pt idx="4">
                  <c:v>2.4E-2</c:v>
                </c:pt>
              </c:numCache>
            </c:numRef>
          </c:val>
          <c:extLst>
            <c:ext xmlns:c16="http://schemas.microsoft.com/office/drawing/2014/chart" uri="{C3380CC4-5D6E-409C-BE32-E72D297353CC}">
              <c16:uniqueId val="{00000003-3ABF-4D21-A885-E14C61DC604B}"/>
            </c:ext>
          </c:extLst>
        </c:ser>
        <c:ser>
          <c:idx val="2"/>
          <c:order val="2"/>
          <c:tx>
            <c:strRef>
              <c:f>Sheet1!$D$1</c:f>
              <c:strCache>
                <c:ptCount val="1"/>
                <c:pt idx="0">
                  <c:v>Two or more adults and two or more children</c:v>
                </c:pt>
              </c:strCache>
            </c:strRef>
          </c:tx>
          <c:spPr>
            <a:solidFill>
              <a:schemeClr val="accent3"/>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4-3ABF-4D21-A885-E14C61DC60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c:v>
                </c:pt>
                <c:pt idx="1">
                  <c:v>Private rented</c:v>
                </c:pt>
                <c:pt idx="2">
                  <c:v>Social rented</c:v>
                </c:pt>
                <c:pt idx="3">
                  <c:v>Owns with mortgage</c:v>
                </c:pt>
                <c:pt idx="4">
                  <c:v>Owns outright</c:v>
                </c:pt>
              </c:strCache>
            </c:strRef>
          </c:cat>
          <c:val>
            <c:numRef>
              <c:f>Sheet1!$D$2:$D$6</c:f>
              <c:numCache>
                <c:formatCode>0.0%</c:formatCode>
                <c:ptCount val="5"/>
                <c:pt idx="0">
                  <c:v>6.9000000000000006E-2</c:v>
                </c:pt>
                <c:pt idx="1">
                  <c:v>8.7999999999999995E-2</c:v>
                </c:pt>
                <c:pt idx="2">
                  <c:v>0.105</c:v>
                </c:pt>
                <c:pt idx="3">
                  <c:v>0.14599999999999999</c:v>
                </c:pt>
                <c:pt idx="4">
                  <c:v>8.9999999999999993E-3</c:v>
                </c:pt>
              </c:numCache>
            </c:numRef>
          </c:val>
          <c:extLst>
            <c:ext xmlns:c16="http://schemas.microsoft.com/office/drawing/2014/chart" uri="{C3380CC4-5D6E-409C-BE32-E72D297353CC}">
              <c16:uniqueId val="{00000005-3ABF-4D21-A885-E14C61DC604B}"/>
            </c:ext>
          </c:extLst>
        </c:ser>
        <c:ser>
          <c:idx val="3"/>
          <c:order val="3"/>
          <c:tx>
            <c:strRef>
              <c:f>Sheet1!$E$1</c:f>
              <c:strCache>
                <c:ptCount val="1"/>
                <c:pt idx="0">
                  <c:v>All other households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Total</c:v>
                </c:pt>
                <c:pt idx="1">
                  <c:v>Private rented</c:v>
                </c:pt>
                <c:pt idx="2">
                  <c:v>Social rented</c:v>
                </c:pt>
                <c:pt idx="3">
                  <c:v>Owns with mortgage</c:v>
                </c:pt>
                <c:pt idx="4">
                  <c:v>Owns outright</c:v>
                </c:pt>
              </c:strCache>
            </c:strRef>
          </c:cat>
          <c:val>
            <c:numRef>
              <c:f>Sheet1!$E$2:$E$6</c:f>
              <c:numCache>
                <c:formatCode>0.0%</c:formatCode>
                <c:ptCount val="5"/>
                <c:pt idx="0">
                  <c:v>0.79400000000000004</c:v>
                </c:pt>
                <c:pt idx="1">
                  <c:v>0.64600000000000002</c:v>
                </c:pt>
                <c:pt idx="2">
                  <c:v>0.70000000000000007</c:v>
                </c:pt>
                <c:pt idx="3">
                  <c:v>0.65499999999999992</c:v>
                </c:pt>
                <c:pt idx="4">
                  <c:v>0.96</c:v>
                </c:pt>
              </c:numCache>
            </c:numRef>
          </c:val>
          <c:extLst>
            <c:ext xmlns:c16="http://schemas.microsoft.com/office/drawing/2014/chart" uri="{C3380CC4-5D6E-409C-BE32-E72D297353CC}">
              <c16:uniqueId val="{00000006-3ABF-4D21-A885-E14C61DC604B}"/>
            </c:ext>
          </c:extLst>
        </c:ser>
        <c:dLbls>
          <c:dLblPos val="ctr"/>
          <c:showLegendKey val="0"/>
          <c:showVal val="1"/>
          <c:showCatName val="0"/>
          <c:showSerName val="0"/>
          <c:showPercent val="0"/>
          <c:showBubbleSize val="0"/>
        </c:dLbls>
        <c:gapWidth val="150"/>
        <c:overlap val="100"/>
        <c:axId val="1381756128"/>
        <c:axId val="1381756544"/>
      </c:barChart>
      <c:catAx>
        <c:axId val="1381756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381756544"/>
        <c:crosses val="autoZero"/>
        <c:auto val="1"/>
        <c:lblAlgn val="ctr"/>
        <c:lblOffset val="100"/>
        <c:noMultiLvlLbl val="0"/>
      </c:catAx>
      <c:valAx>
        <c:axId val="1381756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38175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Overcrowded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BOROUGH</c:v>
                </c:pt>
                <c:pt idx="1">
                  <c:v>All other households</c:v>
                </c:pt>
                <c:pt idx="2">
                  <c:v>All households with children</c:v>
                </c:pt>
                <c:pt idx="3">
                  <c:v>Two or more adults and two or more children</c:v>
                </c:pt>
                <c:pt idx="4">
                  <c:v>Two or more adults and one child</c:v>
                </c:pt>
                <c:pt idx="5">
                  <c:v>Lone parent households</c:v>
                </c:pt>
              </c:strCache>
            </c:strRef>
          </c:cat>
          <c:val>
            <c:numRef>
              <c:f>Sheet1!$B$2:$B$7</c:f>
              <c:numCache>
                <c:formatCode>0.0%</c:formatCode>
                <c:ptCount val="6"/>
                <c:pt idx="0">
                  <c:v>1.8877872790006699E-2</c:v>
                </c:pt>
                <c:pt idx="1">
                  <c:v>3.9956270737736355E-3</c:v>
                </c:pt>
                <c:pt idx="2">
                  <c:v>7.639686547279867E-2</c:v>
                </c:pt>
                <c:pt idx="3">
                  <c:v>0.10298585406189344</c:v>
                </c:pt>
                <c:pt idx="4">
                  <c:v>3.5372057514823974E-2</c:v>
                </c:pt>
                <c:pt idx="5">
                  <c:v>0.10521596801208705</c:v>
                </c:pt>
              </c:numCache>
            </c:numRef>
          </c:val>
          <c:extLst>
            <c:ext xmlns:c16="http://schemas.microsoft.com/office/drawing/2014/chart" uri="{C3380CC4-5D6E-409C-BE32-E72D297353CC}">
              <c16:uniqueId val="{00000000-F60F-4258-9859-7CBB249D2636}"/>
            </c:ext>
          </c:extLst>
        </c:ser>
        <c:ser>
          <c:idx val="1"/>
          <c:order val="1"/>
          <c:tx>
            <c:strRef>
              <c:f>Sheet1!$C$1</c:f>
              <c:strCache>
                <c:ptCount val="1"/>
                <c:pt idx="0">
                  <c:v>Neither overcrowded or under-occupied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BOROUGH</c:v>
                </c:pt>
                <c:pt idx="1">
                  <c:v>All other households</c:v>
                </c:pt>
                <c:pt idx="2">
                  <c:v>All households with children</c:v>
                </c:pt>
                <c:pt idx="3">
                  <c:v>Two or more adults and two or more children</c:v>
                </c:pt>
                <c:pt idx="4">
                  <c:v>Two or more adults and one child</c:v>
                </c:pt>
                <c:pt idx="5">
                  <c:v>Lone parent households</c:v>
                </c:pt>
              </c:strCache>
            </c:strRef>
          </c:cat>
          <c:val>
            <c:numRef>
              <c:f>Sheet1!$C$2:$C$7</c:f>
              <c:numCache>
                <c:formatCode>0.0%</c:formatCode>
                <c:ptCount val="6"/>
                <c:pt idx="0">
                  <c:v>0.55760292874657191</c:v>
                </c:pt>
                <c:pt idx="1">
                  <c:v>0.51971554290475563</c:v>
                </c:pt>
                <c:pt idx="2">
                  <c:v>0.70403541686417537</c:v>
                </c:pt>
                <c:pt idx="3">
                  <c:v>0.6371361359836536</c:v>
                </c:pt>
                <c:pt idx="4">
                  <c:v>0.68867461562266907</c:v>
                </c:pt>
                <c:pt idx="5">
                  <c:v>0.81372067424904337</c:v>
                </c:pt>
              </c:numCache>
            </c:numRef>
          </c:val>
          <c:extLst>
            <c:ext xmlns:c16="http://schemas.microsoft.com/office/drawing/2014/chart" uri="{C3380CC4-5D6E-409C-BE32-E72D297353CC}">
              <c16:uniqueId val="{00000001-F60F-4258-9859-7CBB249D2636}"/>
            </c:ext>
          </c:extLst>
        </c:ser>
        <c:ser>
          <c:idx val="2"/>
          <c:order val="2"/>
          <c:tx>
            <c:strRef>
              <c:f>Sheet1!$D$1</c:f>
              <c:strCache>
                <c:ptCount val="1"/>
                <c:pt idx="0">
                  <c:v>Under occupied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BOROUGH</c:v>
                </c:pt>
                <c:pt idx="1">
                  <c:v>All other households</c:v>
                </c:pt>
                <c:pt idx="2">
                  <c:v>All households with children</c:v>
                </c:pt>
                <c:pt idx="3">
                  <c:v>Two or more adults and two or more children</c:v>
                </c:pt>
                <c:pt idx="4">
                  <c:v>Two or more adults and one child</c:v>
                </c:pt>
                <c:pt idx="5">
                  <c:v>Lone parent households</c:v>
                </c:pt>
              </c:strCache>
            </c:strRef>
          </c:cat>
          <c:val>
            <c:numRef>
              <c:f>Sheet1!$D$2:$D$7</c:f>
              <c:numCache>
                <c:formatCode>0.0%</c:formatCode>
                <c:ptCount val="6"/>
                <c:pt idx="0">
                  <c:v>0.4235191984634214</c:v>
                </c:pt>
                <c:pt idx="1">
                  <c:v>0.47628889457222418</c:v>
                </c:pt>
                <c:pt idx="2">
                  <c:v>0.21956746817821196</c:v>
                </c:pt>
                <c:pt idx="3">
                  <c:v>0.259877639321757</c:v>
                </c:pt>
                <c:pt idx="4">
                  <c:v>0.27595301646149673</c:v>
                </c:pt>
                <c:pt idx="5">
                  <c:v>8.1063357738869676E-2</c:v>
                </c:pt>
              </c:numCache>
            </c:numRef>
          </c:val>
          <c:extLst>
            <c:ext xmlns:c16="http://schemas.microsoft.com/office/drawing/2014/chart" uri="{C3380CC4-5D6E-409C-BE32-E72D297353CC}">
              <c16:uniqueId val="{00000002-F60F-4258-9859-7CBB249D2636}"/>
            </c:ext>
          </c:extLst>
        </c:ser>
        <c:dLbls>
          <c:dLblPos val="ctr"/>
          <c:showLegendKey val="0"/>
          <c:showVal val="1"/>
          <c:showCatName val="0"/>
          <c:showSerName val="0"/>
          <c:showPercent val="0"/>
          <c:showBubbleSize val="0"/>
        </c:dLbls>
        <c:gapWidth val="150"/>
        <c:overlap val="100"/>
        <c:axId val="1381756128"/>
        <c:axId val="1381756544"/>
      </c:barChart>
      <c:catAx>
        <c:axId val="1381756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381756544"/>
        <c:crosses val="autoZero"/>
        <c:auto val="1"/>
        <c:lblAlgn val="ctr"/>
        <c:lblOffset val="100"/>
        <c:noMultiLvlLbl val="0"/>
      </c:catAx>
      <c:valAx>
        <c:axId val="13817565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38175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Lone parent households</c:v>
                </c:pt>
                <c:pt idx="1">
                  <c:v>Two or more adults and one child</c:v>
                </c:pt>
                <c:pt idx="2">
                  <c:v>Two or more adults and two or more children</c:v>
                </c:pt>
                <c:pt idx="3">
                  <c:v>All other households</c:v>
                </c:pt>
                <c:pt idx="4">
                  <c:v>BOROUGH</c:v>
                </c:pt>
              </c:strCache>
            </c:strRef>
          </c:cat>
          <c:val>
            <c:numRef>
              <c:f>Sheet1!$B$2:$B$6</c:f>
              <c:numCache>
                <c:formatCode>"£"#,##0</c:formatCode>
                <c:ptCount val="5"/>
                <c:pt idx="0">
                  <c:v>19073.807199999999</c:v>
                </c:pt>
                <c:pt idx="1">
                  <c:v>47877.325100000002</c:v>
                </c:pt>
                <c:pt idx="2">
                  <c:v>47319.5769</c:v>
                </c:pt>
                <c:pt idx="3">
                  <c:v>28735.841</c:v>
                </c:pt>
                <c:pt idx="4">
                  <c:v>30376.903300000002</c:v>
                </c:pt>
              </c:numCache>
            </c:numRef>
          </c:val>
          <c:extLst>
            <c:ext xmlns:c16="http://schemas.microsoft.com/office/drawing/2014/chart" uri="{C3380CC4-5D6E-409C-BE32-E72D297353CC}">
              <c16:uniqueId val="{00000000-2948-437C-9ECC-02F248DB039D}"/>
            </c:ext>
          </c:extLst>
        </c:ser>
        <c:dLbls>
          <c:dLblPos val="outEnd"/>
          <c:showLegendKey val="0"/>
          <c:showVal val="1"/>
          <c:showCatName val="0"/>
          <c:showSerName val="0"/>
          <c:showPercent val="0"/>
          <c:showBubbleSize val="0"/>
        </c:dLbls>
        <c:gapWidth val="219"/>
        <c:overlap val="-27"/>
        <c:axId val="1517942256"/>
        <c:axId val="1517943088"/>
      </c:barChart>
      <c:catAx>
        <c:axId val="151794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517943088"/>
        <c:crosses val="autoZero"/>
        <c:auto val="1"/>
        <c:lblAlgn val="ctr"/>
        <c:lblOffset val="100"/>
        <c:noMultiLvlLbl val="0"/>
      </c:catAx>
      <c:valAx>
        <c:axId val="151794308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1517942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313298921923533"/>
          <c:y val="4.8511576626240352E-2"/>
          <c:w val="0.69272826659550257"/>
          <c:h val="0.69963902803219058"/>
        </c:manualLayout>
      </c:layout>
      <c:barChart>
        <c:barDir val="bar"/>
        <c:grouping val="percentStacked"/>
        <c:varyColors val="0"/>
        <c:ser>
          <c:idx val="0"/>
          <c:order val="0"/>
          <c:tx>
            <c:strRef>
              <c:f>Sheet1!$B$1</c:f>
              <c:strCache>
                <c:ptCount val="1"/>
                <c:pt idx="0">
                  <c:v>Single pensioners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Borough</c:v>
                </c:pt>
                <c:pt idx="1">
                  <c:v>Private rented</c:v>
                </c:pt>
                <c:pt idx="2">
                  <c:v>Social rented</c:v>
                </c:pt>
                <c:pt idx="3">
                  <c:v>Owned (with mortgage)</c:v>
                </c:pt>
                <c:pt idx="4">
                  <c:v>Owned (no mortgage)</c:v>
                </c:pt>
              </c:strCache>
            </c:strRef>
          </c:cat>
          <c:val>
            <c:numRef>
              <c:f>Sheet1!$B$2:$B$6</c:f>
              <c:numCache>
                <c:formatCode>0.0%</c:formatCode>
                <c:ptCount val="5"/>
                <c:pt idx="0">
                  <c:v>0.17799999999999999</c:v>
                </c:pt>
                <c:pt idx="1">
                  <c:v>0.153</c:v>
                </c:pt>
                <c:pt idx="2">
                  <c:v>0.19600000000000001</c:v>
                </c:pt>
                <c:pt idx="3">
                  <c:v>3.4000000000000002E-2</c:v>
                </c:pt>
                <c:pt idx="4">
                  <c:v>0.27100000000000002</c:v>
                </c:pt>
              </c:numCache>
            </c:numRef>
          </c:val>
          <c:extLst>
            <c:ext xmlns:c16="http://schemas.microsoft.com/office/drawing/2014/chart" uri="{C3380CC4-5D6E-409C-BE32-E72D297353CC}">
              <c16:uniqueId val="{00000000-46FB-453C-9F7B-1702C1F7B7BE}"/>
            </c:ext>
          </c:extLst>
        </c:ser>
        <c:ser>
          <c:idx val="1"/>
          <c:order val="1"/>
          <c:tx>
            <c:strRef>
              <c:f>Sheet1!$C$1</c:f>
              <c:strCache>
                <c:ptCount val="1"/>
                <c:pt idx="0">
                  <c:v>2 or more pensioners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Borough</c:v>
                </c:pt>
                <c:pt idx="1">
                  <c:v>Private rented</c:v>
                </c:pt>
                <c:pt idx="2">
                  <c:v>Social rented</c:v>
                </c:pt>
                <c:pt idx="3">
                  <c:v>Owned (with mortgage)</c:v>
                </c:pt>
                <c:pt idx="4">
                  <c:v>Owned (no mortgage)</c:v>
                </c:pt>
              </c:strCache>
            </c:strRef>
          </c:cat>
          <c:val>
            <c:numRef>
              <c:f>Sheet1!$C$2:$C$6</c:f>
              <c:numCache>
                <c:formatCode>0.0%</c:formatCode>
                <c:ptCount val="5"/>
                <c:pt idx="0">
                  <c:v>0.157</c:v>
                </c:pt>
                <c:pt idx="1">
                  <c:v>0.04</c:v>
                </c:pt>
                <c:pt idx="2">
                  <c:v>0.10199999999999999</c:v>
                </c:pt>
                <c:pt idx="3">
                  <c:v>2.5999999999999999E-2</c:v>
                </c:pt>
                <c:pt idx="4">
                  <c:v>0.29499999999999998</c:v>
                </c:pt>
              </c:numCache>
            </c:numRef>
          </c:val>
          <c:extLst>
            <c:ext xmlns:c16="http://schemas.microsoft.com/office/drawing/2014/chart" uri="{C3380CC4-5D6E-409C-BE32-E72D297353CC}">
              <c16:uniqueId val="{00000001-46FB-453C-9F7B-1702C1F7B7BE}"/>
            </c:ext>
          </c:extLst>
        </c:ser>
        <c:ser>
          <c:idx val="2"/>
          <c:order val="2"/>
          <c:tx>
            <c:strRef>
              <c:f>Sheet1!$D$1</c:f>
              <c:strCache>
                <c:ptCount val="1"/>
                <c:pt idx="0">
                  <c:v>Single non-pensioners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Borough</c:v>
                </c:pt>
                <c:pt idx="1">
                  <c:v>Private rented</c:v>
                </c:pt>
                <c:pt idx="2">
                  <c:v>Social rented</c:v>
                </c:pt>
                <c:pt idx="3">
                  <c:v>Owned (with mortgage)</c:v>
                </c:pt>
                <c:pt idx="4">
                  <c:v>Owned (no mortgage)</c:v>
                </c:pt>
              </c:strCache>
            </c:strRef>
          </c:cat>
          <c:val>
            <c:numRef>
              <c:f>Sheet1!$D$2:$D$6</c:f>
              <c:numCache>
                <c:formatCode>0.0%</c:formatCode>
                <c:ptCount val="5"/>
                <c:pt idx="0">
                  <c:v>0.13900000000000001</c:v>
                </c:pt>
                <c:pt idx="1">
                  <c:v>0.255</c:v>
                </c:pt>
                <c:pt idx="2">
                  <c:v>0.19600000000000001</c:v>
                </c:pt>
                <c:pt idx="3">
                  <c:v>0.14699999999999999</c:v>
                </c:pt>
                <c:pt idx="4">
                  <c:v>7.2999999999999995E-2</c:v>
                </c:pt>
              </c:numCache>
            </c:numRef>
          </c:val>
          <c:extLst>
            <c:ext xmlns:c16="http://schemas.microsoft.com/office/drawing/2014/chart" uri="{C3380CC4-5D6E-409C-BE32-E72D297353CC}">
              <c16:uniqueId val="{00000002-46FB-453C-9F7B-1702C1F7B7BE}"/>
            </c:ext>
          </c:extLst>
        </c:ser>
        <c:ser>
          <c:idx val="3"/>
          <c:order val="3"/>
          <c:tx>
            <c:strRef>
              <c:f>Sheet1!$E$1</c:f>
              <c:strCache>
                <c:ptCount val="1"/>
                <c:pt idx="0">
                  <c:v>Childless couple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Borough</c:v>
                </c:pt>
                <c:pt idx="1">
                  <c:v>Private rented</c:v>
                </c:pt>
                <c:pt idx="2">
                  <c:v>Social rented</c:v>
                </c:pt>
                <c:pt idx="3">
                  <c:v>Owned (with mortgage)</c:v>
                </c:pt>
                <c:pt idx="4">
                  <c:v>Owned (no mortgage)</c:v>
                </c:pt>
              </c:strCache>
            </c:strRef>
          </c:cat>
          <c:val>
            <c:numRef>
              <c:f>Sheet1!$E$2:$E$6</c:f>
              <c:numCache>
                <c:formatCode>0.0%</c:formatCode>
                <c:ptCount val="5"/>
                <c:pt idx="0">
                  <c:v>0.191</c:v>
                </c:pt>
                <c:pt idx="1">
                  <c:v>0.104</c:v>
                </c:pt>
                <c:pt idx="2">
                  <c:v>0.108</c:v>
                </c:pt>
                <c:pt idx="3">
                  <c:v>0.27300000000000002</c:v>
                </c:pt>
                <c:pt idx="4">
                  <c:v>0.19700000000000001</c:v>
                </c:pt>
              </c:numCache>
            </c:numRef>
          </c:val>
          <c:extLst>
            <c:ext xmlns:c16="http://schemas.microsoft.com/office/drawing/2014/chart" uri="{C3380CC4-5D6E-409C-BE32-E72D297353CC}">
              <c16:uniqueId val="{00000003-46FB-453C-9F7B-1702C1F7B7BE}"/>
            </c:ext>
          </c:extLst>
        </c:ser>
        <c:ser>
          <c:idx val="4"/>
          <c:order val="4"/>
          <c:tx>
            <c:strRef>
              <c:f>Sheet1!$F$1</c:f>
              <c:strCache>
                <c:ptCount val="1"/>
                <c:pt idx="0">
                  <c:v>Other multi-adult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Borough</c:v>
                </c:pt>
                <c:pt idx="1">
                  <c:v>Private rented</c:v>
                </c:pt>
                <c:pt idx="2">
                  <c:v>Social rented</c:v>
                </c:pt>
                <c:pt idx="3">
                  <c:v>Owned (with mortgage)</c:v>
                </c:pt>
                <c:pt idx="4">
                  <c:v>Owned (no mortgage)</c:v>
                </c:pt>
              </c:strCache>
            </c:strRef>
          </c:cat>
          <c:val>
            <c:numRef>
              <c:f>Sheet1!$F$2:$F$6</c:f>
              <c:numCache>
                <c:formatCode>0.0%</c:formatCode>
                <c:ptCount val="5"/>
                <c:pt idx="0">
                  <c:v>0.129</c:v>
                </c:pt>
                <c:pt idx="1">
                  <c:v>9.2999999999999999E-2</c:v>
                </c:pt>
                <c:pt idx="2">
                  <c:v>9.7000000000000003E-2</c:v>
                </c:pt>
                <c:pt idx="3">
                  <c:v>0.17599999999999999</c:v>
                </c:pt>
                <c:pt idx="4">
                  <c:v>0.124</c:v>
                </c:pt>
              </c:numCache>
            </c:numRef>
          </c:val>
          <c:extLst>
            <c:ext xmlns:c16="http://schemas.microsoft.com/office/drawing/2014/chart" uri="{C3380CC4-5D6E-409C-BE32-E72D297353CC}">
              <c16:uniqueId val="{00000004-46FB-453C-9F7B-1702C1F7B7BE}"/>
            </c:ext>
          </c:extLst>
        </c:ser>
        <c:ser>
          <c:idx val="5"/>
          <c:order val="5"/>
          <c:tx>
            <c:strRef>
              <c:f>Sheet1!$G$1</c:f>
              <c:strCache>
                <c:ptCount val="1"/>
                <c:pt idx="0">
                  <c:v>Lone parent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Borough</c:v>
                </c:pt>
                <c:pt idx="1">
                  <c:v>Private rented</c:v>
                </c:pt>
                <c:pt idx="2">
                  <c:v>Social rented</c:v>
                </c:pt>
                <c:pt idx="3">
                  <c:v>Owned (with mortgage)</c:v>
                </c:pt>
                <c:pt idx="4">
                  <c:v>Owned (no mortgage)</c:v>
                </c:pt>
              </c:strCache>
            </c:strRef>
          </c:cat>
          <c:val>
            <c:numRef>
              <c:f>Sheet1!$G$2:$G$6</c:f>
              <c:numCache>
                <c:formatCode>0.0%</c:formatCode>
                <c:ptCount val="5"/>
                <c:pt idx="0">
                  <c:v>5.3999999999999999E-2</c:v>
                </c:pt>
                <c:pt idx="1">
                  <c:v>0.159</c:v>
                </c:pt>
                <c:pt idx="2">
                  <c:v>9.1999999999999998E-2</c:v>
                </c:pt>
                <c:pt idx="3">
                  <c:v>4.2000000000000003E-2</c:v>
                </c:pt>
                <c:pt idx="4">
                  <c:v>7.0000000000000001E-3</c:v>
                </c:pt>
              </c:numCache>
            </c:numRef>
          </c:val>
          <c:extLst>
            <c:ext xmlns:c16="http://schemas.microsoft.com/office/drawing/2014/chart" uri="{C3380CC4-5D6E-409C-BE32-E72D297353CC}">
              <c16:uniqueId val="{00000005-46FB-453C-9F7B-1702C1F7B7BE}"/>
            </c:ext>
          </c:extLst>
        </c:ser>
        <c:ser>
          <c:idx val="6"/>
          <c:order val="6"/>
          <c:tx>
            <c:strRef>
              <c:f>Sheet1!$H$1</c:f>
              <c:strCache>
                <c:ptCount val="1"/>
                <c:pt idx="0">
                  <c:v>2+ adults 1 child</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Borough</c:v>
                </c:pt>
                <c:pt idx="1">
                  <c:v>Private rented</c:v>
                </c:pt>
                <c:pt idx="2">
                  <c:v>Social rented</c:v>
                </c:pt>
                <c:pt idx="3">
                  <c:v>Owned (with mortgage)</c:v>
                </c:pt>
                <c:pt idx="4">
                  <c:v>Owned (no mortgage)</c:v>
                </c:pt>
              </c:strCache>
            </c:strRef>
          </c:cat>
          <c:val>
            <c:numRef>
              <c:f>Sheet1!$H$2:$H$6</c:f>
              <c:numCache>
                <c:formatCode>0.0%</c:formatCode>
                <c:ptCount val="5"/>
                <c:pt idx="0">
                  <c:v>8.3000000000000004E-2</c:v>
                </c:pt>
                <c:pt idx="1">
                  <c:v>0.107</c:v>
                </c:pt>
                <c:pt idx="2">
                  <c:v>0.10299999999999999</c:v>
                </c:pt>
                <c:pt idx="3">
                  <c:v>0.157</c:v>
                </c:pt>
                <c:pt idx="4">
                  <c:v>2.4E-2</c:v>
                </c:pt>
              </c:numCache>
            </c:numRef>
          </c:val>
          <c:extLst>
            <c:ext xmlns:c16="http://schemas.microsoft.com/office/drawing/2014/chart" uri="{C3380CC4-5D6E-409C-BE32-E72D297353CC}">
              <c16:uniqueId val="{00000006-46FB-453C-9F7B-1702C1F7B7BE}"/>
            </c:ext>
          </c:extLst>
        </c:ser>
        <c:ser>
          <c:idx val="7"/>
          <c:order val="7"/>
          <c:tx>
            <c:strRef>
              <c:f>Sheet1!$I$1</c:f>
              <c:strCache>
                <c:ptCount val="1"/>
                <c:pt idx="0">
                  <c:v>2+ adults 2+ children</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Borough</c:v>
                </c:pt>
                <c:pt idx="1">
                  <c:v>Private rented</c:v>
                </c:pt>
                <c:pt idx="2">
                  <c:v>Social rented</c:v>
                </c:pt>
                <c:pt idx="3">
                  <c:v>Owned (with mortgage)</c:v>
                </c:pt>
                <c:pt idx="4">
                  <c:v>Owned (no mortgage)</c:v>
                </c:pt>
              </c:strCache>
            </c:strRef>
          </c:cat>
          <c:val>
            <c:numRef>
              <c:f>Sheet1!$I$2:$I$6</c:f>
              <c:numCache>
                <c:formatCode>0.0%</c:formatCode>
                <c:ptCount val="5"/>
                <c:pt idx="0">
                  <c:v>6.9000000000000006E-2</c:v>
                </c:pt>
                <c:pt idx="1">
                  <c:v>8.7999999999999995E-2</c:v>
                </c:pt>
                <c:pt idx="2">
                  <c:v>0.105</c:v>
                </c:pt>
                <c:pt idx="3">
                  <c:v>0.14599999999999999</c:v>
                </c:pt>
                <c:pt idx="4">
                  <c:v>8.9999999999999993E-3</c:v>
                </c:pt>
              </c:numCache>
            </c:numRef>
          </c:val>
          <c:extLst>
            <c:ext xmlns:c16="http://schemas.microsoft.com/office/drawing/2014/chart" uri="{C3380CC4-5D6E-409C-BE32-E72D297353CC}">
              <c16:uniqueId val="{00000007-46FB-453C-9F7B-1702C1F7B7BE}"/>
            </c:ext>
          </c:extLst>
        </c:ser>
        <c:dLbls>
          <c:dLblPos val="ctr"/>
          <c:showLegendKey val="0"/>
          <c:showVal val="1"/>
          <c:showCatName val="0"/>
          <c:showSerName val="0"/>
          <c:showPercent val="0"/>
          <c:showBubbleSize val="0"/>
        </c:dLbls>
        <c:gapWidth val="150"/>
        <c:overlap val="100"/>
        <c:axId val="1886954143"/>
        <c:axId val="1886956223"/>
      </c:barChart>
      <c:catAx>
        <c:axId val="18869541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1886956223"/>
        <c:crosses val="autoZero"/>
        <c:auto val="1"/>
        <c:lblAlgn val="ctr"/>
        <c:lblOffset val="100"/>
        <c:noMultiLvlLbl val="0"/>
      </c:catAx>
      <c:valAx>
        <c:axId val="18869562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1886954143"/>
        <c:crosses val="autoZero"/>
        <c:crossBetween val="between"/>
      </c:valAx>
      <c:spPr>
        <a:noFill/>
        <a:ln>
          <a:noFill/>
        </a:ln>
        <a:effectLst/>
      </c:spPr>
    </c:plotArea>
    <c:legend>
      <c:legendPos val="b"/>
      <c:layout>
        <c:manualLayout>
          <c:xMode val="edge"/>
          <c:yMode val="edge"/>
          <c:x val="0"/>
          <c:y val="0.85827917596298253"/>
          <c:w val="1"/>
          <c:h val="0.1152599640590681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Owned (no mortgage)</c:v>
                </c:pt>
                <c:pt idx="1">
                  <c:v>Owned (with mortgage)</c:v>
                </c:pt>
                <c:pt idx="2">
                  <c:v>Social rented</c:v>
                </c:pt>
                <c:pt idx="3">
                  <c:v>Private rented</c:v>
                </c:pt>
                <c:pt idx="4">
                  <c:v>BOROUGH</c:v>
                </c:pt>
              </c:strCache>
            </c:strRef>
          </c:cat>
          <c:val>
            <c:numRef>
              <c:f>Sheet1!$B$2:$B$6</c:f>
              <c:numCache>
                <c:formatCode>0.0%</c:formatCode>
                <c:ptCount val="5"/>
                <c:pt idx="0">
                  <c:v>0.34367196239778325</c:v>
                </c:pt>
                <c:pt idx="1">
                  <c:v>0.1805074428077765</c:v>
                </c:pt>
                <c:pt idx="2">
                  <c:v>0.39143925270289892</c:v>
                </c:pt>
                <c:pt idx="3">
                  <c:v>0.40826165940943843</c:v>
                </c:pt>
                <c:pt idx="4">
                  <c:v>0.31704890362260491</c:v>
                </c:pt>
              </c:numCache>
            </c:numRef>
          </c:val>
          <c:extLst>
            <c:ext xmlns:c16="http://schemas.microsoft.com/office/drawing/2014/chart" uri="{C3380CC4-5D6E-409C-BE32-E72D297353CC}">
              <c16:uniqueId val="{00000000-E97C-4662-A594-EE7B5D0CF48B}"/>
            </c:ext>
          </c:extLst>
        </c:ser>
        <c:ser>
          <c:idx val="1"/>
          <c:order val="1"/>
          <c:tx>
            <c:strRef>
              <c:f>Sheet1!$C$1</c:f>
              <c:strCache>
                <c:ptCount val="1"/>
                <c:pt idx="0">
                  <c:v>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Owned (no mortgage)</c:v>
                </c:pt>
                <c:pt idx="1">
                  <c:v>Owned (with mortgage)</c:v>
                </c:pt>
                <c:pt idx="2">
                  <c:v>Social rented</c:v>
                </c:pt>
                <c:pt idx="3">
                  <c:v>Private rented</c:v>
                </c:pt>
                <c:pt idx="4">
                  <c:v>BOROUGH</c:v>
                </c:pt>
              </c:strCache>
            </c:strRef>
          </c:cat>
          <c:val>
            <c:numRef>
              <c:f>Sheet1!$C$2:$C$6</c:f>
              <c:numCache>
                <c:formatCode>0.0%</c:formatCode>
                <c:ptCount val="5"/>
                <c:pt idx="0">
                  <c:v>0.51627879790239928</c:v>
                </c:pt>
                <c:pt idx="1">
                  <c:v>0.3365233144297417</c:v>
                </c:pt>
                <c:pt idx="2">
                  <c:v>0.28696432914744191</c:v>
                </c:pt>
                <c:pt idx="3">
                  <c:v>0.27227083828506232</c:v>
                </c:pt>
                <c:pt idx="4">
                  <c:v>0.40075544311763733</c:v>
                </c:pt>
              </c:numCache>
            </c:numRef>
          </c:val>
          <c:extLst>
            <c:ext xmlns:c16="http://schemas.microsoft.com/office/drawing/2014/chart" uri="{C3380CC4-5D6E-409C-BE32-E72D297353CC}">
              <c16:uniqueId val="{00000001-E97C-4662-A594-EE7B5D0CF48B}"/>
            </c:ext>
          </c:extLst>
        </c:ser>
        <c:ser>
          <c:idx val="2"/>
          <c:order val="2"/>
          <c:tx>
            <c:strRef>
              <c:f>Sheet1!$D$1</c:f>
              <c:strCache>
                <c:ptCount val="1"/>
                <c:pt idx="0">
                  <c:v>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Owned (no mortgage)</c:v>
                </c:pt>
                <c:pt idx="1">
                  <c:v>Owned (with mortgage)</c:v>
                </c:pt>
                <c:pt idx="2">
                  <c:v>Social rented</c:v>
                </c:pt>
                <c:pt idx="3">
                  <c:v>Private rented</c:v>
                </c:pt>
                <c:pt idx="4">
                  <c:v>BOROUGH</c:v>
                </c:pt>
              </c:strCache>
            </c:strRef>
          </c:cat>
          <c:val>
            <c:numRef>
              <c:f>Sheet1!$D$2:$D$6</c:f>
              <c:numCache>
                <c:formatCode>0.0%</c:formatCode>
                <c:ptCount val="5"/>
                <c:pt idx="0">
                  <c:v>9.7942434471561646E-2</c:v>
                </c:pt>
                <c:pt idx="1">
                  <c:v>0.23340986437789929</c:v>
                </c:pt>
                <c:pt idx="2">
                  <c:v>0.15882667199271669</c:v>
                </c:pt>
                <c:pt idx="3">
                  <c:v>0.18983718650471862</c:v>
                </c:pt>
                <c:pt idx="4">
                  <c:v>0.15736335885237837</c:v>
                </c:pt>
              </c:numCache>
            </c:numRef>
          </c:val>
          <c:extLst>
            <c:ext xmlns:c16="http://schemas.microsoft.com/office/drawing/2014/chart" uri="{C3380CC4-5D6E-409C-BE32-E72D297353CC}">
              <c16:uniqueId val="{00000002-E97C-4662-A594-EE7B5D0CF48B}"/>
            </c:ext>
          </c:extLst>
        </c:ser>
        <c:ser>
          <c:idx val="3"/>
          <c:order val="3"/>
          <c:tx>
            <c:strRef>
              <c:f>Sheet1!$E$1</c:f>
              <c:strCache>
                <c:ptCount val="1"/>
                <c:pt idx="0">
                  <c:v>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Owned (no mortgage)</c:v>
                </c:pt>
                <c:pt idx="1">
                  <c:v>Owned (with mortgage)</c:v>
                </c:pt>
                <c:pt idx="2">
                  <c:v>Social rented</c:v>
                </c:pt>
                <c:pt idx="3">
                  <c:v>Private rented</c:v>
                </c:pt>
                <c:pt idx="4">
                  <c:v>BOROUGH</c:v>
                </c:pt>
              </c:strCache>
            </c:strRef>
          </c:cat>
          <c:val>
            <c:numRef>
              <c:f>Sheet1!$E$2:$E$6</c:f>
              <c:numCache>
                <c:formatCode>0.0%</c:formatCode>
                <c:ptCount val="5"/>
                <c:pt idx="0">
                  <c:v>3.5707018900969272E-2</c:v>
                </c:pt>
                <c:pt idx="1">
                  <c:v>0.19053293261416493</c:v>
                </c:pt>
                <c:pt idx="2">
                  <c:v>9.9031140850946775E-2</c:v>
                </c:pt>
                <c:pt idx="3">
                  <c:v>9.1787465185122263E-2</c:v>
                </c:pt>
                <c:pt idx="4">
                  <c:v>9.3374181651579957E-2</c:v>
                </c:pt>
              </c:numCache>
            </c:numRef>
          </c:val>
          <c:extLst>
            <c:ext xmlns:c16="http://schemas.microsoft.com/office/drawing/2014/chart" uri="{C3380CC4-5D6E-409C-BE32-E72D297353CC}">
              <c16:uniqueId val="{00000003-E97C-4662-A594-EE7B5D0CF48B}"/>
            </c:ext>
          </c:extLst>
        </c:ser>
        <c:ser>
          <c:idx val="4"/>
          <c:order val="4"/>
          <c:tx>
            <c:strRef>
              <c:f>Sheet1!$F$1</c:f>
              <c:strCache>
                <c:ptCount val="1"/>
                <c:pt idx="0">
                  <c:v>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Owned (no mortgage)</c:v>
                </c:pt>
                <c:pt idx="1">
                  <c:v>Owned (with mortgage)</c:v>
                </c:pt>
                <c:pt idx="2">
                  <c:v>Social rented</c:v>
                </c:pt>
                <c:pt idx="3">
                  <c:v>Private rented</c:v>
                </c:pt>
                <c:pt idx="4">
                  <c:v>BOROUGH</c:v>
                </c:pt>
              </c:strCache>
            </c:strRef>
          </c:cat>
          <c:val>
            <c:numRef>
              <c:f>Sheet1!$F$2:$F$6</c:f>
              <c:numCache>
                <c:formatCode>0.0%</c:formatCode>
                <c:ptCount val="5"/>
                <c:pt idx="0">
                  <c:v>6.3998431309641741E-3</c:v>
                </c:pt>
                <c:pt idx="1">
                  <c:v>5.9026445770417643E-2</c:v>
                </c:pt>
                <c:pt idx="2">
                  <c:v>6.3738605305995663E-2</c:v>
                </c:pt>
                <c:pt idx="3">
                  <c:v>3.7842850615658334E-2</c:v>
                </c:pt>
                <c:pt idx="4">
                  <c:v>3.1458112755799419E-2</c:v>
                </c:pt>
              </c:numCache>
            </c:numRef>
          </c:val>
          <c:extLst>
            <c:ext xmlns:c16="http://schemas.microsoft.com/office/drawing/2014/chart" uri="{C3380CC4-5D6E-409C-BE32-E72D297353CC}">
              <c16:uniqueId val="{00000004-E97C-4662-A594-EE7B5D0CF48B}"/>
            </c:ext>
          </c:extLst>
        </c:ser>
        <c:dLbls>
          <c:dLblPos val="ctr"/>
          <c:showLegendKey val="0"/>
          <c:showVal val="1"/>
          <c:showCatName val="0"/>
          <c:showSerName val="0"/>
          <c:showPercent val="0"/>
          <c:showBubbleSize val="0"/>
        </c:dLbls>
        <c:gapWidth val="150"/>
        <c:overlap val="100"/>
        <c:axId val="182661215"/>
        <c:axId val="182667039"/>
      </c:barChart>
      <c:catAx>
        <c:axId val="182661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182667039"/>
        <c:crosses val="autoZero"/>
        <c:auto val="1"/>
        <c:lblAlgn val="ctr"/>
        <c:lblOffset val="100"/>
        <c:noMultiLvlLbl val="0"/>
      </c:catAx>
      <c:valAx>
        <c:axId val="1826670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182661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Detached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Borough</c:v>
                </c:pt>
                <c:pt idx="1">
                  <c:v>Private rented</c:v>
                </c:pt>
                <c:pt idx="2">
                  <c:v>Social rented</c:v>
                </c:pt>
                <c:pt idx="3">
                  <c:v>Owned (with mortgage)</c:v>
                </c:pt>
                <c:pt idx="4">
                  <c:v>Owned (no mortgage)</c:v>
                </c:pt>
              </c:strCache>
            </c:strRef>
          </c:cat>
          <c:val>
            <c:numRef>
              <c:f>Sheet1!$B$2:$B$6</c:f>
              <c:numCache>
                <c:formatCode>0.0%</c:formatCode>
                <c:ptCount val="5"/>
                <c:pt idx="0">
                  <c:v>0.19263076420827011</c:v>
                </c:pt>
                <c:pt idx="1">
                  <c:v>3.9595714269668333E-2</c:v>
                </c:pt>
                <c:pt idx="2">
                  <c:v>1.6993938963221458E-2</c:v>
                </c:pt>
                <c:pt idx="3">
                  <c:v>0.2407805511775844</c:v>
                </c:pt>
                <c:pt idx="4">
                  <c:v>0.26412721660730493</c:v>
                </c:pt>
              </c:numCache>
            </c:numRef>
          </c:val>
          <c:extLst>
            <c:ext xmlns:c16="http://schemas.microsoft.com/office/drawing/2014/chart" uri="{C3380CC4-5D6E-409C-BE32-E72D297353CC}">
              <c16:uniqueId val="{00000000-740C-4CAB-9956-2C9127C14F0B}"/>
            </c:ext>
          </c:extLst>
        </c:ser>
        <c:ser>
          <c:idx val="1"/>
          <c:order val="1"/>
          <c:tx>
            <c:strRef>
              <c:f>Sheet1!$C$1</c:f>
              <c:strCache>
                <c:ptCount val="1"/>
                <c:pt idx="0">
                  <c:v>Semi-detached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Borough</c:v>
                </c:pt>
                <c:pt idx="1">
                  <c:v>Private rented</c:v>
                </c:pt>
                <c:pt idx="2">
                  <c:v>Social rented</c:v>
                </c:pt>
                <c:pt idx="3">
                  <c:v>Owned (with mortgage)</c:v>
                </c:pt>
                <c:pt idx="4">
                  <c:v>Owned (no mortgage)</c:v>
                </c:pt>
              </c:strCache>
            </c:strRef>
          </c:cat>
          <c:val>
            <c:numRef>
              <c:f>Sheet1!$C$2:$C$6</c:f>
              <c:numCache>
                <c:formatCode>0.0%</c:formatCode>
                <c:ptCount val="5"/>
                <c:pt idx="0">
                  <c:v>0.21893586269418389</c:v>
                </c:pt>
                <c:pt idx="1">
                  <c:v>0.12996431140164411</c:v>
                </c:pt>
                <c:pt idx="2">
                  <c:v>0.18825881662438296</c:v>
                </c:pt>
                <c:pt idx="3">
                  <c:v>0.35878077225870963</c:v>
                </c:pt>
                <c:pt idx="4">
                  <c:v>0.18127206609857688</c:v>
                </c:pt>
              </c:numCache>
            </c:numRef>
          </c:val>
          <c:extLst>
            <c:ext xmlns:c16="http://schemas.microsoft.com/office/drawing/2014/chart" uri="{C3380CC4-5D6E-409C-BE32-E72D297353CC}">
              <c16:uniqueId val="{00000001-740C-4CAB-9956-2C9127C14F0B}"/>
            </c:ext>
          </c:extLst>
        </c:ser>
        <c:ser>
          <c:idx val="2"/>
          <c:order val="2"/>
          <c:tx>
            <c:strRef>
              <c:f>Sheet1!$D$1</c:f>
              <c:strCache>
                <c:ptCount val="1"/>
                <c:pt idx="0">
                  <c:v>Terraced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Borough</c:v>
                </c:pt>
                <c:pt idx="1">
                  <c:v>Private rented</c:v>
                </c:pt>
                <c:pt idx="2">
                  <c:v>Social rented</c:v>
                </c:pt>
                <c:pt idx="3">
                  <c:v>Owned (with mortgage)</c:v>
                </c:pt>
                <c:pt idx="4">
                  <c:v>Owned (no mortgage)</c:v>
                </c:pt>
              </c:strCache>
            </c:strRef>
          </c:cat>
          <c:val>
            <c:numRef>
              <c:f>Sheet1!$D$2:$D$6</c:f>
              <c:numCache>
                <c:formatCode>0.0%</c:formatCode>
                <c:ptCount val="5"/>
                <c:pt idx="0">
                  <c:v>0.18642154188529547</c:v>
                </c:pt>
                <c:pt idx="1">
                  <c:v>0.2777897056797714</c:v>
                </c:pt>
                <c:pt idx="2">
                  <c:v>0.2233314075414663</c:v>
                </c:pt>
                <c:pt idx="3">
                  <c:v>0.20927706857212408</c:v>
                </c:pt>
                <c:pt idx="4">
                  <c:v>0.12589410408501375</c:v>
                </c:pt>
              </c:numCache>
            </c:numRef>
          </c:val>
          <c:extLst>
            <c:ext xmlns:c16="http://schemas.microsoft.com/office/drawing/2014/chart" uri="{C3380CC4-5D6E-409C-BE32-E72D297353CC}">
              <c16:uniqueId val="{00000002-740C-4CAB-9956-2C9127C14F0B}"/>
            </c:ext>
          </c:extLst>
        </c:ser>
        <c:ser>
          <c:idx val="3"/>
          <c:order val="3"/>
          <c:tx>
            <c:strRef>
              <c:f>Sheet1!$E$1</c:f>
              <c:strCache>
                <c:ptCount val="1"/>
                <c:pt idx="0">
                  <c:v>Bunglaow</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Borough</c:v>
                </c:pt>
                <c:pt idx="1">
                  <c:v>Private rented</c:v>
                </c:pt>
                <c:pt idx="2">
                  <c:v>Social rented</c:v>
                </c:pt>
                <c:pt idx="3">
                  <c:v>Owned (with mortgage)</c:v>
                </c:pt>
                <c:pt idx="4">
                  <c:v>Owned (no mortgage)</c:v>
                </c:pt>
              </c:strCache>
            </c:strRef>
          </c:cat>
          <c:val>
            <c:numRef>
              <c:f>Sheet1!$E$2:$E$6</c:f>
              <c:numCache>
                <c:formatCode>0.0%</c:formatCode>
                <c:ptCount val="5"/>
                <c:pt idx="0">
                  <c:v>0.16634407602974899</c:v>
                </c:pt>
                <c:pt idx="1">
                  <c:v>6.8614470827414398E-2</c:v>
                </c:pt>
                <c:pt idx="2">
                  <c:v>5.500024812694787E-2</c:v>
                </c:pt>
                <c:pt idx="3">
                  <c:v>0.12462793664292547</c:v>
                </c:pt>
                <c:pt idx="4">
                  <c:v>0.25459930856291579</c:v>
                </c:pt>
              </c:numCache>
            </c:numRef>
          </c:val>
          <c:extLst>
            <c:ext xmlns:c16="http://schemas.microsoft.com/office/drawing/2014/chart" uri="{C3380CC4-5D6E-409C-BE32-E72D297353CC}">
              <c16:uniqueId val="{00000003-740C-4CAB-9956-2C9127C14F0B}"/>
            </c:ext>
          </c:extLst>
        </c:ser>
        <c:ser>
          <c:idx val="4"/>
          <c:order val="4"/>
          <c:tx>
            <c:strRef>
              <c:f>Sheet1!$F$1</c:f>
              <c:strCache>
                <c:ptCount val="1"/>
                <c:pt idx="0">
                  <c:v>Flat/other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Borough</c:v>
                </c:pt>
                <c:pt idx="1">
                  <c:v>Private rented</c:v>
                </c:pt>
                <c:pt idx="2">
                  <c:v>Social rented</c:v>
                </c:pt>
                <c:pt idx="3">
                  <c:v>Owned (with mortgage)</c:v>
                </c:pt>
                <c:pt idx="4">
                  <c:v>Owned (no mortgage)</c:v>
                </c:pt>
              </c:strCache>
            </c:strRef>
          </c:cat>
          <c:val>
            <c:numRef>
              <c:f>Sheet1!$F$2:$F$6</c:f>
              <c:numCache>
                <c:formatCode>0.0%</c:formatCode>
                <c:ptCount val="5"/>
                <c:pt idx="0">
                  <c:v>0.2356677551825016</c:v>
                </c:pt>
                <c:pt idx="1">
                  <c:v>0.48403579782150169</c:v>
                </c:pt>
                <c:pt idx="2">
                  <c:v>0.51641558874398141</c:v>
                </c:pt>
                <c:pt idx="3">
                  <c:v>6.6533671348656356E-2</c:v>
                </c:pt>
                <c:pt idx="4">
                  <c:v>0.17410730464618851</c:v>
                </c:pt>
              </c:numCache>
            </c:numRef>
          </c:val>
          <c:extLst>
            <c:ext xmlns:c16="http://schemas.microsoft.com/office/drawing/2014/chart" uri="{C3380CC4-5D6E-409C-BE32-E72D297353CC}">
              <c16:uniqueId val="{00000004-740C-4CAB-9956-2C9127C14F0B}"/>
            </c:ext>
          </c:extLst>
        </c:ser>
        <c:dLbls>
          <c:dLblPos val="ctr"/>
          <c:showLegendKey val="0"/>
          <c:showVal val="1"/>
          <c:showCatName val="0"/>
          <c:showSerName val="0"/>
          <c:showPercent val="0"/>
          <c:showBubbleSize val="0"/>
        </c:dLbls>
        <c:gapWidth val="150"/>
        <c:overlap val="100"/>
        <c:axId val="1886954143"/>
        <c:axId val="1886956223"/>
      </c:barChart>
      <c:catAx>
        <c:axId val="18869541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1886956223"/>
        <c:crosses val="autoZero"/>
        <c:auto val="1"/>
        <c:lblAlgn val="ctr"/>
        <c:lblOffset val="100"/>
        <c:noMultiLvlLbl val="0"/>
      </c:catAx>
      <c:valAx>
        <c:axId val="188695622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18869541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Up to £10k</c:v>
                </c:pt>
                <c:pt idx="1">
                  <c:v>£10k-£20k</c:v>
                </c:pt>
                <c:pt idx="2">
                  <c:v>£20k-£30k</c:v>
                </c:pt>
                <c:pt idx="3">
                  <c:v>£30k-£40k</c:v>
                </c:pt>
                <c:pt idx="4">
                  <c:v>£40k-£50k</c:v>
                </c:pt>
                <c:pt idx="5">
                  <c:v>£50k-£60k</c:v>
                </c:pt>
                <c:pt idx="6">
                  <c:v>£60k-£70k</c:v>
                </c:pt>
                <c:pt idx="7">
                  <c:v>£70k-£80k</c:v>
                </c:pt>
                <c:pt idx="8">
                  <c:v>£80k+</c:v>
                </c:pt>
              </c:strCache>
            </c:strRef>
          </c:cat>
          <c:val>
            <c:numRef>
              <c:f>Sheet1!$B$2:$B$10</c:f>
              <c:numCache>
                <c:formatCode>General</c:formatCode>
                <c:ptCount val="9"/>
                <c:pt idx="0">
                  <c:v>8.199999999999999E-2</c:v>
                </c:pt>
                <c:pt idx="1">
                  <c:v>0.24199999999999999</c:v>
                </c:pt>
                <c:pt idx="2">
                  <c:v>0.17300000000000001</c:v>
                </c:pt>
                <c:pt idx="3">
                  <c:v>0.15</c:v>
                </c:pt>
                <c:pt idx="4">
                  <c:v>0.10199999999999999</c:v>
                </c:pt>
                <c:pt idx="5">
                  <c:v>6.0999999999999999E-2</c:v>
                </c:pt>
                <c:pt idx="6">
                  <c:v>5.0999999999999997E-2</c:v>
                </c:pt>
                <c:pt idx="7">
                  <c:v>3.3000000000000002E-2</c:v>
                </c:pt>
                <c:pt idx="8">
                  <c:v>0.106</c:v>
                </c:pt>
              </c:numCache>
            </c:numRef>
          </c:val>
          <c:extLst>
            <c:ext xmlns:c16="http://schemas.microsoft.com/office/drawing/2014/chart" uri="{C3380CC4-5D6E-409C-BE32-E72D297353CC}">
              <c16:uniqueId val="{00000000-3434-4D01-BDF9-50F1729196FB}"/>
            </c:ext>
          </c:extLst>
        </c:ser>
        <c:dLbls>
          <c:showLegendKey val="0"/>
          <c:showVal val="1"/>
          <c:showCatName val="0"/>
          <c:showSerName val="0"/>
          <c:showPercent val="0"/>
          <c:showBubbleSize val="0"/>
        </c:dLbls>
        <c:gapWidth val="150"/>
        <c:axId val="854016512"/>
        <c:axId val="854020256"/>
      </c:barChart>
      <c:catAx>
        <c:axId val="85401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20256"/>
        <c:crosses val="autoZero"/>
        <c:auto val="1"/>
        <c:lblAlgn val="ctr"/>
        <c:lblOffset val="100"/>
        <c:noMultiLvlLbl val="0"/>
      </c:catAx>
      <c:valAx>
        <c:axId val="854020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16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Owned outright</c:v>
                </c:pt>
                <c:pt idx="1">
                  <c:v>Owned with mortgage</c:v>
                </c:pt>
                <c:pt idx="2">
                  <c:v>Social rented</c:v>
                </c:pt>
                <c:pt idx="3">
                  <c:v>Private rented</c:v>
                </c:pt>
                <c:pt idx="4">
                  <c:v>Total</c:v>
                </c:pt>
              </c:strCache>
            </c:strRef>
          </c:cat>
          <c:val>
            <c:numRef>
              <c:f>Sheet1!$B$2:$B$6</c:f>
              <c:numCache>
                <c:formatCode>"£"#,##0</c:formatCode>
                <c:ptCount val="5"/>
                <c:pt idx="0">
                  <c:v>29800</c:v>
                </c:pt>
                <c:pt idx="1">
                  <c:v>53200</c:v>
                </c:pt>
                <c:pt idx="2">
                  <c:v>14000</c:v>
                </c:pt>
                <c:pt idx="3">
                  <c:v>18200</c:v>
                </c:pt>
                <c:pt idx="4">
                  <c:v>30400</c:v>
                </c:pt>
              </c:numCache>
            </c:numRef>
          </c:val>
          <c:extLst>
            <c:ext xmlns:c16="http://schemas.microsoft.com/office/drawing/2014/chart" uri="{C3380CC4-5D6E-409C-BE32-E72D297353CC}">
              <c16:uniqueId val="{00000000-1032-46EF-9016-75B14A467E59}"/>
            </c:ext>
          </c:extLst>
        </c:ser>
        <c:dLbls>
          <c:dLblPos val="outEnd"/>
          <c:showLegendKey val="0"/>
          <c:showVal val="1"/>
          <c:showCatName val="0"/>
          <c:showSerName val="0"/>
          <c:showPercent val="0"/>
          <c:showBubbleSize val="0"/>
        </c:dLbls>
        <c:gapWidth val="219"/>
        <c:overlap val="-27"/>
        <c:axId val="840423648"/>
        <c:axId val="840427808"/>
      </c:barChart>
      <c:catAx>
        <c:axId val="84042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840427808"/>
        <c:crosses val="autoZero"/>
        <c:auto val="1"/>
        <c:lblAlgn val="ctr"/>
        <c:lblOffset val="100"/>
        <c:noMultiLvlLbl val="0"/>
      </c:catAx>
      <c:valAx>
        <c:axId val="84042780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840423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Single pensioners</c:v>
                </c:pt>
                <c:pt idx="1">
                  <c:v>2 or more pensioners</c:v>
                </c:pt>
                <c:pt idx="2">
                  <c:v>Single non-pensioners</c:v>
                </c:pt>
                <c:pt idx="3">
                  <c:v>Childless couple</c:v>
                </c:pt>
                <c:pt idx="4">
                  <c:v>Other multi-adult</c:v>
                </c:pt>
                <c:pt idx="5">
                  <c:v>Lone parent</c:v>
                </c:pt>
                <c:pt idx="6">
                  <c:v>2+ adults 1 child</c:v>
                </c:pt>
                <c:pt idx="7">
                  <c:v>2+ adults 2+ children</c:v>
                </c:pt>
                <c:pt idx="8">
                  <c:v>Total</c:v>
                </c:pt>
              </c:strCache>
            </c:strRef>
          </c:cat>
          <c:val>
            <c:numRef>
              <c:f>Sheet1!$B$2:$B$10</c:f>
              <c:numCache>
                <c:formatCode>"£"#,##0</c:formatCode>
                <c:ptCount val="9"/>
                <c:pt idx="0">
                  <c:v>18300</c:v>
                </c:pt>
                <c:pt idx="1">
                  <c:v>29400</c:v>
                </c:pt>
                <c:pt idx="2">
                  <c:v>18600</c:v>
                </c:pt>
                <c:pt idx="3">
                  <c:v>42200</c:v>
                </c:pt>
                <c:pt idx="4">
                  <c:v>44500</c:v>
                </c:pt>
                <c:pt idx="5">
                  <c:v>19100</c:v>
                </c:pt>
                <c:pt idx="6">
                  <c:v>47900</c:v>
                </c:pt>
                <c:pt idx="7">
                  <c:v>47300</c:v>
                </c:pt>
                <c:pt idx="8">
                  <c:v>30400</c:v>
                </c:pt>
              </c:numCache>
            </c:numRef>
          </c:val>
          <c:extLst>
            <c:ext xmlns:c16="http://schemas.microsoft.com/office/drawing/2014/chart" uri="{C3380CC4-5D6E-409C-BE32-E72D297353CC}">
              <c16:uniqueId val="{00000000-ED1A-4D64-B3D2-ED347F639CA9}"/>
            </c:ext>
          </c:extLst>
        </c:ser>
        <c:dLbls>
          <c:dLblPos val="outEnd"/>
          <c:showLegendKey val="0"/>
          <c:showVal val="1"/>
          <c:showCatName val="0"/>
          <c:showSerName val="0"/>
          <c:showPercent val="0"/>
          <c:showBubbleSize val="0"/>
        </c:dLbls>
        <c:gapWidth val="219"/>
        <c:overlap val="-27"/>
        <c:axId val="840423648"/>
        <c:axId val="840427808"/>
      </c:barChart>
      <c:catAx>
        <c:axId val="84042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840427808"/>
        <c:crosses val="autoZero"/>
        <c:auto val="1"/>
        <c:lblAlgn val="ctr"/>
        <c:lblOffset val="100"/>
        <c:noMultiLvlLbl val="0"/>
      </c:catAx>
      <c:valAx>
        <c:axId val="84042780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840423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5-6657-4F8D-9B50-C96F3163B391}"/>
              </c:ext>
            </c:extLst>
          </c:dPt>
          <c:dPt>
            <c:idx val="1"/>
            <c:invertIfNegative val="0"/>
            <c:bubble3D val="0"/>
            <c:spPr>
              <a:solidFill>
                <a:schemeClr val="accent3"/>
              </a:solidFill>
              <a:ln>
                <a:noFill/>
              </a:ln>
              <a:effectLst/>
            </c:spPr>
            <c:extLst>
              <c:ext xmlns:c16="http://schemas.microsoft.com/office/drawing/2014/chart" uri="{C3380CC4-5D6E-409C-BE32-E72D297353CC}">
                <c16:uniqueId val="{00000004-6657-4F8D-9B50-C96F3163B391}"/>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6657-4F8D-9B50-C96F3163B391}"/>
              </c:ext>
            </c:extLst>
          </c:dPt>
          <c:dPt>
            <c:idx val="3"/>
            <c:invertIfNegative val="0"/>
            <c:bubble3D val="0"/>
            <c:spPr>
              <a:solidFill>
                <a:schemeClr val="accent3"/>
              </a:solidFill>
              <a:ln>
                <a:noFill/>
              </a:ln>
              <a:effectLst/>
            </c:spPr>
            <c:extLst>
              <c:ext xmlns:c16="http://schemas.microsoft.com/office/drawing/2014/chart" uri="{C3380CC4-5D6E-409C-BE32-E72D297353CC}">
                <c16:uniqueId val="{00000002-6657-4F8D-9B50-C96F3163B391}"/>
              </c:ext>
            </c:extLst>
          </c:dPt>
          <c:dPt>
            <c:idx val="4"/>
            <c:invertIfNegative val="0"/>
            <c:bubble3D val="0"/>
            <c:spPr>
              <a:solidFill>
                <a:schemeClr val="accent3"/>
              </a:solidFill>
              <a:ln>
                <a:noFill/>
              </a:ln>
              <a:effectLst/>
            </c:spPr>
            <c:extLst>
              <c:ext xmlns:c16="http://schemas.microsoft.com/office/drawing/2014/chart" uri="{C3380CC4-5D6E-409C-BE32-E72D297353CC}">
                <c16:uniqueId val="{00000001-6657-4F8D-9B50-C96F3163B391}"/>
              </c:ext>
            </c:extLst>
          </c:dPt>
          <c:dPt>
            <c:idx val="5"/>
            <c:invertIfNegative val="0"/>
            <c:bubble3D val="0"/>
            <c:spPr>
              <a:solidFill>
                <a:schemeClr val="accent2"/>
              </a:solidFill>
              <a:ln>
                <a:noFill/>
              </a:ln>
              <a:effectLst/>
            </c:spPr>
            <c:extLst>
              <c:ext xmlns:c16="http://schemas.microsoft.com/office/drawing/2014/chart" uri="{C3380CC4-5D6E-409C-BE32-E72D297353CC}">
                <c16:uniqueId val="{00000000-6657-4F8D-9B50-C96F3163B391}"/>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£50k+</c:v>
                </c:pt>
                <c:pt idx="1">
                  <c:v>£25k-£50k</c:v>
                </c:pt>
                <c:pt idx="2">
                  <c:v>£10k-£25k</c:v>
                </c:pt>
                <c:pt idx="3">
                  <c:v>£5k-£10k</c:v>
                </c:pt>
                <c:pt idx="4">
                  <c:v>Under £5k</c:v>
                </c:pt>
                <c:pt idx="5">
                  <c:v>None</c:v>
                </c:pt>
                <c:pt idx="6">
                  <c:v>Under £5k debt</c:v>
                </c:pt>
                <c:pt idx="7">
                  <c:v>£5k-£20k debt</c:v>
                </c:pt>
                <c:pt idx="8">
                  <c:v>£10k-£25k debt</c:v>
                </c:pt>
                <c:pt idx="9">
                  <c:v>£25k+ debt</c:v>
                </c:pt>
              </c:strCache>
            </c:strRef>
          </c:cat>
          <c:val>
            <c:numRef>
              <c:f>Sheet1!$B$2:$B$11</c:f>
              <c:numCache>
                <c:formatCode>0.0%</c:formatCode>
                <c:ptCount val="10"/>
                <c:pt idx="0">
                  <c:v>0.29100000000000004</c:v>
                </c:pt>
                <c:pt idx="1">
                  <c:v>6.2E-2</c:v>
                </c:pt>
                <c:pt idx="2">
                  <c:v>6.9000000000000006E-2</c:v>
                </c:pt>
                <c:pt idx="3">
                  <c:v>6.9000000000000006E-2</c:v>
                </c:pt>
                <c:pt idx="4">
                  <c:v>0.10300000000000001</c:v>
                </c:pt>
                <c:pt idx="5">
                  <c:v>0.157</c:v>
                </c:pt>
                <c:pt idx="6">
                  <c:v>8.199999999999999E-2</c:v>
                </c:pt>
                <c:pt idx="7">
                  <c:v>0.06</c:v>
                </c:pt>
                <c:pt idx="8">
                  <c:v>6.4000000000000001E-2</c:v>
                </c:pt>
                <c:pt idx="9">
                  <c:v>4.2999999999999997E-2</c:v>
                </c:pt>
              </c:numCache>
            </c:numRef>
          </c:val>
          <c:extLst>
            <c:ext xmlns:c16="http://schemas.microsoft.com/office/drawing/2014/chart" uri="{C3380CC4-5D6E-409C-BE32-E72D297353CC}">
              <c16:uniqueId val="{00000000-1678-43D8-AC82-B14FEC14EDD6}"/>
            </c:ext>
          </c:extLst>
        </c:ser>
        <c:dLbls>
          <c:showLegendKey val="0"/>
          <c:showVal val="1"/>
          <c:showCatName val="0"/>
          <c:showSerName val="0"/>
          <c:showPercent val="0"/>
          <c:showBubbleSize val="0"/>
        </c:dLbls>
        <c:gapWidth val="150"/>
        <c:axId val="854016512"/>
        <c:axId val="854020256"/>
      </c:barChart>
      <c:catAx>
        <c:axId val="854016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20256"/>
        <c:crosses val="autoZero"/>
        <c:auto val="1"/>
        <c:lblAlgn val="ctr"/>
        <c:lblOffset val="100"/>
        <c:noMultiLvlLbl val="0"/>
      </c:catAx>
      <c:valAx>
        <c:axId val="8540202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854016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A4A24CC772748ABA8867CD8F863F3" ma:contentTypeVersion="13" ma:contentTypeDescription="Create a new document." ma:contentTypeScope="" ma:versionID="6e0e920011bd40f82f6ac1c0517b64d2">
  <xsd:schema xmlns:xsd="http://www.w3.org/2001/XMLSchema" xmlns:xs="http://www.w3.org/2001/XMLSchema" xmlns:p="http://schemas.microsoft.com/office/2006/metadata/properties" xmlns:ns2="20a6253f-41bb-4d26-a358-f9c5dbe5ecf9" xmlns:ns3="8adb9af3-c7ca-4ab7-9087-5274080f32ab" targetNamespace="http://schemas.microsoft.com/office/2006/metadata/properties" ma:root="true" ma:fieldsID="989b72b986d5e3cc9800aa20bfe9b27b" ns2:_="" ns3:_="">
    <xsd:import namespace="20a6253f-41bb-4d26-a358-f9c5dbe5ecf9"/>
    <xsd:import namespace="8adb9af3-c7ca-4ab7-9087-5274080f32a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253f-41bb-4d26-a358-f9c5dbe5e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45479f2-3b1c-439d-b742-cbf36673043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Location" ma:index="14" nillable="true" ma:displayName="Location" ma:descrip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db9af3-c7ca-4ab7-9087-5274080f32a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08588c-f222-47f6-b508-1ccd7c7640b5}" ma:internalName="TaxCatchAll" ma:showField="CatchAllData" ma:web="8adb9af3-c7ca-4ab7-9087-5274080f32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a6253f-41bb-4d26-a358-f9c5dbe5ecf9">
      <Terms xmlns="http://schemas.microsoft.com/office/infopath/2007/PartnerControls"/>
    </lcf76f155ced4ddcb4097134ff3c332f>
    <TaxCatchAll xmlns="8adb9af3-c7ca-4ab7-9087-5274080f32a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ADBE-B28B-47A1-B7C8-A8FC02231888}">
  <ds:schemaRefs>
    <ds:schemaRef ds:uri="http://schemas.microsoft.com/sharepoint/v3/contenttype/forms"/>
  </ds:schemaRefs>
</ds:datastoreItem>
</file>

<file path=customXml/itemProps2.xml><?xml version="1.0" encoding="utf-8"?>
<ds:datastoreItem xmlns:ds="http://schemas.openxmlformats.org/officeDocument/2006/customXml" ds:itemID="{BE83659E-8D94-4E79-A62A-5EA29AE75A54}">
  <ds:schemaRefs>
    <ds:schemaRef ds:uri="http://schemas.microsoft.com/sharepoint/v3/contenttype/forms"/>
  </ds:schemaRefs>
</ds:datastoreItem>
</file>

<file path=customXml/itemProps3.xml><?xml version="1.0" encoding="utf-8"?>
<ds:datastoreItem xmlns:ds="http://schemas.openxmlformats.org/officeDocument/2006/customXml" ds:itemID="{DCF9BEAD-D87D-4D39-BD61-FC2608DC0CEC}"/>
</file>

<file path=customXml/itemProps4.xml><?xml version="1.0" encoding="utf-8"?>
<ds:datastoreItem xmlns:ds="http://schemas.openxmlformats.org/officeDocument/2006/customXml" ds:itemID="{6532D3FE-B36D-40BA-B3B7-B2D9B730C95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7A786E-8DF8-44CE-8B32-A91DF234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30839</Words>
  <Characters>175783</Characters>
  <Application>Microsoft Office Word</Application>
  <DocSecurity>4</DocSecurity>
  <Lines>1464</Lines>
  <Paragraphs>412</Paragraphs>
  <ScaleCrop>false</ScaleCrop>
  <HeadingPairs>
    <vt:vector size="2" baseType="variant">
      <vt:variant>
        <vt:lpstr>Title</vt:lpstr>
      </vt:variant>
      <vt:variant>
        <vt:i4>1</vt:i4>
      </vt:variant>
    </vt:vector>
  </HeadingPairs>
  <TitlesOfParts>
    <vt:vector size="1" baseType="lpstr">
      <vt:lpstr>Report for:</vt:lpstr>
    </vt:vector>
  </TitlesOfParts>
  <Company>Microsoft</Company>
  <LinksUpToDate>false</LinksUpToDate>
  <CharactersWithSpaces>206210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subject/>
  <dc:creator>JGardner</dc:creator>
  <cp:keywords/>
  <cp:lastModifiedBy>Kirstine Riding</cp:lastModifiedBy>
  <cp:revision>2</cp:revision>
  <cp:lastPrinted>2022-09-02T10:37:00Z</cp:lastPrinted>
  <dcterms:created xsi:type="dcterms:W3CDTF">2022-10-20T14:31:00Z</dcterms:created>
  <dcterms:modified xsi:type="dcterms:W3CDTF">2022-10-20T14:31:00Z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0x0101005C2A4A24CC772748ABA8867CD8F863F3</vt:lpwstr>
  </property>
  <property fmtid="{D5CDD505-2E9C-101B-9397-08002B2CF9AE}" pid="3" name="Order">
    <vt:r8>3696800</vt:r8>
  </property>
</Properties>
</file>